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t xml:space="preserve"/>
      </w: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color w:val="555555"/>
          <w:sz w:val="32"/>
          <w:szCs w:val="32"/>
        </w:rPr>
        <w:t xml:space="preserve">Enterprise Engineering White Paper Series</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140" w:after="100"/>
        <w:jc w:val="center"/>
      </w:pPr>
      <w:r>
        <w:rPr>
          <w:rFonts w:ascii="Arial" w:cs="Arial" w:eastAsia="Arial" w:hAnsi="Arial"/>
          <w:b/>
          <w:bCs/>
          <w:color w:val="1B2A4A"/>
          <w:sz w:val="56"/>
          <w:szCs w:val="56"/>
        </w:rPr>
        <w:t xml:space="preserve">Security Architecture and Trust Model</w:t>
      </w:r>
    </w:p>
    <w:p>
      <w:pPr>
        <w:spacing w:before="60" w:after="60"/>
        <w:jc w:val="center"/>
      </w:pPr>
      <w:r>
        <w:rPr>
          <w:rFonts w:ascii="Arial" w:cs="Arial" w:eastAsia="Arial" w:hAnsi="Arial"/>
          <w:color w:val="1B2A4A"/>
          <w:sz w:val="36"/>
          <w:szCs w:val="36"/>
        </w:rPr>
        <w:t xml:space="preserve">Authentication, Authorization, Credential Encryption, Multi-Tenant Isolation,</w:t>
      </w:r>
    </w:p>
    <w:p>
      <w:pPr>
        <w:spacing w:before="60" w:after="80"/>
        <w:jc w:val="center"/>
      </w:pPr>
      <w:r>
        <w:rPr>
          <w:rFonts w:ascii="Arial" w:cs="Arial" w:eastAsia="Arial" w:hAnsi="Arial"/>
          <w:color w:val="1B2A4A"/>
          <w:sz w:val="32"/>
          <w:szCs w:val="32"/>
        </w:rPr>
        <w:t xml:space="preserve">Threat Model, Cryptographic Audit Trail, Formal Verification, and Security Monitoring</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80" w:after="160"/>
        <w:jc w:val="center"/>
      </w:pPr>
      <w:r>
        <w:rPr>
          <w:rFonts w:ascii="Arial" w:cs="Arial" w:eastAsia="Arial" w:hAnsi="Arial"/>
          <w:color w:val="555555"/>
          <w:sz w:val="22"/>
          <w:szCs w:val="22"/>
        </w:rPr>
        <w:t xml:space="preserve">WP-009  |  Version 1.1  |  March 2026</w:t>
      </w:r>
    </w:p>
    <w:p>
      <w:pPr>
        <w:spacing w:before="0" w:after="160"/>
      </w:pPr>
      <w:r>
        <w:t xml:space="preserve"/>
      </w:r>
    </w:p>
    <w:p>
      <w:pPr>
        <w:spacing w:before="80" w:after="80"/>
        <w:jc w:val="center"/>
      </w:pPr>
      <w:r>
        <w:rPr>
          <w:rFonts w:ascii="Arial" w:cs="Arial" w:eastAsia="Arial" w:hAnsi="Arial"/>
          <w:color w:val="2C2C2C"/>
          <w:sz w:val="22"/>
          <w:szCs w:val="22"/>
        </w:rPr>
        <w:t xml:space="preserve">Author: Steven Wazlavek</w:t>
      </w:r>
    </w:p>
    <w:p>
      <w:pPr>
        <w:spacing w:before="0" w:after="80"/>
        <w:jc w:val="center"/>
      </w:pPr>
      <w:r>
        <w:rPr>
          <w:rFonts w:ascii="Arial" w:cs="Arial" w:eastAsia="Arial" w:hAnsi="Arial"/>
          <w:color w:val="2C2C2C"/>
          <w:sz w:val="22"/>
          <w:szCs w:val="22"/>
        </w:rPr>
        <w:t xml:space="preserve">Organization: ContextKeeper</w:t>
      </w:r>
    </w:p>
    <w:p>
      <w:pPr>
        <w:spacing w:before="0" w:after="80"/>
        <w:jc w:val="center"/>
      </w:pPr>
      <w:r>
        <w:rPr>
          <w:rFonts w:ascii="Arial" w:cs="Arial" w:eastAsia="Arial" w:hAnsi="Arial"/>
          <w:color w:val="2C2C2C"/>
          <w:sz w:val="22"/>
          <w:szCs w:val="22"/>
        </w:rPr>
        <w:t xml:space="preserve">Contact: masterboss@contextkeeper.org</w:t>
      </w:r>
    </w:p>
    <w:p>
      <w:pPr>
        <w:spacing w:before="0" w:after="80"/>
        <w:jc w:val="center"/>
      </w:pPr>
      <w:r>
        <w:rPr>
          <w:rFonts w:ascii="Arial" w:cs="Arial" w:eastAsia="Arial" w:hAnsi="Arial"/>
          <w:color w:val="2C2C2C"/>
          <w:sz w:val="22"/>
          <w:szCs w:val="22"/>
        </w:rPr>
        <w:t xml:space="preserve">Web: contextkeeper.org</w:t>
      </w:r>
    </w:p>
    <w:p>
      <w:pPr>
        <w:spacing w:before="0" w:after="480"/>
      </w:pPr>
      <w:r>
        <w:t xml:space="preserve"/>
      </w:r>
    </w:p>
    <w:p>
      <w:pPr>
        <w:spacing w:before="0" w:after="0"/>
        <w:jc w:val="center"/>
      </w:pPr>
      <w:r>
        <w:rPr>
          <w:rFonts w:ascii="Arial" w:cs="Arial" w:eastAsia="Arial" w:hAnsi="Arial"/>
          <w:b/>
          <w:bCs/>
          <w:color w:val="1B2A4A"/>
          <w:sz w:val="22"/>
          <w:szCs w:val="22"/>
        </w:rPr>
        <w:t xml:space="preserve">Classification: Confidential</w:t>
      </w:r>
    </w:p>
    <w:p>
      <w:r>
        <w:br w:type="page"/>
      </w:r>
    </w:p>
    <w:p>
      <w:pPr>
        <w:spacing w:before="0" w:after="200"/>
      </w:pPr>
      <w:r>
        <w:rPr>
          <w:rFonts w:ascii="Arial" w:cs="Arial" w:eastAsia="Arial" w:hAnsi="Arial"/>
          <w:b/>
          <w:bCs/>
          <w:color w:val="1B2A4A"/>
          <w:sz w:val="22"/>
          <w:szCs w:val="22"/>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w:t>
      </w:r>
    </w:p>
    <w:p>
      <w:pPr>
        <w:spacing w:before="0" w:after="200" w:line="276" w:lineRule="auto"/>
      </w:pPr>
      <w:r>
        <w:rPr>
          <w:rFonts w:ascii="Arial" w:cs="Arial" w:eastAsia="Arial" w:hAnsi="Arial"/>
          <w:color w:val="2C2C2C"/>
          <w:sz w:val="22"/>
          <w:szCs w:val="22"/>
        </w:rPr>
        <w:t xml:space="preserve">This document and the security architectures, cryptographic designs, and trust models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00" w:after="80"/>
      </w:pPr>
      <w:r>
        <w:rPr>
          <w:rFonts w:ascii="Arial" w:cs="Arial" w:eastAsia="Arial" w:hAnsi="Arial"/>
          <w:b/>
          <w:bCs/>
          <w:color w:val="2C2C2C"/>
          <w:sz w:val="22"/>
          <w:szCs w:val="22"/>
        </w:rPr>
        <w:t xml:space="preserve">STATEMENT OF ORIGINAL AUTHORSHIP</w:t>
      </w:r>
    </w:p>
    <w:p>
      <w:pPr>
        <w:spacing w:before="0" w:after="200" w:line="276" w:lineRule="auto"/>
      </w:pPr>
      <w:r>
        <w:rPr>
          <w:rFonts w:ascii="Arial" w:cs="Arial" w:eastAsia="Arial" w:hAnsi="Arial"/>
          <w:color w:val="2C2C2C"/>
          <w:sz w:val="22"/>
          <w:szCs w:val="22"/>
        </w:rPr>
        <w:t xml:space="preserve">The security architectures, cryptographic designs, and trust models described in this white paper are the original work of Steven Wazlavek, developed during the design and production engineering of the ContextKeeper platform (contextkeeper.org). Where established academic concepts, algorithms, or standards are referenced, they are cited explicitly. All novel combinations, applications, and system designs presented herein are original contributions.</w:t>
      </w:r>
    </w:p>
    <w:p>
      <w:pPr>
        <w:spacing w:before="200" w:after="80"/>
      </w:pPr>
      <w:r>
        <w:rPr>
          <w:rFonts w:ascii="Arial" w:cs="Arial" w:eastAsia="Arial" w:hAnsi="Arial"/>
          <w:b/>
          <w:bCs/>
          <w:color w:val="2C2C2C"/>
          <w:sz w:val="22"/>
          <w:szCs w:val="22"/>
        </w:rPr>
        <w:t xml:space="preserve">PRIOR ART DECLARATION</w:t>
      </w:r>
    </w:p>
    <w:p>
      <w:pPr>
        <w:spacing w:before="0" w:after="200" w:line="276" w:lineRule="auto"/>
      </w:pPr>
      <w:r>
        <w:rPr>
          <w:rFonts w:ascii="Arial" w:cs="Arial" w:eastAsia="Arial" w:hAnsi="Arial"/>
          <w:color w:val="2C2C2C"/>
          <w:sz w:val="22"/>
          <w:szCs w:val="22"/>
        </w:rPr>
        <w:t xml:space="preserve">This document is dated March 18, 2026. The security architecture described herein has been under continuous development since March 2026 with version-controlled records maintained in the project repository (github.com/TheRealDataBoss/contextkeeper-site).</w:t>
      </w:r>
    </w:p>
    <w:p>
      <w:pPr>
        <w:spacing w:before="200" w:after="80"/>
      </w:pPr>
      <w:r>
        <w:rPr>
          <w:rFonts w:ascii="Arial" w:cs="Arial" w:eastAsia="Arial" w:hAnsi="Arial"/>
          <w:b/>
          <w:bCs/>
          <w:color w:val="2C2C2C"/>
          <w:sz w:val="22"/>
          <w:szCs w:val="22"/>
        </w:rPr>
        <w:t xml:space="preserve">CONFIDENTIALITY</w:t>
      </w:r>
    </w:p>
    <w:p>
      <w:pPr>
        <w:spacing w:before="0" w:after="200" w:line="276" w:lineRule="auto"/>
      </w:pPr>
      <w:r>
        <w:rPr>
          <w:rFonts w:ascii="Arial" w:cs="Arial" w:eastAsia="Arial" w:hAnsi="Arial"/>
          <w:color w:val="2C2C2C"/>
          <w:sz w:val="22"/>
          <w:szCs w:val="22"/>
        </w:rPr>
        <w:t xml:space="preserve">This document is classified as Confidential. It contains security architecture details that should not be disclosed to parties outside of authorized engineering, legal, and enterprise security review contexts. Unauthorized distribution is prohibited.</w:t>
      </w:r>
    </w:p>
    <w:p>
      <w:pPr>
        <w:spacing w:before="200" w:after="200"/>
      </w:pPr>
      <w:r>
        <w:rPr>
          <w:rFonts w:ascii="Arial" w:cs="Arial" w:eastAsia="Arial" w:hAnsi="Arial"/>
          <w:b/>
          <w:bCs/>
          <w:color w:val="2C2C2C"/>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Initial publication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Full depth rebuild: added Section 2 intro, Section 2.4 (rate limiting), Section 3.1 intro, Section 4 intro, Section 4.2 expansion, Section 5 intro, Section 6 intro, Section 6.3 (chain integrity verification algorithm), Section 11 (security monitoring and anomaly detection); expanded Sections 10, 12; added Appendix B (security test procedure reference); expanded References</w:t>
            </w:r>
          </w:p>
        </w:tc>
      </w:tr>
    </w:tbl>
    <w:p>
      <w:r>
        <w:br w:type="page"/>
      </w:r>
    </w:p>
    <w:p>
      <w:pPr>
        <w:pStyle w:val="Heading1"/>
        <w:spacing w:before="320" w:after="0"/>
      </w:pPr>
      <w:r>
        <w:rPr>
          <w:rFonts w:ascii="Arial" w:cs="Arial" w:eastAsia="Arial" w:hAnsi="Arial"/>
          <w:b/>
          <w:bCs/>
          <w:color w:val="1B2A4A"/>
          <w:sz w:val="36"/>
          <w:szCs w:val="36"/>
        </w:rPr>
        <w:t xml:space="preserve">Table of Contents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Authentication and Authorization Architecture ..... 6</w:t>
      </w:r>
    </w:p>
    <w:p>
      <w:pPr>
        <w:spacing w:before="0" w:after="200" w:line="276" w:lineRule="auto"/>
      </w:pPr>
      <w:r>
        <w:rPr>
          <w:rFonts w:ascii="Arial" w:cs="Arial" w:eastAsia="Arial" w:hAnsi="Arial"/>
          <w:color w:val="2C2C2C"/>
          <w:sz w:val="22"/>
          <w:szCs w:val="22"/>
        </w:rPr>
        <w:t xml:space="preserve">3. Credential Encryption Architecture ..... 11</w:t>
      </w:r>
    </w:p>
    <w:p>
      <w:pPr>
        <w:spacing w:before="0" w:after="200" w:line="276" w:lineRule="auto"/>
      </w:pPr>
      <w:r>
        <w:rPr>
          <w:rFonts w:ascii="Arial" w:cs="Arial" w:eastAsia="Arial" w:hAnsi="Arial"/>
          <w:color w:val="2C2C2C"/>
          <w:sz w:val="22"/>
          <w:szCs w:val="22"/>
        </w:rPr>
        <w:t xml:space="preserve">4. Multi-Tenant Data Isolation ..... 15</w:t>
      </w:r>
    </w:p>
    <w:p>
      <w:pPr>
        <w:spacing w:before="0" w:after="200" w:line="276" w:lineRule="auto"/>
      </w:pPr>
      <w:r>
        <w:rPr>
          <w:rFonts w:ascii="Arial" w:cs="Arial" w:eastAsia="Arial" w:hAnsi="Arial"/>
          <w:color w:val="2C2C2C"/>
          <w:sz w:val="22"/>
          <w:szCs w:val="22"/>
        </w:rPr>
        <w:t xml:space="preserve">5. Threat Model ..... 19</w:t>
      </w:r>
    </w:p>
    <w:p>
      <w:pPr>
        <w:spacing w:before="0" w:after="200" w:line="276" w:lineRule="auto"/>
      </w:pPr>
      <w:r>
        <w:rPr>
          <w:rFonts w:ascii="Arial" w:cs="Arial" w:eastAsia="Arial" w:hAnsi="Arial"/>
          <w:color w:val="2C2C2C"/>
          <w:sz w:val="22"/>
          <w:szCs w:val="22"/>
        </w:rPr>
        <w:t xml:space="preserve">6. Cryptographic Audit Trail Architecture ..... 24</w:t>
      </w:r>
    </w:p>
    <w:p>
      <w:pPr>
        <w:spacing w:before="0" w:after="200" w:line="276" w:lineRule="auto"/>
      </w:pPr>
      <w:r>
        <w:rPr>
          <w:rFonts w:ascii="Arial" w:cs="Arial" w:eastAsia="Arial" w:hAnsi="Arial"/>
          <w:color w:val="2C2C2C"/>
          <w:sz w:val="22"/>
          <w:szCs w:val="22"/>
        </w:rPr>
        <w:t xml:space="preserve">7. BYOI Security Architecture ..... 28</w:t>
      </w:r>
    </w:p>
    <w:p>
      <w:pPr>
        <w:spacing w:before="0" w:after="200" w:line="276" w:lineRule="auto"/>
      </w:pPr>
      <w:r>
        <w:rPr>
          <w:rFonts w:ascii="Arial" w:cs="Arial" w:eastAsia="Arial" w:hAnsi="Arial"/>
          <w:color w:val="2C2C2C"/>
          <w:sz w:val="22"/>
          <w:szCs w:val="22"/>
        </w:rPr>
        <w:t xml:space="preserve">8. Formal Verification Integration ..... 30</w:t>
      </w:r>
    </w:p>
    <w:p>
      <w:pPr>
        <w:spacing w:before="0" w:after="200" w:line="276" w:lineRule="auto"/>
      </w:pPr>
      <w:r>
        <w:rPr>
          <w:rFonts w:ascii="Arial" w:cs="Arial" w:eastAsia="Arial" w:hAnsi="Arial"/>
          <w:color w:val="2C2C2C"/>
          <w:sz w:val="22"/>
          <w:szCs w:val="22"/>
        </w:rPr>
        <w:t xml:space="preserve">9. Prompt Injection Defense ..... 33</w:t>
      </w:r>
    </w:p>
    <w:p>
      <w:pPr>
        <w:spacing w:before="0" w:after="200" w:line="276" w:lineRule="auto"/>
      </w:pPr>
      <w:r>
        <w:rPr>
          <w:rFonts w:ascii="Arial" w:cs="Arial" w:eastAsia="Arial" w:hAnsi="Arial"/>
          <w:color w:val="2C2C2C"/>
          <w:sz w:val="22"/>
          <w:szCs w:val="22"/>
        </w:rPr>
        <w:t xml:space="preserve">10. Security Testing and Validation ..... 35</w:t>
      </w:r>
    </w:p>
    <w:p>
      <w:pPr>
        <w:spacing w:before="0" w:after="200" w:line="276" w:lineRule="auto"/>
      </w:pPr>
      <w:r>
        <w:rPr>
          <w:rFonts w:ascii="Arial" w:cs="Arial" w:eastAsia="Arial" w:hAnsi="Arial"/>
          <w:color w:val="2C2C2C"/>
          <w:sz w:val="22"/>
          <w:szCs w:val="22"/>
        </w:rPr>
        <w:t xml:space="preserve">11. Security Monitoring and Anomaly Detection ..... 38</w:t>
      </w:r>
    </w:p>
    <w:p>
      <w:pPr>
        <w:spacing w:before="0" w:after="200" w:line="276" w:lineRule="auto"/>
      </w:pPr>
      <w:r>
        <w:rPr>
          <w:rFonts w:ascii="Arial" w:cs="Arial" w:eastAsia="Arial" w:hAnsi="Arial"/>
          <w:color w:val="2C2C2C"/>
          <w:sz w:val="22"/>
          <w:szCs w:val="22"/>
        </w:rPr>
        <w:t xml:space="preserve">12. Integration Points ..... 41</w:t>
      </w:r>
    </w:p>
    <w:p>
      <w:pPr>
        <w:spacing w:before="0" w:after="200" w:line="276" w:lineRule="auto"/>
      </w:pPr>
      <w:r>
        <w:rPr>
          <w:rFonts w:ascii="Arial" w:cs="Arial" w:eastAsia="Arial" w:hAnsi="Arial"/>
          <w:color w:val="2C2C2C"/>
          <w:sz w:val="22"/>
          <w:szCs w:val="22"/>
        </w:rPr>
        <w:t xml:space="preserve">13. Conclusion ..... 42</w:t>
      </w:r>
    </w:p>
    <w:p>
      <w:pPr>
        <w:spacing w:before="0" w:after="200" w:line="276" w:lineRule="auto"/>
      </w:pPr>
      <w:r>
        <w:rPr>
          <w:rFonts w:ascii="Arial" w:cs="Arial" w:eastAsia="Arial" w:hAnsi="Arial"/>
          <w:color w:val="2C2C2C"/>
          <w:sz w:val="22"/>
          <w:szCs w:val="22"/>
        </w:rPr>
        <w:t xml:space="preserve">Appendix A. Glossary ..... 43</w:t>
      </w:r>
    </w:p>
    <w:p>
      <w:pPr>
        <w:spacing w:before="0" w:after="200" w:line="276" w:lineRule="auto"/>
      </w:pPr>
      <w:r>
        <w:rPr>
          <w:rFonts w:ascii="Arial" w:cs="Arial" w:eastAsia="Arial" w:hAnsi="Arial"/>
          <w:color w:val="2C2C2C"/>
          <w:sz w:val="22"/>
          <w:szCs w:val="22"/>
        </w:rPr>
        <w:t xml:space="preserve">Appendix B. Security Test Procedure Reference ..... 46</w:t>
      </w:r>
    </w:p>
    <w:p>
      <w:pPr>
        <w:spacing w:before="0" w:after="200" w:line="276" w:lineRule="auto"/>
      </w:pPr>
      <w:r>
        <w:rPr>
          <w:rFonts w:ascii="Arial" w:cs="Arial" w:eastAsia="Arial" w:hAnsi="Arial"/>
          <w:color w:val="2C2C2C"/>
          <w:sz w:val="22"/>
          <w:szCs w:val="22"/>
        </w:rPr>
        <w:t xml:space="preserve">References ..... 47</w:t>
      </w:r>
    </w:p>
    <w:p>
      <w:r>
        <w:br w:type="page"/>
      </w:r>
    </w:p>
    <w:p>
      <w:pPr>
        <w:pStyle w:val="Heading1"/>
        <w:spacing w:before="320" w:after="0"/>
      </w:pPr>
      <w:r>
        <w:rPr>
          <w:rFonts w:ascii="Arial" w:cs="Arial" w:eastAsia="Arial" w:hAnsi="Arial"/>
          <w:b/>
          <w:bCs/>
          <w:color w:val="1B2A4A"/>
          <w:sz w:val="36"/>
          <w:szCs w:val="36"/>
        </w:rPr>
        <w:t xml:space="preserve">1. Executive Summary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paper defines the complete security architecture and trust model for the ContextKeeper platform. It addresses the security questions that enterprise procurement teams, independent security auditors, and regulated industry compliance reviewers ask before approving a vendor: how user data is isolated between tenants, how credentials are encrypted and protected against database-level compromise, what the threat model covers and explicitly excludes, how the cryptographic audit trail provides tamper-evident governance records, how formal verification provides mathematical rather than probabilistic assurance for the highest-criticality invariants, and how the platform detects and responds to security anomalies in production.</w:t>
      </w:r>
    </w:p>
    <w:p>
      <w:pPr>
        <w:spacing w:before="0" w:after="200" w:line="276" w:lineRule="auto"/>
      </w:pPr>
      <w:r>
        <w:rPr>
          <w:rFonts w:ascii="Arial" w:cs="Arial" w:eastAsia="Arial" w:hAnsi="Arial"/>
          <w:color w:val="2C2C2C"/>
          <w:sz w:val="22"/>
          <w:szCs w:val="22"/>
        </w:rPr>
        <w:t xml:space="preserve">The security architecture is built on four foundational properties that govern every design decision. Defense in depth: no single security mechanism protects any sensitive resource; every sensitive operation is protected by at least two independent mechanisms at different layers, so that the failure of any single mechanism does not produce a security breach. Least privilege: every actor -- user, API key, session token, agent, connector -- has access only to the minimum set of resources required for its defined function; permissions are not additive by default. Fail closed: when a security check fails or an ambiguous condition is detected, the system denies access and logs the event rather than allowing access and logging a warning; the default behavior when the correct action is unclear is refusal. Cryptographic verifiability: the most sensitive governance records are not merely stored in a database with access controls; they are protected by cryptographic commitments that make retroactive modification detectable by any party with the public verification key, independently of trusting the platform operator.</w:t>
      </w:r>
    </w:p>
    <w:p>
      <w:pPr>
        <w:pBdr>
          <w:left w:val="single" w:color="2E75B6" w:sz="18" w:space="4"/>
        </w:pBdr>
        <w:spacing w:before="160" w:after="160"/>
        <w:ind w:left="720" w:right="360"/>
      </w:pPr>
      <w:r>
        <w:rPr>
          <w:rFonts w:ascii="Arial" w:cs="Arial" w:eastAsia="Arial" w:hAnsi="Arial"/>
          <w:color w:val="1B2A4A"/>
          <w:sz w:val="22"/>
          <w:szCs w:val="22"/>
        </w:rPr>
        <w:t xml:space="preserve">The security architecture of ContextKeeper is not a post-hoc addition to a platform built for functionality first. The DEL-v2 protocol's hash chain, role separation, and audit trail were designed from the start to provide tamper-evident governance records. The security architecture in this paper formalizes and extends those foundations into a complete enterprise security model that satisfies the requirements of regulated industry procurement, SOC 2 Type II audit, and independent security assessment.</w:t>
      </w:r>
    </w:p>
    <w:p>
      <w:pPr>
        <w:spacing w:before="0" w:after="200" w:line="276" w:lineRule="auto"/>
      </w:pPr>
      <w:r>
        <w:rPr>
          <w:rFonts w:ascii="Arial" w:cs="Arial" w:eastAsia="Arial" w:hAnsi="Arial"/>
          <w:color w:val="2C2C2C"/>
          <w:sz w:val="22"/>
          <w:szCs w:val="22"/>
        </w:rPr>
        <w:t xml:space="preserve">The paper is organized across thirteen sections corresponding to the nine security domains. Authentication and authorization (Section 2) covers the four supported authentication mechanisms and the five-layer authorization model including rate limiting. Credential encryption (Section 3) covers the four-layer encryption architecture with complete key derivation specification and zero-knowledge mode. Multi-tenant isolation (Section 4) covers the query-layer isolation predicates, their formal correctness proof, and organizational unit isolation for Enterprise fleet deployments. The threat model (Section 5) covers in-scope threats with their mitigations and the explicitly excluded threats with their rationale. The cryptographic audit trail (Section 6) covers the hash chain commitment design, the chain integrity verification algorithm, and the PKI-signed bundle architecture for audited governance mode. BYOI security (Section 7) covers the architectural zero-knowledge guarantee and the network topology requirements. Formal verification (Section 8) covers the three verification mechanisms and the Z3 integration. Prompt injection defense (Section 9) covers the three-level defense architecture. Security testing (Section 10) covers the automated test suite, penetration testing, and SOC 2 mapping. Security monitoring and anomaly detection (Section 11) covers the detection queries, alert thresholds, and required responses.</w:t>
      </w:r>
    </w:p>
    <w:p>
      <w:pPr>
        <w:spacing w:before="0" w:after="200" w:line="276" w:lineRule="auto"/>
      </w:pPr>
      <w:r>
        <w:rPr>
          <w:rFonts w:ascii="Arial" w:cs="Arial" w:eastAsia="Arial" w:hAnsi="Arial"/>
          <w:color w:val="2C2C2C"/>
          <w:sz w:val="22"/>
          <w:szCs w:val="22"/>
        </w:rPr>
        <w:t xml:space="preserve">Cross-references: WP-001 (DEL-v2) defines the MANIFEST.json integrity verification that Section 6 extends; WP-002 (Enterprise Delivery Governance) defines the multi-agent role separation that is a security control as well as a governance control; WP-005 (Agent Orchestration) defines the organizational unit model that Section 4.2 formally specifies; WP-010 (Data Model and API Reference) specifies the API layer where the authentication and authorization mechanisms defined here are enforced.</w:t>
      </w:r>
    </w:p>
    <w:p>
      <w:r>
        <w:br w:type="page"/>
      </w:r>
    </w:p>
    <w:p>
      <w:pPr>
        <w:pStyle w:val="Heading1"/>
        <w:spacing w:before="320" w:after="0"/>
      </w:pPr>
      <w:r>
        <w:rPr>
          <w:rFonts w:ascii="Arial" w:cs="Arial" w:eastAsia="Arial" w:hAnsi="Arial"/>
          <w:b/>
          <w:bCs/>
          <w:color w:val="1B2A4A"/>
          <w:sz w:val="36"/>
          <w:szCs w:val="36"/>
        </w:rPr>
        <w:t xml:space="preserve">2. Authentication and Authorization Architecture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Authentication is the process of establishing that a request comes from the identity it claims. Authorization is the process of determining whether the established identity is permitted to perform the requested operation on the requested resource. These are distinct problems with distinct failure modes: an authentication failure means the system cannot verify who is making the request; an authorization failure means the system incorrectly permits or denies a request from an authenticated identity. Both must be handled correctly and independently for the security architecture to be sound.</w:t>
      </w:r>
    </w:p>
    <w:p>
      <w:pPr>
        <w:spacing w:before="0" w:after="200" w:line="276" w:lineRule="auto"/>
      </w:pPr>
      <w:r>
        <w:rPr>
          <w:rFonts w:ascii="Arial" w:cs="Arial" w:eastAsia="Arial" w:hAnsi="Arial"/>
          <w:color w:val="2C2C2C"/>
          <w:sz w:val="22"/>
          <w:szCs w:val="22"/>
        </w:rPr>
        <w:t xml:space="preserve">The authentication architecture supports four mechanisms -- email/password, API keys, Google OAuth, and SAML 2.0 -- each appropriate for different use contexts. Email/password is the baseline mechanism for interactive human users. API keys are the mechanism for programmatic access, CLI tools, and SDK integrations. Google OAuth provides social login for users who prefer not to manage platform-specific passwords. SAML 2.0 provides enterprise SSO integration for organizations that manage identity through a central IdP. Each mechanism has distinct security properties; the authorization layer treats them uniformly after authentication is established.</w:t>
      </w:r>
    </w:p>
    <w:p>
      <w:pPr>
        <w:spacing w:before="0" w:after="200" w:line="276" w:lineRule="auto"/>
      </w:pPr>
      <w:r>
        <w:rPr>
          <w:rFonts w:ascii="Arial" w:cs="Arial" w:eastAsia="Arial" w:hAnsi="Arial"/>
          <w:color w:val="2C2C2C"/>
          <w:sz w:val="22"/>
          <w:szCs w:val="22"/>
        </w:rPr>
        <w:t xml:space="preserve">The authorization architecture applies five independent checks in sequence, from outermost to innermost. The outermost check (authentication validation) stops unauthenticated requests before any application logic runs. The innermost check (role check) applies only to shared resources where ownership alone is insufficient to determine access. This layering means that an authorization bypass attack must defeat all five checks simultaneously -- defeating one check is insufficient to gain unauthorized access. The security value of this layered model compounds with defense in depth: each layer independently enforces a security property, so the failure of any single layer does not produce a breach.</w:t>
      </w:r>
    </w:p>
    <w:p>
      <w:pPr>
        <w:pStyle w:val="Heading2"/>
        <w:spacing w:before="280" w:after="160"/>
      </w:pPr>
      <w:r>
        <w:rPr>
          <w:rFonts w:ascii="Arial" w:cs="Arial" w:eastAsia="Arial" w:hAnsi="Arial"/>
          <w:b/>
          <w:bCs/>
          <w:color w:val="2E75B6"/>
          <w:sz w:val="28"/>
          <w:szCs w:val="28"/>
        </w:rPr>
        <w:t xml:space="preserve">2.1 Authentication Mechanisms</w:t>
      </w:r>
    </w:p>
    <w:p>
      <w:pPr>
        <w:spacing w:before="0" w:after="200" w:line="276" w:lineRule="auto"/>
      </w:pPr>
      <w:r>
        <w:rPr>
          <w:rFonts w:ascii="Arial" w:cs="Arial" w:eastAsia="Arial" w:hAnsi="Arial"/>
          <w:color w:val="2C2C2C"/>
          <w:sz w:val="22"/>
          <w:szCs w:val="22"/>
        </w:rPr>
        <w:t xml:space="preserve">Email and password authentication uses bcrypt with a cost factor of 12 for password hashing. At cost factor 12, each bcrypt computation takes approximately 300 milliseconds on modern hardware, making exhaustive attacks against any stored hash computationally prohibitive even with purpose-built hardware. The plaintext password is never stored, logged, or transmitted after the initial hash computation. Session fixation is prevented by regenerating the session ID immediately upon successful authentication, ensuring that any session token obtained before login cannot be used after login. Brute force protection uses rate limiting (Section 2.4) rather than account lockout: lockout creates a denial-of-service vulnerability where an attacker can lock out legitimate users by deliberately triggering failed attempts; rate limiting slows the attack without removing the user's access.</w:t>
      </w:r>
    </w:p>
    <w:p>
      <w:pPr>
        <w:spacing w:before="0" w:after="200" w:line="276" w:lineRule="auto"/>
      </w:pPr>
      <w:r>
        <w:rPr>
          <w:rFonts w:ascii="Arial" w:cs="Arial" w:eastAsia="Arial" w:hAnsi="Arial"/>
          <w:color w:val="2C2C2C"/>
          <w:sz w:val="22"/>
          <w:szCs w:val="22"/>
        </w:rPr>
        <w:t xml:space="preserve">API key authentication uses 64-character random hex strings (256 bits of entropy) generated by a cryptographically secure pseudorandom number generator (CSPRNG). The key is displayed to the user exactly once at creation and never retrievable thereafter; the platform stores only the bcrypt hash. Scope is assigned at key creation (read-only or read-write) and is immutable -- scope changes require revoking the existing key and creating a new one. Revocation takes effect within one cache expiry cycle, defaulting to 60 seconds. This 60-second window is a deliberate trade-off between revocation immediacy and cache-based performance; for environments where immediate revocation is required, the cache TTL can be set to zero in the API configuration.</w:t>
      </w:r>
    </w:p>
    <w:p>
      <w:pPr>
        <w:spacing w:before="0" w:after="200" w:line="276" w:lineRule="auto"/>
      </w:pPr>
      <w:r>
        <w:rPr>
          <w:rFonts w:ascii="Arial" w:cs="Arial" w:eastAsia="Arial" w:hAnsi="Arial"/>
          <w:color w:val="2C2C2C"/>
          <w:sz w:val="22"/>
          <w:szCs w:val="22"/>
        </w:rPr>
        <w:t xml:space="preserve">Google OAuth uses the OAuth 2.0 authorization code flow; the platform never receives or stores the user's Google password. The id_token received from Google's token endpoint is validated against three claims before authentication is accepted: the signature is verified against Google's published JWKS endpoint (fetched at startup and cached with a 24-hour TTL, refreshed automatically); the audience claim must match the registered OAuth client_id exactly; and the expiry claim must be in the future at the time of validation. Any id_token that fails any of these three checks is rejected regardless of other claims.</w:t>
      </w:r>
    </w:p>
    <w:p>
      <w:pPr>
        <w:spacing w:before="0" w:after="200" w:line="276" w:lineRule="auto"/>
      </w:pPr>
      <w:r>
        <w:rPr>
          <w:rFonts w:ascii="Arial" w:cs="Arial" w:eastAsia="Arial" w:hAnsi="Arial"/>
          <w:color w:val="2C2C2C"/>
          <w:sz w:val="22"/>
          <w:szCs w:val="22"/>
        </w:rPr>
        <w:t xml:space="preserve">SAML 2.0 SSO for Enterprise tier integrates with the customer's Identity Provider. The SAML assertion is validated against the IdP's published certificate (provided during Enterprise onboarding and stored as a trusted certificate per customer), the audience and recipient must match the SP's registered values, and the assertion must not be expired at the time of consumption. Just-in-time provisioning creates a new platform account for a SAML user whose email does not match an existing account, applying the default role configuration specified during Enterprise setup. SAML authentication maps to internal user accounts via the email claim; if the same email exists with a different authentication method, the accounts are not merged -- they remain separate.</w:t>
      </w:r>
    </w:p>
    <w:p>
      <w:pPr>
        <w:pStyle w:val="Heading2"/>
        <w:spacing w:before="280" w:after="160"/>
      </w:pPr>
      <w:r>
        <w:rPr>
          <w:rFonts w:ascii="Arial" w:cs="Arial" w:eastAsia="Arial" w:hAnsi="Arial"/>
          <w:b/>
          <w:bCs/>
          <w:color w:val="2E75B6"/>
          <w:sz w:val="28"/>
          <w:szCs w:val="28"/>
        </w:rPr>
        <w:t xml:space="preserve">2.2 Authorization Model</w:t>
      </w:r>
    </w:p>
    <w:p>
      <w:pPr>
        <w:spacing w:before="0" w:after="200" w:line="276" w:lineRule="auto"/>
      </w:pPr>
      <w:r>
        <w:rPr>
          <w:rFonts w:ascii="Arial" w:cs="Arial" w:eastAsia="Arial" w:hAnsi="Arial"/>
          <w:color w:val="2C2C2C"/>
          <w:sz w:val="22"/>
          <w:szCs w:val="22"/>
        </w:rPr>
        <w:t xml:space="preserve">Authorization in ContextKeeper follows the ownership-then-role model: the primary authorization question is ownership (does the authenticated identity own the requested resource?), and role-based checks apply only to shared resources. This produces the correct default behavior -- private resources are inaccessible to all parties except the owner -- without requiring explicit deny rules for every resource type. The five authorization checks are applied in sequence; any check that fails terminates the request at that layer.</w:t>
      </w:r>
    </w:p>
    <w:p>
      <w:pPr>
        <w:spacing w:before="0" w:after="200" w:line="276" w:lineRule="auto"/>
      </w:pPr>
      <w:r>
        <w:rPr>
          <w:rFonts w:ascii="Arial" w:cs="Arial" w:eastAsia="Arial" w:hAnsi="Arial"/>
          <w:color w:val="2C2C2C"/>
          <w:sz w:val="22"/>
          <w:szCs w:val="22"/>
        </w:rPr>
        <w:t xml:space="preserve">Check 1 -- Authentication validation: the request must carry a valid session token, API key, or SAML assertion. The middleware layer performs this check before any application logic executes; unauthenticated requests receive a 401 response with no resource information. Check 2 -- Rate limiting: the authenticated identity is subject to per-minute and per-hour request rate limits per Section 2.4; exceeded limits produce 429 responses. Check 3 -- Resource ownership: the requested resource's user_id, team_id, or org_unit_id is compared against the authenticated identity's claims; mismatches produce 404 responses rather than 403 to prevent resource enumeration (an attacker who receives a 403 knows the resource exists; a 404 reveals nothing). Check 4 -- Scope check: for API key authentication, the key's scope is compared against the required scope for the operation; a read-only key attempting a write operation produces a 403. Check 5 -- Role check: for team and enterprise shared resources, the authenticated user's role within the team or organizational unit is evaluated against the minimum role required for the operation.</w:t>
      </w:r>
    </w:p>
    <w:p>
      <w:pPr>
        <w:pStyle w:val="Heading2"/>
        <w:spacing w:before="280" w:after="160"/>
      </w:pPr>
      <w:r>
        <w:rPr>
          <w:rFonts w:ascii="Arial" w:cs="Arial" w:eastAsia="Arial" w:hAnsi="Arial"/>
          <w:b/>
          <w:bCs/>
          <w:color w:val="2E75B6"/>
          <w:sz w:val="28"/>
          <w:szCs w:val="28"/>
        </w:rPr>
        <w:t xml:space="preserve">2.3 Permission Matrix</w:t>
      </w:r>
    </w:p>
    <w:p>
      <w:pPr>
        <w:spacing w:before="0" w:after="200" w:line="276" w:lineRule="auto"/>
      </w:pPr>
      <w:r>
        <w:rPr>
          <w:rFonts w:ascii="Arial" w:cs="Arial" w:eastAsia="Arial" w:hAnsi="Arial"/>
          <w:color w:val="2C2C2C"/>
          <w:sz w:val="22"/>
          <w:szCs w:val="22"/>
        </w:rPr>
        <w:t xml:space="preserve">Table 1 defines the complete permission matrix across the three authentication contexts. The matrix makes explicit what each authentication type can and cannot access, eliminating ambiguity in security architecture reviews.</w:t>
      </w:r>
    </w:p>
    <w:p>
      <w:pPr>
        <w:spacing w:before="200" w:after="120"/>
      </w:pPr>
      <w:r>
        <w:rPr>
          <w:rFonts w:ascii="Arial" w:cs="Arial" w:eastAsia="Arial" w:hAnsi="Arial"/>
          <w:b/>
          <w:bCs/>
          <w:color w:val="2C2C2C"/>
          <w:sz w:val="22"/>
          <w:szCs w:val="22"/>
        </w:rPr>
        <w:t xml:space="preserve">Table 1. Authorization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3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Authenticated User (session)</w:t>
            </w:r>
          </w:p>
        </w:tc>
        <w:tc>
          <w:tcPr>
            <w:tcW w:type="dxa" w:w="23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API Key (scoped)</w:t>
            </w:r>
          </w:p>
        </w:tc>
        <w:tc>
          <w:tcPr>
            <w:tcW w:type="dxa" w:w="23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Session 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Own projects and sessions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CRUD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Read or Read/Write per scope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CRUD for session duration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Team projects (Team+)</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Read by default; Write if admin or member role</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Per-key scope; cannot exceed user's role</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Inherits user's role for session 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Other users' data</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 definitions (own)</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Full CRUD</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Read or Read/Write per scope</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Full CRUD for session 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definitions (team)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Read; Write if team admin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Read only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Inherits role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 credentials (own)</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Read metadata only; never plaintext</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Plaintext available only to connector execution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 endpoints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Super-admin role only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Never accessible via API key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Super-admin session only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Audit logs (own)</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Read own records</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Read own records per scope</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Read own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Audit logs (team/org)</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 role required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Admin-scoped keys only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 session required</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2.4 Rate Limiting Architecture</w:t>
      </w:r>
    </w:p>
    <w:p>
      <w:pPr>
        <w:spacing w:before="0" w:after="200" w:line="276" w:lineRule="auto"/>
      </w:pPr>
      <w:r>
        <w:rPr>
          <w:rFonts w:ascii="Arial" w:cs="Arial" w:eastAsia="Arial" w:hAnsi="Arial"/>
          <w:color w:val="2C2C2C"/>
          <w:sz w:val="22"/>
          <w:szCs w:val="22"/>
        </w:rPr>
        <w:t xml:space="preserve">Rate limiting is the second authorization check and the primary defense against credential stuffing, enumeration attacks, and API abuse. Unlike authentication checks that produce binary pass/fail results, rate limiting provides graduated responses: requests approaching the limit receive standard responses; requests exceeding the limit receive 429 responses with Retry-After headers; requests substantially exceeding the limit trigger anomaly detection alerts in Section 11.</w:t>
      </w:r>
    </w:p>
    <w:p>
      <w:pPr>
        <w:spacing w:before="0" w:after="200" w:line="276" w:lineRule="auto"/>
      </w:pPr>
      <w:r>
        <w:rPr>
          <w:rFonts w:ascii="Arial" w:cs="Arial" w:eastAsia="Arial" w:hAnsi="Arial"/>
          <w:color w:val="2C2C2C"/>
          <w:sz w:val="22"/>
          <w:szCs w:val="22"/>
        </w:rPr>
        <w:t xml:space="preserve">Rate limits are enforced per authenticated identity (not per IP address alone) because IP-based limits are circumvented by distributed attacks from multiple IPs. Authenticated-identity limits cannot be circumvented by IP rotation. For unauthenticated endpoints (login, OAuth callback), IP-based rate limiting provides the primary protection because no authenticated identity is yet established.</w:t>
      </w:r>
    </w:p>
    <w:p>
      <w:pPr>
        <w:spacing w:before="200" w:after="120"/>
      </w:pPr>
      <w:r>
        <w:rPr>
          <w:rFonts w:ascii="Arial" w:cs="Arial" w:eastAsia="Arial" w:hAnsi="Arial"/>
          <w:b/>
          <w:bCs/>
          <w:color w:val="2C2C2C"/>
          <w:sz w:val="22"/>
          <w:szCs w:val="22"/>
        </w:rPr>
        <w:t xml:space="preserve">Table 2. Rate Limit Parameters by Endpoint Category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400"/>
        <w:gridCol w:w="29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 Category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Per-Minute Limit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Per-Hour Limit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Burst Allowance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Exceeded Limit 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Standard API endpoints (GET)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120 requests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2,000 requests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150 requests (30-second window)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429 response with Retry-After: 60 header; no resource information disclosed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Write endpoints (POST, PUT, DELETE)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30 requests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500 requests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40 requests (30-second window)</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429 response; write operation not executed; idempotency key required for retries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execution endpoints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 concurrent runs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100 runs per hour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 runs (30-second window)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429 response; queued if &lt; 150% of limit; rejected above 150%</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Authentication endpoints (login, OAuth)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 attempts per IP</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20 attempts per IP</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Delayed response (progressive backoff: 1s, 2s, 4s, 8s); account not locked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 endpoints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 requests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 requests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429 response; incident log entry created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Webhook delivery endpoints (inbound)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100 requests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5,000 requests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200 requests (30-second window)</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429 response; webhook delivery retried by sender per their retry policy</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Progressive backoff on authentication endpoints deserves specific explanation. When a login attempt fails, the subsequent response is delayed by an increasing amount (1, 2, 4, 8 seconds for successive failures). This slows brute force attempts without locking out the legitimate user who may have simply mistyped their password. The delay is applied per IP address for the unauthenticated login endpoint; after authentication, rate limits shift to per-identity enforcement. The delay values are configured in the application and can be increased for high-security deployments.</w:t>
      </w:r>
    </w:p>
    <w:p>
      <w:pPr>
        <w:spacing w:before="0" w:after="200" w:line="276" w:lineRule="auto"/>
      </w:pPr>
      <w:r>
        <w:rPr>
          <w:rFonts w:ascii="Arial" w:cs="Arial" w:eastAsia="Arial" w:hAnsi="Arial"/>
          <w:color w:val="2C2C2C"/>
          <w:sz w:val="22"/>
          <w:szCs w:val="22"/>
        </w:rPr>
        <w:t xml:space="preserve">Rate limit state is maintained in memory (APCu or Redis, depending on deployment). The state is not persistent -- a server restart resets rate limit counters. This is acceptable for the current single-server deployment; multi-server deployments require a shared state store (Redis) for rate limits to be correctly enforced across instances. BYOI customers deploying multi-instance configurations must configure a Redis connection for rate limit state sharing, or accept that rate limits are enforced per-instance rather than per-deployment.</w:t>
      </w:r>
    </w:p>
    <w:p>
      <w:r>
        <w:br w:type="page"/>
      </w:r>
    </w:p>
    <w:p>
      <w:pPr>
        <w:pStyle w:val="Heading1"/>
        <w:spacing w:before="320" w:after="0"/>
      </w:pPr>
      <w:r>
        <w:rPr>
          <w:rFonts w:ascii="Arial" w:cs="Arial" w:eastAsia="Arial" w:hAnsi="Arial"/>
          <w:b/>
          <w:bCs/>
          <w:color w:val="1B2A4A"/>
          <w:sz w:val="36"/>
          <w:szCs w:val="36"/>
        </w:rPr>
        <w:t xml:space="preserve">3. Credential Encryption Architecture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Connector credentials -- API keys, OAuth tokens, database connection strings, and any other user-provided secrets stored in the connectors table -- are the most sensitive data the platform manages. Their exposure would allow an attacker to access external services on behalf of the user, potentially with destructive consequences including data deletion, financial transactions, or unauthorized access to regulated data. The encryption architecture applies four independent layers of protection, such that defeating any single layer is insufficient to expose credentials in plaintext.</w:t>
      </w:r>
    </w:p>
    <w:p>
      <w:pPr>
        <w:spacing w:before="0" w:after="200" w:line="276" w:lineRule="auto"/>
      </w:pPr>
      <w:r>
        <w:rPr>
          <w:rFonts w:ascii="Arial" w:cs="Arial" w:eastAsia="Arial" w:hAnsi="Arial"/>
          <w:color w:val="2C2C2C"/>
          <w:sz w:val="22"/>
          <w:szCs w:val="22"/>
        </w:rPr>
        <w:t xml:space="preserve">The layered encryption design addresses four distinct threat scenarios. Scenario 1: an attacker gains read access to the MySQL database (via SQL injection, backup exposure, or database credentials theft). Defense: application-layer AES-256-CBC encryption means the attacker obtains only ciphertext; the decryption key is not in the database. Scenario 2: an attacker gains access to the server environment configuration (via file system traversal, process memory inspection, or social engineering of hosting provider staff). Defense: the app_secret in the environment derives keys only in combination with the per-user salt stored in the database; the salt is not in the environment. Scenario 3: an attacker obtains a database backup. Defense: backup encryption with a backup-specific key means the backup cannot be decrypted without the key management service; the backup files alone are insufficient. Scenario 4: a complete server compromise (attacker has both database and file system access). Defense: zero-knowledge credential mode (Section 3.3) ensures the server never holds the decryption key; this mode provides protection against complete server compromise at the cost of additional user friction.</w:t>
      </w:r>
    </w:p>
    <w:p>
      <w:pPr>
        <w:spacing w:before="200" w:after="120"/>
      </w:pPr>
      <w:r>
        <w:rPr>
          <w:rFonts w:ascii="Arial" w:cs="Arial" w:eastAsia="Arial" w:hAnsi="Arial"/>
          <w:b/>
          <w:bCs/>
          <w:color w:val="2C2C2C"/>
          <w:sz w:val="22"/>
          <w:szCs w:val="22"/>
        </w:rPr>
        <w:t xml:space="preserve">Table 3. Credential Encryption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Is Protected</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Defeat Requires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Transport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TLS 1.3 required for all API and dashboard connections; TLS 1.2 and below rejected; certificate pinned in CLI and SDK clients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data in transit between clients and the platform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Network-level MITM plus valid certificate or pin bypass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Application-layer credential encryption</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AES-256-CBC with per-user key derived as HMAC-SHA256(app_secret, user_salt); app_secret in environment config; user_salt in database; neither alone is sufficient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 API keys, OAuth tokens, database connection strings, any user-provided secrets in connectors table</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Simultaneous access to both database (user_salt) and environment (app_secret)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At-rest database encryption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MySQL Transparent Data Encryption (TDE) using database master key in hosting environment key management service; separate from application-layer encryption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database files on disk including hot standby and log files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KMS access plus database file access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Backup encryption</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Backup-specific key derived from master key plus backup timestamp; backups cannot be decrypted without KMS access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Database backup files in cPanel backup storage and secondary cloud storage</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KMS access plus backup file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BYOI customer encryption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Customer-operated KMS (AWS KMS, Azure Key Vault, HashiCorp Vault) provides the application master key; ContextKeeper software never stores the master key -- fetched from customer KMS at startup and held in memory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customer data in BYOI deployments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Customer's KMS access (ContextKeeper has none)</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3.2 Key Derivation</w:t>
      </w:r>
    </w:p>
    <w:p>
      <w:pPr>
        <w:spacing w:before="0" w:after="200" w:line="276" w:lineRule="auto"/>
      </w:pPr>
      <w:r>
        <w:rPr>
          <w:rFonts w:ascii="Arial" w:cs="Arial" w:eastAsia="Arial" w:hAnsi="Arial"/>
          <w:color w:val="2C2C2C"/>
          <w:sz w:val="22"/>
          <w:szCs w:val="22"/>
        </w:rPr>
        <w:t xml:space="preserve">The application-layer credential encryption key for each user is derived as: encryption_key = HMAC-SHA256(app_secret, user_salt). This function has four security properties that are worth stating explicitly as a formal proof of the design's correctness. Property 1 (database independence): the app_secret is stored in the server's environment configuration (.env file) and never written to the database; a read-only compromise of the MySQL database yields ciphertext and user_salt but not app_secret, making decryption impossible. Property 2 (environment independence): the user_salt is a 32-byte random value generated at account creation and stored in the users table; a read-only compromise of the environment configuration yields the app_secret but not the user_salt, making key derivation impossible. Property 3 (per-user key independence): because each user's salt is independently random, each user's encryption key is independent; compromising one user's salt (which requires database access) does not enable decryption of any other user's credentials. Property 4 (computational hardness): HMAC-SHA256 is a pseudorandom function; without knowledge of the app_secret, the output is computationally indistinguishable from a random 256-bit string regardless of known (user_salt, encryption_key) pairs.</w:t>
      </w:r>
    </w:p>
    <w:p>
      <w:pPr>
        <w:spacing w:before="0" w:after="200" w:line="276" w:lineRule="auto"/>
      </w:pPr>
      <w:r>
        <w:rPr>
          <w:rFonts w:ascii="Arial" w:cs="Arial" w:eastAsia="Arial" w:hAnsi="Arial"/>
          <w:color w:val="2C2C2C"/>
          <w:sz w:val="22"/>
          <w:szCs w:val="22"/>
        </w:rPr>
        <w:t xml:space="preserve">The app_secret is a 64-character random hex string (256 bits of entropy) generated at platform initialization and stored exclusively in the .env environment configuration file. It must never be committed to version control, logged in any application log, included in any error message, or stored in the database. The loss of the app_secret is irreversible: it cannot be derived from the stored ciphertexts, and there is no recovery mechanism. All stored connector credentials become permanently unrecoverable if the app_secret is lost. See OPS-001, Section 3.2 for the backup and recovery requirements for the app_secret.</w:t>
      </w:r>
    </w:p>
    <w:p>
      <w:pPr>
        <w:spacing w:before="0" w:after="200" w:line="276" w:lineRule="auto"/>
      </w:pPr>
      <w:r>
        <w:rPr>
          <w:rFonts w:ascii="Arial" w:cs="Arial" w:eastAsia="Arial" w:hAnsi="Arial"/>
          <w:color w:val="2C2C2C"/>
          <w:sz w:val="22"/>
          <w:szCs w:val="22"/>
        </w:rPr>
        <w:t xml:space="preserve">Key rotation procedure: when the app_secret is rotated (annual rotation is the recommended cadence), all stored connector credentials must be re-encrypted under the new key before the old app_secret is destroyed. The rotation procedure: (1) generate a new app_secret and store it in a staging environment variable; (2) for each row in the connectors table, decrypt the credential_encrypted field using the old key (old app_secret + stored user_salt), then re-encrypt using the new key (new app_secret + stored user_salt), then write the new ciphertext back to credential_encrypted; (3) after all rows are processed and verified, update the app_secret in the production environment configuration; (4) destroy the old app_secret from all staging locations. The rotation is performed within a maintenance window (OPS-001, Section 4); the platform operates normally during rotation except that connector operations are queued rather than executed to prevent a race condition between the old and new keys.</w:t>
      </w:r>
    </w:p>
    <w:p>
      <w:pPr>
        <w:pStyle w:val="Heading2"/>
        <w:spacing w:before="280" w:after="160"/>
      </w:pPr>
      <w:r>
        <w:rPr>
          <w:rFonts w:ascii="Arial" w:cs="Arial" w:eastAsia="Arial" w:hAnsi="Arial"/>
          <w:b/>
          <w:bCs/>
          <w:color w:val="2E75B6"/>
          <w:sz w:val="28"/>
          <w:szCs w:val="28"/>
        </w:rPr>
        <w:t xml:space="preserve">3.3 Zero-Knowledge Credential Mode</w:t>
      </w:r>
    </w:p>
    <w:p>
      <w:pPr>
        <w:spacing w:before="0" w:after="200" w:line="276" w:lineRule="auto"/>
      </w:pPr>
      <w:r>
        <w:rPr>
          <w:rFonts w:ascii="Arial" w:cs="Arial" w:eastAsia="Arial" w:hAnsi="Arial"/>
          <w:color w:val="2C2C2C"/>
          <w:sz w:val="22"/>
          <w:szCs w:val="22"/>
        </w:rPr>
        <w:t xml:space="preserve">In zero-knowledge credential mode, the platform stores only client-side-encrypted ciphertext; the decryption key never reaches the server. This eliminates the credential exfiltration threat entirely under all server-side compromise scenarios: even a complete server compromise -- attacker has root access to both the database and the file system -- cannot expose user credentials because the decryption key was never present on the server.</w:t>
      </w:r>
    </w:p>
    <w:p>
      <w:pPr>
        <w:spacing w:before="0" w:after="200" w:line="276" w:lineRule="auto"/>
      </w:pPr>
      <w:r>
        <w:rPr>
          <w:rFonts w:ascii="Arial" w:cs="Arial" w:eastAsia="Arial" w:hAnsi="Arial"/>
          <w:color w:val="2C2C2C"/>
          <w:sz w:val="22"/>
          <w:szCs w:val="22"/>
        </w:rPr>
        <w:t xml:space="preserve">The mechanism: the user's browser or CLI generates a credential encryption key from a user-provided passphrase using PBKDF2-HMAC-SHA256 with 100,000 iterations and a server-provided per-user salt. The NIST SP 800-132 (2010) minimum for interactive authentication does not specify a single iteration count but provides guidance calibrated to available hardware at time of writing; current industry guidance from OWASP (2023) recommends 600,000 iterations for PBKDF2-HMAC-SHA256 in high-security contexts. ContextKeeper uses 100,000 as the default baseline, which enterprise configurations may increase. At 100,000 iterations on current hardware (10^9 PBKDF2 operations per second), exhaustively testing a 10-character alphanumeric passphrase space would require approximately 6 * 10^7 years; at 600,000 iterations this figure scales proportionally. The credential is encrypted client-side with AES-256-GCM before transmission; the server stores only the ciphertext, the GCM authentication tag, and the salt.</w:t>
      </w:r>
    </w:p>
    <w:p>
      <w:pPr>
        <w:spacing w:before="0" w:after="200" w:line="276" w:lineRule="auto"/>
      </w:pPr>
      <w:r>
        <w:rPr>
          <w:rFonts w:ascii="Arial" w:cs="Arial" w:eastAsia="Arial" w:hAnsi="Arial"/>
          <w:color w:val="2C2C2C"/>
          <w:sz w:val="22"/>
          <w:szCs w:val="22"/>
        </w:rPr>
        <w:t xml:space="preserve">When a connector is used in an agent run, the agent execution engine requests the decryption passphrase from the user. In interactive mode (dashboard), the passphrase is solicited via a secure prompt that does not echo the input and does not store the passphrase in browser memory beyond the current session. In CLI mode, the passphrase is retrieved from the OS credential store (Windows Credential Manager, macOS Keychain, or Linux libsecret) where it was stored at the user's option during initial credential configuration. The OS credential store is protected by the user's OS login credentials; the passphrase is never written to disk in plaintext by the ContextKeeper application.</w:t>
      </w:r>
    </w:p>
    <w:p>
      <w:pPr>
        <w:spacing w:before="0" w:after="200" w:line="276" w:lineRule="auto"/>
      </w:pPr>
      <w:r>
        <w:rPr>
          <w:rFonts w:ascii="Arial" w:cs="Arial" w:eastAsia="Arial" w:hAnsi="Arial"/>
          <w:color w:val="2C2C2C"/>
          <w:sz w:val="22"/>
          <w:szCs w:val="22"/>
        </w:rPr>
        <w:t xml:space="preserve">Zero-knowledge mode is optional because it introduces operational friction that is not appropriate for all deployments. The primary friction is that scheduled agent runs cannot retrieve the decryption passphrase without user presence -- the OS credential store in the CLI is the mechanism that enables unattended scheduled runs while maintaining security. Users who enable zero-knowledge mode for scheduled runs must configure the CLI's OS credential store integration; runs without a stored passphrase will fail if the connector requires zero-knowledge decryption. For manual, user-attended agent runs, zero-knowledge mode adds only the passphrase prompt, which is typically a sub-second interaction.</w:t>
      </w:r>
    </w:p>
    <w:p>
      <w:r>
        <w:br w:type="page"/>
      </w:r>
    </w:p>
    <w:p>
      <w:pPr>
        <w:pStyle w:val="Heading1"/>
        <w:spacing w:before="320" w:after="0"/>
      </w:pPr>
      <w:r>
        <w:rPr>
          <w:rFonts w:ascii="Arial" w:cs="Arial" w:eastAsia="Arial" w:hAnsi="Arial"/>
          <w:b/>
          <w:bCs/>
          <w:color w:val="1B2A4A"/>
          <w:sz w:val="36"/>
          <w:szCs w:val="36"/>
        </w:rPr>
        <w:t xml:space="preserve">4. Multi-Tenant Data Isolation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Multi-tenant data isolation is the security property that guarantees no authenticated identity can access another tenant's data through the standard API, regardless of which parameters, header values, or request structures the caller provides. The isolation must be enforced at the data access layer rather than at the application logic layer: application logic can contain bugs that construct incorrect permission checks; data access layer enforcement is structural and applies uniformly to every query regardless of how the application logic constructs it.</w:t>
      </w:r>
    </w:p>
    <w:p>
      <w:pPr>
        <w:spacing w:before="0" w:after="200" w:line="276" w:lineRule="auto"/>
      </w:pPr>
      <w:r>
        <w:rPr>
          <w:rFonts w:ascii="Arial" w:cs="Arial" w:eastAsia="Arial" w:hAnsi="Arial"/>
          <w:color w:val="2C2C2C"/>
          <w:sz w:val="22"/>
          <w:szCs w:val="22"/>
        </w:rPr>
        <w:t xml:space="preserve">The isolation architecture in ContextKeeper uses a mandatory predicate model: the Database.php data access class maintains an authenticated_user_id property set at authentication time and automatically appends a WHERE user_id = {authenticated_user_id} predicate to every query that accesses a user-scoped resource. Application code cannot bypass this predicate because Database.php provides no method that executes a raw query without ownership filtering. This is a stronger guarantee than relying on application code to include the ownership predicate: a developer who forgets to add an ownership check in a new query path does not create a security vulnerability because Database.php enforces the predicate independently of the application code's intent.</w:t>
      </w:r>
    </w:p>
    <w:p>
      <w:pPr>
        <w:spacing w:before="0" w:after="200" w:line="276" w:lineRule="auto"/>
      </w:pPr>
      <w:r>
        <w:rPr>
          <w:rFonts w:ascii="Arial" w:cs="Arial" w:eastAsia="Arial" w:hAnsi="Arial"/>
          <w:color w:val="2C2C2C"/>
          <w:sz w:val="22"/>
          <w:szCs w:val="22"/>
        </w:rPr>
        <w:t xml:space="preserve">The isolation model provides four distinct isolation boundaries corresponding to the four tenant scopes on the platform: user-to-user isolation (the default for all individual resources), team-level isolation (for shared team resources), organizational unit isolation (for Enterprise fleet management), and BYOI deployment isolation (complete database-level separation). Each boundary is enforced by an independent mechanism, and each is tested independently by the automated security test suite. The defense-in-depth principle applies here: multiple isolation mechanisms at different layers mean that the failure of any single mechanism does not produce a cross-tenant data breach.</w:t>
      </w:r>
    </w:p>
    <w:p>
      <w:pPr>
        <w:spacing w:before="200" w:after="120"/>
      </w:pPr>
      <w:r>
        <w:rPr>
          <w:rFonts w:ascii="Arial" w:cs="Arial" w:eastAsia="Arial" w:hAnsi="Arial"/>
          <w:b/>
          <w:bCs/>
          <w:color w:val="2C2C2C"/>
          <w:sz w:val="22"/>
          <w:szCs w:val="22"/>
        </w:rPr>
        <w:t xml:space="preserve">Table 4. Multi-Tenant Isolation Boundaries and Enforcement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Isolation Boundary</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Enforcement Mechanism</w:t>
            </w:r>
          </w:p>
        </w:tc>
        <w:tc>
          <w:tcPr>
            <w:tcW w:type="dxa" w:w="3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User-to-user data isolation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Every query in Database.php appends WHERE user_id = {authenticated_user_id}; parameterized queries prevent injection bypass; no raw query execution without ownership filter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Integration tests verify that an authenticated user cannot retrieve another user's projects, sessions, decisions, invariants, connectors, or agent definitions by any combination of valid API parameters; cross-user attempts return 404</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Team member data isolation</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Team-scoped queries append WHERE (user_id = {user} OR team_id IN (SELECT team_id FROM team_members WHERE user_id = {user} AND accepted_at IS NOT NULL)); team_id is never accepted as a caller-provided parameter without re-validating membership</w:t>
            </w:r>
          </w:p>
        </w:tc>
        <w:tc>
          <w:tcPr>
            <w:tcW w:type="dxa" w:w="3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Integration tests verify team isolation against both active and revoked memberships; revoked members receive 404 for all team resources immediately upon revocation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Organizational unit isolation (Enterprise)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org_unit_id on all agent and connector records; MySQL trigger rejects any INSERT or UPDATE with org_unit_id not matching the authenticated user's unit unless caller has cross_unit_admin role; Database.php appends WHERE org_unit_id = {caller_unit_id} as defense-in-depth</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Automated tests verify that users in unit A cannot trigger, view, or modify agents in unit B; cross-unit admin actions require explicit role elevation; trigger enforcement is verified by attempting direct SQL writes that bypass the application layer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BYOI tenant isolation</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Complete database separation: each BYOI deployment operates its own database instance with no shared tables; the only connection to ContextKeeper infrastructure is the license validation heartbeat, which contains no customer data</w:t>
            </w:r>
          </w:p>
        </w:tc>
        <w:tc>
          <w:tcPr>
            <w:tcW w:type="dxa" w:w="3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Network topology review during BYOI deployment certification; no shared data path between BYOI instances or between BYOI and SaaS platform; isolation verified by attempting cross-instance API calls that should fail at the network layer</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4.2 Organizational Unit Isolation -- Formal Verification</w:t>
      </w:r>
    </w:p>
    <w:p>
      <w:pPr>
        <w:spacing w:before="0" w:after="200" w:line="276" w:lineRule="auto"/>
      </w:pPr>
      <w:r>
        <w:rPr>
          <w:rFonts w:ascii="Arial" w:cs="Arial" w:eastAsia="Arial" w:hAnsi="Arial"/>
          <w:color w:val="2C2C2C"/>
          <w:sz w:val="22"/>
          <w:szCs w:val="22"/>
        </w:rPr>
        <w:t xml:space="preserve">Organizational unit isolation for Enterprise fleet management is enforced at three independent layers, as defined in WP-005, Section 4.6.1. The three-layer enforcement constitutes a defense-in-depth model where all three layers must be simultaneously bypassed to achieve cross-unit data access -- a condition that requires defeating both a database-layer trigger and an application-layer predicate while also possessing the cross_unit_admin role, which is separately controlled.</w:t>
      </w:r>
    </w:p>
    <w:p>
      <w:pPr>
        <w:spacing w:before="0" w:after="200" w:line="276" w:lineRule="auto"/>
      </w:pPr>
      <w:r>
        <w:rPr>
          <w:rFonts w:ascii="Arial" w:cs="Arial" w:eastAsia="Arial" w:hAnsi="Arial"/>
          <w:color w:val="2C2C2C"/>
          <w:sz w:val="22"/>
          <w:szCs w:val="22"/>
        </w:rPr>
        <w:t xml:space="preserve">Layer 1 -- Database trigger: a MySQL trigger on all agent, connector, and org_unit_assignment tables rejects any INSERT or UPDATE operation that sets an org_unit_id not matching the authenticated caller's unit, unless the caller has the cross_unit_admin role. This trigger is enforced by the database engine and cannot be bypassed by any application code path. Its existence and correct firing can be verified directly by attempting a database-level write that violates the rule: the trigger must reject it with an error. The trigger provides protection even against attackers who have compromised the application server and can execute arbitrary PHP -- they cannot execute SQL that violates the trigger.</w:t>
      </w:r>
    </w:p>
    <w:p>
      <w:pPr>
        <w:spacing w:before="0" w:after="200" w:line="276" w:lineRule="auto"/>
      </w:pPr>
      <w:r>
        <w:rPr>
          <w:rFonts w:ascii="Arial" w:cs="Arial" w:eastAsia="Arial" w:hAnsi="Arial"/>
          <w:color w:val="2C2C2C"/>
          <w:sz w:val="22"/>
          <w:szCs w:val="22"/>
        </w:rPr>
        <w:t xml:space="preserve">Layer 2 -- Application predicate: Database.php appends WHERE org_unit_id = {caller_unit_id} to all agent and connector queries, providing a second independent enforcement layer above the database trigger. This predicate is applied by the same ownership enforcement mechanism that provides user-to-user isolation, ensuring consistency: the same code path that prevents user A from reading user B's data also prevents unit A from reading unit B's data. Defense in depth is achieved because Layer 1 and Layer 2 are independent: Layer 1 is enforced by the database engine; Layer 2 is enforced by the application. Bypassing one does not bypass the other.</w:t>
      </w:r>
    </w:p>
    <w:p>
      <w:pPr>
        <w:spacing w:before="0" w:after="200" w:line="276" w:lineRule="auto"/>
      </w:pPr>
      <w:r>
        <w:rPr>
          <w:rFonts w:ascii="Arial" w:cs="Arial" w:eastAsia="Arial" w:hAnsi="Arial"/>
          <w:color w:val="2C2C2C"/>
          <w:sz w:val="22"/>
          <w:szCs w:val="22"/>
        </w:rPr>
        <w:t xml:space="preserve">Layer 3 -- Execution validation: the Trigger Dispatcher in the agent execution engine (WP-005, Section 4.5) validates org_unit_id match before initiating any run, even for internally triggered runs that do not originate from an API request. This layer prevents a scenario where a cross-unit agent run is initiated through an internal pathway that bypasses the application-layer predicate. All three layers must fail simultaneously for cross-unit access to succeed -- the probability of this under normal conditions is zero; under adversarial conditions with a sophisticated attacker, the three independent layers provide three independently exploitable vulnerabilities that would each need to be identified and exploited in coordination.</w:t>
      </w:r>
    </w:p>
    <w:p>
      <w:pPr>
        <w:spacing w:before="0" w:after="200" w:line="276" w:lineRule="auto"/>
      </w:pPr>
      <w:r>
        <w:rPr>
          <w:rFonts w:ascii="Arial" w:cs="Arial" w:eastAsia="Arial" w:hAnsi="Arial"/>
          <w:color w:val="2C2C2C"/>
          <w:sz w:val="22"/>
          <w:szCs w:val="22"/>
        </w:rPr>
        <w:t xml:space="preserve">Isolation verification procedure (executable): the cross-unit isolation can be verified by a security auditor by executing the following sequence in a test deployment with two configured organizational units (unit_id = 1 and unit_id = 2): (1) authenticate as a user belonging to unit 1; (2) attempt GET /api/v1/agents/{agent_id} where the agent belongs to unit 2; (3) verify the response is HTTP 404; (4) attempt to directly insert a row into the agents table via phpMyAdmin with org_unit_id = 2 as the authenticated unit 1 user; (5) verify the MySQL trigger rejects the insert; (6) verify the agent_audit_log records the rejected cross-unit attempt. All three steps should produce the documented behavior to pass the isolation verification.</w:t>
      </w:r>
    </w:p>
    <w:p>
      <w:r>
        <w:br w:type="page"/>
      </w:r>
    </w:p>
    <w:p>
      <w:pPr>
        <w:pStyle w:val="Heading1"/>
        <w:spacing w:before="320" w:after="0"/>
      </w:pPr>
      <w:r>
        <w:rPr>
          <w:rFonts w:ascii="Arial" w:cs="Arial" w:eastAsia="Arial" w:hAnsi="Arial"/>
          <w:b/>
          <w:bCs/>
          <w:color w:val="1B2A4A"/>
          <w:sz w:val="36"/>
          <w:szCs w:val="36"/>
        </w:rPr>
        <w:t xml:space="preserve">5. Threat Model</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threat model defines what the ContextKeeper security architecture is designed to prevent and what it explicitly does not claim to prevent. Both halves of this definition are operationally important. The in-scope threats define the attacks that the security controls are validated against and that the platform operator is accountable for preventing with reasonable effort. The out-of-scope threats define the attack categories where customers must implement complementary controls rather than relying on the platform.</w:t>
      </w:r>
    </w:p>
    <w:p>
      <w:pPr>
        <w:spacing w:before="0" w:after="200" w:line="276" w:lineRule="auto"/>
      </w:pPr>
      <w:r>
        <w:rPr>
          <w:rFonts w:ascii="Arial" w:cs="Arial" w:eastAsia="Arial" w:hAnsi="Arial"/>
          <w:color w:val="2C2C2C"/>
          <w:sz w:val="22"/>
          <w:szCs w:val="22"/>
        </w:rPr>
        <w:t xml:space="preserve">A threat model that claims to protect against everything is making claims it cannot fulfill and will therefore be unable to defend under audit scrutiny. A threat model that is honest about its boundaries -- defining precisely what it covers and what it does not -- is operationally more useful than a comprehensive-sounding but unverifiable model. The scope boundary also determines the security testing requirements: in-scope threats must be tested by the automated security test suite, penetration testing, and SOC 2 audit; out-of-scope threats are not tested by the platform and must be addressed by complementary controls.</w:t>
      </w:r>
    </w:p>
    <w:p>
      <w:pPr>
        <w:spacing w:before="0" w:after="200" w:line="276" w:lineRule="auto"/>
      </w:pPr>
      <w:r>
        <w:rPr>
          <w:rFonts w:ascii="Arial" w:cs="Arial" w:eastAsia="Arial" w:hAnsi="Arial"/>
          <w:color w:val="2C2C2C"/>
          <w:sz w:val="22"/>
          <w:szCs w:val="22"/>
        </w:rPr>
        <w:t xml:space="preserve">The threat actor model for in-scope threats covers three categories: external attackers with no platform access who attempt to gain unauthorized access through the API or network; authenticated users who attempt to access resources beyond their permissions (horizontal privilege escalation); and authenticated users with elevated roles who attempt to access resources beyond their role's scope (vertical privilege escalation within the platform). The threat model does not cover nation-state attackers with cryptanalytic capabilities against AES-256 or SHA-256, physical attackers with direct hardware access, or attackers who have already achieved complete system compromise before any application-layer control can apply.</w:t>
      </w:r>
    </w:p>
    <w:p>
      <w:pPr>
        <w:pStyle w:val="Heading2"/>
        <w:spacing w:before="280" w:after="160"/>
      </w:pPr>
      <w:r>
        <w:rPr>
          <w:rFonts w:ascii="Arial" w:cs="Arial" w:eastAsia="Arial" w:hAnsi="Arial"/>
          <w:b/>
          <w:bCs/>
          <w:color w:val="2E75B6"/>
          <w:sz w:val="28"/>
          <w:szCs w:val="28"/>
        </w:rPr>
        <w:t xml:space="preserve">5.1 In-Scope Threats and Mitigations</w:t>
      </w:r>
    </w:p>
    <w:p>
      <w:pPr>
        <w:spacing w:before="200" w:after="120"/>
      </w:pPr>
      <w:r>
        <w:rPr>
          <w:rFonts w:ascii="Arial" w:cs="Arial" w:eastAsia="Arial" w:hAnsi="Arial"/>
          <w:b/>
          <w:bCs/>
          <w:color w:val="2C2C2C"/>
          <w:sz w:val="22"/>
          <w:szCs w:val="22"/>
        </w:rPr>
        <w:t xml:space="preserve">Table 5. Threat Model: In-Scope Threats, Attack Vectors, and Mitigations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4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In-Scope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Credential theft via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Attacker obtains a user's API key and calls the API to read session data or trigger agent runs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 scope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API keys scoped to specific operations; read-only keys cannot trigger writes; rate limiting detects unusual key usage patterns; keys revocable instantly via dashboard or API</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hijacking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Attacker intercepts or forges a session token to impersonate a logged-in user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 scope</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tokens as HttpOnly and Secure cookies; CSRF tokens on all state-changing requests; session fixation protection (new session ID on login); session expiry enforced server-side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SQL injection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Attacker constructs malicious input that modifies SQL query logic to bypass ownership checks or exfiltrate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 scope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database queries use PDO parameterized statements; no string concatenation in SQL construction; input sanitization at API layer as defense-in-depth; parameterization verified by automated test suite on every deployment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 credential exfiltration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Attacker with read access to the database extracts connector credentials in plaintext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 scope</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Application-layer AES-256-CBC encryption means database read access yields only ciphertext; decryption requires app_secret not stored in the database; formal proof in Section 3.2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Cross-user data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Attacker manipulates API parameters to access another user's projects, sessions, or decisions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 scope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Mandatory user_id predicate on all queries; Database.php provides no raw query bypass; 404 response prevents resource enumeration; verified by automated security test suite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Governance bypass via prompt injection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Malicious content in a connector response attempts to override the agent's governance instructions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 scope</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System prompt injected at governance layer before user content; governance instructions are system-role not overridable by user or tool content; Gate Evaluator evaluates output independently of model's self-assessment; connector content sanitization removes known injection patterns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Bundle tampering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Attacker modifies a handoff bundle before it is consumed by a new session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 scope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MANIFEST.json SHA-256 hashes detect any modification; session_root_hash provides single-anchor verification of complete session; PKI-signed bundles in Audited mode provide non-repudiation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Cross-tenant data access via org unit manipulation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Authenticated user in unit A manipulates requests to access unit B's agents or connectors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 scope</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Three-layer enforcement: MySQL trigger, Database.php predicate, and Trigger Dispatcher validation; all three must fail simultaneously for cross-unit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Supply chain attacks on connector implementations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Malicious marketplace connector exfiltrates data or executes unauthorized actions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 scope for marketplace connectors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Third-party connectors reviewed before listing; connector execution sandboxed (no filesystem access, no network access outside declared endpoints); all connector operations logged; anomaly detection monitors for unusual connector call patterns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Physical infrastructure attacks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Attacker gains physical access to hosting servers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Out of scope</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Physical security is the hosting provider's responsibility; BYOI deployment for customers with physical security requirements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Algorithmic cryptanalysis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Mathematical attack against AES-256, SHA-256, or RSA-4096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Out of scope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These algorithms have no known practical vulnerabilities; cryptanalytic breaks are excluded from the threat model by definition</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5.2 Out-of-Scope Threats</w:t>
      </w:r>
    </w:p>
    <w:p>
      <w:pPr>
        <w:spacing w:before="0" w:after="200" w:line="276" w:lineRule="auto"/>
      </w:pPr>
      <w:r>
        <w:rPr>
          <w:rFonts w:ascii="Arial" w:cs="Arial" w:eastAsia="Arial" w:hAnsi="Arial"/>
          <w:color w:val="2C2C2C"/>
          <w:sz w:val="22"/>
          <w:szCs w:val="22"/>
        </w:rPr>
        <w:t xml:space="preserve">The following threat categories are explicitly excluded from the ContextKeeper security architecture. Customers with requirements in these areas must implement complementary controls.</w:t>
      </w:r>
    </w:p>
    <w:p>
      <w:pPr>
        <w:pStyle w:val="ListParagraph"/>
        <w:numPr>
          <w:ilvl w:val="0"/>
          <w:numId w:val="2"/>
        </w:numPr>
        <w:spacing w:before="0" w:after="120" w:line="276" w:lineRule="auto"/>
      </w:pPr>
      <w:r>
        <w:rPr>
          <w:rFonts w:ascii="Arial" w:cs="Arial" w:eastAsia="Arial" w:hAnsi="Arial"/>
          <w:color w:val="2C2C2C"/>
          <w:sz w:val="22"/>
          <w:szCs w:val="22"/>
        </w:rPr>
        <w:t xml:space="preserve">Physical infrastructure attacks: physical security of the hosting environment is the hosting provider's responsibility for SaaS deployments; BYOI customers are responsible for physical security of their own infrastructure. ContextKeeper cannot prevent an attacker with direct physical hardware access from extracting data through side channels or cold boot attacks.</w:t>
      </w:r>
    </w:p>
    <w:p>
      <w:pPr>
        <w:pStyle w:val="ListParagraph"/>
        <w:numPr>
          <w:ilvl w:val="0"/>
          <w:numId w:val="2"/>
        </w:numPr>
        <w:spacing w:before="0" w:after="120" w:line="276" w:lineRule="auto"/>
      </w:pPr>
      <w:r>
        <w:rPr>
          <w:rFonts w:ascii="Arial" w:cs="Arial" w:eastAsia="Arial" w:hAnsi="Arial"/>
          <w:color w:val="2C2C2C"/>
          <w:sz w:val="22"/>
          <w:szCs w:val="22"/>
        </w:rPr>
        <w:t xml:space="preserve">Endpoint security: security of the developer's workstation, browser, or IDE is the user's responsibility. ContextKeeper cannot prevent credential theft from a compromised endpoint that captures keystrokes, screenshots session tokens, or intercepts TLS traffic before encryption.</w:t>
      </w:r>
    </w:p>
    <w:p>
      <w:pPr>
        <w:pStyle w:val="ListParagraph"/>
        <w:numPr>
          <w:ilvl w:val="0"/>
          <w:numId w:val="2"/>
        </w:numPr>
        <w:spacing w:before="0" w:after="120" w:line="276" w:lineRule="auto"/>
      </w:pPr>
      <w:r>
        <w:rPr>
          <w:rFonts w:ascii="Arial" w:cs="Arial" w:eastAsia="Arial" w:hAnsi="Arial"/>
          <w:color w:val="2C2C2C"/>
          <w:sz w:val="22"/>
          <w:szCs w:val="22"/>
        </w:rPr>
        <w:t xml:space="preserve">Algorithmic cryptanalysis: the threat model explicitly excludes mathematical breaks of AES-256, SHA-256, or RSA-4096. These algorithms have no known practical vulnerabilities as of the date of this publication.</w:t>
      </w:r>
    </w:p>
    <w:p>
      <w:pPr>
        <w:pStyle w:val="ListParagraph"/>
        <w:numPr>
          <w:ilvl w:val="0"/>
          <w:numId w:val="2"/>
        </w:numPr>
        <w:spacing w:before="0" w:after="120" w:line="276" w:lineRule="auto"/>
      </w:pPr>
      <w:r>
        <w:rPr>
          <w:rFonts w:ascii="Arial" w:cs="Arial" w:eastAsia="Arial" w:hAnsi="Arial"/>
          <w:color w:val="2C2C2C"/>
          <w:sz w:val="22"/>
          <w:szCs w:val="22"/>
        </w:rPr>
        <w:t xml:space="preserve">Insider threats at the hosting provider: a malicious employee at the cPanel hosting provider with physical or administrative access to server infrastructure is out of scope for the application security architecture. Customers with insider threat requirements at the infrastructure level should use BYOI deployment with their own infrastructure provider.</w:t>
      </w:r>
    </w:p>
    <w:p>
      <w:pPr>
        <w:pStyle w:val="ListParagraph"/>
        <w:numPr>
          <w:ilvl w:val="0"/>
          <w:numId w:val="2"/>
        </w:numPr>
        <w:spacing w:before="0" w:after="120" w:line="276" w:lineRule="auto"/>
      </w:pPr>
      <w:r>
        <w:rPr>
          <w:rFonts w:ascii="Arial" w:cs="Arial" w:eastAsia="Arial" w:hAnsi="Arial"/>
          <w:color w:val="2C2C2C"/>
          <w:sz w:val="22"/>
          <w:szCs w:val="22"/>
        </w:rPr>
        <w:t xml:space="preserve">Social engineering: attacks that manipulate platform staff or users into revealing credentials through deception are out of scope for the technical security architecture. Addressed through security awareness training and operational procedures, not technical controls.</w:t>
      </w:r>
    </w:p>
    <w:p>
      <w:pPr>
        <w:pStyle w:val="ListParagraph"/>
        <w:numPr>
          <w:ilvl w:val="0"/>
          <w:numId w:val="2"/>
        </w:numPr>
        <w:spacing w:before="0" w:after="120" w:line="276" w:lineRule="auto"/>
      </w:pPr>
      <w:r>
        <w:rPr>
          <w:rFonts w:ascii="Arial" w:cs="Arial" w:eastAsia="Arial" w:hAnsi="Arial"/>
          <w:color w:val="2C2C2C"/>
          <w:sz w:val="22"/>
          <w:szCs w:val="22"/>
        </w:rPr>
        <w:t xml:space="preserve">Denial-of-service at infrastructure scale: volumetric DDoS attacks against the hosting provider's network infrastructure are out of scope; addressed by the hosting provider's DDoS mitigation capabilities. Application-layer rate limiting (Section 2.4) addresses application-layer DoS from authenticated identities.</w:t>
      </w:r>
    </w:p>
    <w:p>
      <w:r>
        <w:br w:type="page"/>
      </w:r>
    </w:p>
    <w:p>
      <w:pPr>
        <w:pStyle w:val="Heading1"/>
        <w:spacing w:before="320" w:after="0"/>
      </w:pPr>
      <w:r>
        <w:rPr>
          <w:rFonts w:ascii="Arial" w:cs="Arial" w:eastAsia="Arial" w:hAnsi="Arial"/>
          <w:b/>
          <w:bCs/>
          <w:color w:val="1B2A4A"/>
          <w:sz w:val="36"/>
          <w:szCs w:val="36"/>
        </w:rPr>
        <w:t xml:space="preserve">6. Cryptographic Audit Trail Architecture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cryptographic audit trail provides tamper-evident records of every significant governance event in a ContextKeeper session. Tamper-evident means that any modification to any historical record -- changing a gate result, altering a model output, updating a timestamp -- is detectable by recomputing the commitment chain. The tamper-evidence property does not require trusting the platform operator: any party with access to the stored commitments can independently verify the integrity of any session without trusting any party who had access to the data.</w:t>
      </w:r>
    </w:p>
    <w:p>
      <w:pPr>
        <w:spacing w:before="0" w:after="200" w:line="276" w:lineRule="auto"/>
      </w:pPr>
      <w:r>
        <w:rPr>
          <w:rFonts w:ascii="Arial" w:cs="Arial" w:eastAsia="Arial" w:hAnsi="Arial"/>
          <w:color w:val="2C2C2C"/>
          <w:sz w:val="22"/>
          <w:szCs w:val="22"/>
        </w:rPr>
        <w:t xml:space="preserve">The audit trail architecture extends the SHA-256 integrity verification defined in WP-001, Section 9 -- which covers bundle-level integrity -- to per-event integrity. Bundle-level integrity detects modification of the bundle as a whole but does not identify which specific event within the bundle was modified. Per-event commitments narrow the detection granularity to individual gate evaluations and state transitions, allowing an auditor to identify the specific event that was modified rather than only knowing that the bundle was compromised.</w:t>
      </w:r>
    </w:p>
    <w:p>
      <w:pPr>
        <w:spacing w:before="0" w:after="200" w:line="276" w:lineRule="auto"/>
      </w:pPr>
      <w:r>
        <w:rPr>
          <w:rFonts w:ascii="Arial" w:cs="Arial" w:eastAsia="Arial" w:hAnsi="Arial"/>
          <w:color w:val="2C2C2C"/>
          <w:sz w:val="22"/>
          <w:szCs w:val="22"/>
        </w:rPr>
        <w:t xml:space="preserve">The design choice to use a hash chain (each commitment including the previous commitment as an input) rather than independent per-event hashes provides an additional security property: retroactive modification resistance. Independent hashes can be replaced individually -- an attacker who modifies event N can replace hash(N) with hash(modified_N) without affecting any other hash. A hash chain cannot be selectively modified: modifying event N requires recomputing hash(N) and every subsequent hash in the chain, which is detectable because the final hash in the chain (the session_root_hash stored in sessions_log) will not match its stored value.</w:t>
      </w:r>
    </w:p>
    <w:p>
      <w:pPr>
        <w:pStyle w:val="Heading2"/>
        <w:spacing w:before="280" w:after="160"/>
      </w:pPr>
      <w:r>
        <w:rPr>
          <w:rFonts w:ascii="Arial" w:cs="Arial" w:eastAsia="Arial" w:hAnsi="Arial"/>
          <w:b/>
          <w:bCs/>
          <w:color w:val="2E75B6"/>
          <w:sz w:val="28"/>
          <w:szCs w:val="28"/>
        </w:rPr>
        <w:t xml:space="preserve">6.1 Cryptographic Commitment Design</w:t>
      </w:r>
    </w:p>
    <w:p>
      <w:pPr>
        <w:spacing w:before="0" w:after="200" w:line="276" w:lineRule="auto"/>
      </w:pPr>
      <w:r>
        <w:rPr>
          <w:rFonts w:ascii="Arial" w:cs="Arial" w:eastAsia="Arial" w:hAnsi="Arial"/>
          <w:color w:val="2C2C2C"/>
          <w:sz w:val="22"/>
          <w:szCs w:val="22"/>
        </w:rPr>
        <w:t xml:space="preserve">Each gate evaluation produces a commitment that is computed from four inputs: the model output text, the gate result (pass/fail with the specific invariant evaluated), the timestamp, and the session ID. These four inputs are concatenated in a defined order (model_output_text + gate_result + timestamp + session_id) and hashed with SHA-256. The commitment is stored in the gate_commitments table and included in the bundle MANIFEST. A verifier can reproduce any commitment by retrieving the four inputs from storage and computing the same hash.</w:t>
      </w:r>
    </w:p>
    <w:p>
      <w:pPr>
        <w:spacing w:before="200" w:after="120"/>
      </w:pPr>
      <w:r>
        <w:rPr>
          <w:rFonts w:ascii="Arial" w:cs="Arial" w:eastAsia="Arial" w:hAnsi="Arial"/>
          <w:b/>
          <w:bCs/>
          <w:color w:val="2C2C2C"/>
          <w:sz w:val="22"/>
          <w:szCs w:val="22"/>
        </w:rPr>
        <w:t xml:space="preserve">Table 6. Cryptographic Commitment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Commitment Component</w:t>
            </w:r>
          </w:p>
        </w:tc>
        <w:tc>
          <w:tcPr>
            <w:tcW w:type="dxa" w:w="3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Verification Protocol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Gate output commitment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 each gate evaluation: commitment = SHA256(model_output_text + gate_result + timestamp + session_id); stored in gate_commitments table and bundle MANIFEST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Verifier retrieves stored inputs, recomputes SHA256, compares to stored commitment; any modification to any input produces a different hash</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State transition commitment</w:t>
            </w:r>
          </w:p>
        </w:tc>
        <w:tc>
          <w:tcPr>
            <w:tcW w:type="dxa" w:w="3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At each DEL-v2 state transition: transition_commitment = SHA256(previous_state + new_state + timestamp + operator_id + session_id + previous_commitment); chaining via previous_commitment creates the hash chain</w:t>
            </w:r>
          </w:p>
        </w:tc>
        <w:tc>
          <w:tcPr>
            <w:tcW w:type="dxa" w:w="3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Any modification to any historical state transition invalidates all subsequent commitments; the chain break is detectable at the first modified commitment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Model version commitment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 each inference call, the exact model version string returned by the provider API (e.g., gpt-4o-2025-01-01) is included in the gate output commitment hash</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Proves exactly which model version was used at execution time; prevents retroactive claims that a different (better or worse) model was used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Aggregate session commitment (session_root_hash)</w:t>
            </w:r>
          </w:p>
        </w:tc>
        <w:tc>
          <w:tcPr>
            <w:tcW w:type="dxa" w:w="3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At session close: session_root_hash = SHA256 of the ordered concatenation of all gate output commitments for the session; stored in sessions_log and included in handoff bundle</w:t>
            </w:r>
          </w:p>
        </w:tc>
        <w:tc>
          <w:tcPr>
            <w:tcW w:type="dxa" w:w="3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single session_root_hash is sufficient to verify complete session integrity; if any gate commitment was modified, the root hash will not match its stored value</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6.2 PKI-Signed Bundle Architecture</w:t>
      </w:r>
    </w:p>
    <w:p>
      <w:pPr>
        <w:spacing w:before="0" w:after="200" w:line="276" w:lineRule="auto"/>
      </w:pPr>
      <w:r>
        <w:rPr>
          <w:rFonts w:ascii="Arial" w:cs="Arial" w:eastAsia="Arial" w:hAnsi="Arial"/>
          <w:color w:val="2C2C2C"/>
          <w:sz w:val="22"/>
          <w:szCs w:val="22"/>
        </w:rPr>
        <w:t xml:space="preserve">PKI-signed bundles extend the hash-chain commitment with a cryptographic signature that provides non-repudiation: not only can tampering be detected, but the bundle can be proven to have been produced by a specific ContextKeeper installation at a specific time. Non-repudiation is required for compliance use cases where the audit record must be verifiable by a third party (a regulator, an auditor, or a counterparty) without trusting the platform operator's self-attestation.</w:t>
      </w:r>
    </w:p>
    <w:p>
      <w:pPr>
        <w:spacing w:before="200" w:after="120"/>
      </w:pPr>
      <w:r>
        <w:rPr>
          <w:rFonts w:ascii="Arial" w:cs="Arial" w:eastAsia="Arial" w:hAnsi="Arial"/>
          <w:b/>
          <w:bCs/>
          <w:color w:val="2C2C2C"/>
          <w:sz w:val="22"/>
          <w:szCs w:val="22"/>
        </w:rPr>
        <w:t xml:space="preserve">Table 7. PKI-Signed Bundle Architecture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28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PKI Component</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signing key pair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4096-bit RSA key pair generated at platform initialization; private key in platform's KMS; public key published at https://contextkeeper.org/.well-known/signing-key.pem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Signs all audit bundles in Audited governance mode; enables third-party verification without trusting the platform operator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Per-bundle signature</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SHA256 hash of complete MANIFEST.json, signed with RSA private key using PKCS#1 v2.1 (RSASSA-PSS) padding; stored as bundle.sig alongside MANIFEST.json inside the bundle zip</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Non-repudiation: any party with the public key can verify the bundle was produced by this ContextKeeper installation; modification of MANIFEST.json after signing invalidates the signature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Customer signing keys (BYOI)</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Customer generates their own 4096-bit RSA key pair; private key in customer's KMS; public key registered with the customer's ContextKeeper instance at deployment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BYOI bundles are signed with a key only the customer controls; ContextKeeper has no ability to produce a valid signature for a BYOI customer's bundles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Certificate chain</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Platform certificate self-signed for initial deployment; Enterprise SaaS certificate signed by dedicated CA; BYOI: customer determines CA chain</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Establishes trust anchor for third-party verification; a verifier who trusts the CA trusts the signature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Key rotation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signing keys rotated annually; transition period where both old and new public keys are valid; MANIFEST.json records key_id for each bundle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Limits key compromise exposure window; historical bundles signed by old key remain verifiable using retained old public key</w:t>
            </w:r>
          </w:p>
        </w:tc>
      </w:tr>
    </w:tbl>
    <w:p>
      <w:pPr>
        <w:spacing w:before="0" w:after="120"/>
      </w:pPr>
      <w:r>
        <w:t xml:space="preserve"/>
      </w:r>
    </w:p>
    <w:p>
      <w:pPr>
        <w:pBdr>
          <w:left w:val="single" w:color="2E75B6" w:sz="18" w:space="4"/>
        </w:pBdr>
        <w:spacing w:before="160" w:after="160"/>
        <w:ind w:left="720" w:right="360"/>
      </w:pPr>
      <w:r>
        <w:rPr>
          <w:rFonts w:ascii="Arial" w:cs="Arial" w:eastAsia="Arial" w:hAnsi="Arial"/>
          <w:color w:val="1B2A4A"/>
          <w:sz w:val="22"/>
          <w:szCs w:val="22"/>
        </w:rPr>
        <w:t xml:space="preserve">The distinction between the standard bundle (SHA-256 integrity, tamper-detectable) and the PKI-signed bundle (RSASSA-PSS signature, tamper-detectable and non-repudiable) maps directly to the governance mode distinction: Standard mode produces hash-protected bundles; Audited mode produces PKI-signed bundles. The Audited mode bundle is the compliance-grade artifact that a regulated industry auditor can verify independently.</w:t>
      </w:r>
    </w:p>
    <w:p>
      <w:pPr>
        <w:pStyle w:val="Heading2"/>
        <w:spacing w:before="280" w:after="160"/>
      </w:pPr>
      <w:r>
        <w:rPr>
          <w:rFonts w:ascii="Arial" w:cs="Arial" w:eastAsia="Arial" w:hAnsi="Arial"/>
          <w:b/>
          <w:bCs/>
          <w:color w:val="2E75B6"/>
          <w:sz w:val="28"/>
          <w:szCs w:val="28"/>
        </w:rPr>
        <w:t xml:space="preserve">6.3 Chain Integrity Verification Algorithm</w:t>
      </w:r>
    </w:p>
    <w:p>
      <w:pPr>
        <w:spacing w:before="0" w:after="200" w:line="276" w:lineRule="auto"/>
      </w:pPr>
      <w:r>
        <w:rPr>
          <w:rFonts w:ascii="Arial" w:cs="Arial" w:eastAsia="Arial" w:hAnsi="Arial"/>
          <w:color w:val="2C2C2C"/>
          <w:sz w:val="22"/>
          <w:szCs w:val="22"/>
        </w:rPr>
        <w:t xml:space="preserve">The chain integrity verification algorithm allows any party to verify the complete integrity of a session's audit trail from the stored commitments, without access to the original model outputs (which may be large). The algorithm verifies that the stored session_root_hash is consistent with the stored gate commitments, and that each gate commitment is consistent with the stored gate evaluation inputs.</w:t>
      </w:r>
    </w:p>
    <w:p>
      <w:pPr>
        <w:spacing w:before="0" w:after="200" w:line="276" w:lineRule="auto"/>
      </w:pPr>
      <w:r>
        <w:rPr>
          <w:rFonts w:ascii="Arial" w:cs="Arial" w:eastAsia="Arial" w:hAnsi="Arial"/>
          <w:color w:val="2C2C2C"/>
          <w:sz w:val="22"/>
          <w:szCs w:val="22"/>
        </w:rPr>
        <w:t xml:space="preserve">The verification procedure is as follows. Input: the session_id to verify, the session_root_hash stored in sessions_log, and the list of gate_commitments rows for the session ordered by timestamp ascending. Step 1: retrieve all gate_commitments rows for the session_id, ordered by timestamp ascending. Step 2: for each commitment row, retrieve the four inputs from storage: model_output_text, gate_result, timestamp, session_id. Step 3: recompute the expected commitment as SHA256(model_output_text + gate_result + timestamp + session_id). Step 4: compare the recomputed commitment against the stored commitment value; if they differ, the commitment at this row has been modified -- report the specific gate_id and timestamp of the modified commitment and halt. Step 5: after all individual commitments are verified, recompute the session_root_hash as SHA256 of the ordered concatenation of all verified gate commitment values. Step 6: compare the recomputed session_root_hash against the value stored in sessions_log; if they differ, the commitment list has been modified (rows added, removed, or reordered) even though individual commitment values passed -- report the discrepancy. Step 7: if all individual commitments pass and the session_root_hash matches, the session's audit trail is verified as unmodified.</w:t>
      </w:r>
    </w:p>
    <w:p>
      <w:pPr>
        <w:spacing w:before="0" w:after="200" w:line="276" w:lineRule="auto"/>
      </w:pPr>
      <w:r>
        <w:rPr>
          <w:rFonts w:ascii="Arial" w:cs="Arial" w:eastAsia="Arial" w:hAnsi="Arial"/>
          <w:color w:val="2C2C2C"/>
          <w:sz w:val="22"/>
          <w:szCs w:val="22"/>
        </w:rPr>
        <w:t xml:space="preserve">For PKI-signed bundles (Audited mode), Step 8: retrieve the bundle.sig file and MANIFEST.json from the bundle zip. Verify the RSASSA-PSS signature of the SHA256 hash of MANIFEST.json against the platform's published public key at https://contextkeeper.org/.well-known/signing-key.pem. If the signature verification fails, the bundle has been modified after signing -- the signature verification step distinguishes between modification before signing (which would not produce a valid signature) and modification after signing (which invalidates the signature). If the signature is valid but the session_root_hash in MANIFEST.json does not match the session_root_hash in sessions_log, the bundle was generated from a different session state than what is currently stored.</w:t>
      </w:r>
    </w:p>
    <w:p>
      <w:r>
        <w:br w:type="page"/>
      </w:r>
    </w:p>
    <w:p>
      <w:pPr>
        <w:pStyle w:val="Heading1"/>
        <w:spacing w:before="320" w:after="0"/>
      </w:pPr>
      <w:r>
        <w:rPr>
          <w:rFonts w:ascii="Arial" w:cs="Arial" w:eastAsia="Arial" w:hAnsi="Arial"/>
          <w:b/>
          <w:bCs/>
          <w:color w:val="1B2A4A"/>
          <w:sz w:val="36"/>
          <w:szCs w:val="36"/>
        </w:rPr>
        <w:t xml:space="preserve">7. BYOI Security Architecture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BYOI (Bring Your Own Infrastructure) deployment model provides the strongest possible data residency and confidentiality guarantee: the platform operator (ContextKeeper) has zero ability to access or decrypt customer data. This guarantee is architectural, not contractual -- it holds even if ContextKeeper staff are compelled by legal process, because the keys required to decrypt BYOI customer data are held exclusively by the customer's own key management service, which is outside ContextKeeper's control.</w:t>
      </w:r>
    </w:p>
    <w:p>
      <w:pPr>
        <w:spacing w:before="0" w:after="200" w:line="276" w:lineRule="auto"/>
      </w:pPr>
      <w:r>
        <w:rPr>
          <w:rFonts w:ascii="Arial" w:cs="Arial" w:eastAsia="Arial" w:hAnsi="Arial"/>
          <w:color w:val="2C2C2C"/>
          <w:sz w:val="22"/>
          <w:szCs w:val="22"/>
        </w:rPr>
        <w:t xml:space="preserve">The BYOI security architecture differs from the SaaS architecture in three structural ways. First, the customer's KMS provides the application-layer encryption master key. The BYOI deployment fetches the master key from the customer's KMS (AWS KMS, Azure Key Vault, or HashiCorp Vault) at startup; the key is held in memory during operation and never written to disk. ContextKeeper software has no hardcoded access to the customer's KMS and cannot obtain the key without the customer's KMS credentials. Second, all platform-generated data is stored in the customer's own database instance, not in any ContextKeeper-operated storage. There is no data replication, telemetry, or logging that sends customer data to ContextKeeper infrastructure. The only outbound connection from a BYOI deployment to ContextKeeper infrastructure is the hourly license validation heartbeat, which transmits only the license key hash and deployment version number. Third, the PKI signing key for BYOI bundles is generated and held by the customer; ContextKeeper has no copy and cannot produce a valid bundle signature for a BYOI deployment.</w:t>
      </w:r>
    </w:p>
    <w:p>
      <w:pPr>
        <w:spacing w:before="0" w:after="200" w:line="276" w:lineRule="auto"/>
      </w:pPr>
      <w:r>
        <w:rPr>
          <w:rFonts w:ascii="Arial" w:cs="Arial" w:eastAsia="Arial" w:hAnsi="Arial"/>
          <w:color w:val="2C2C2C"/>
          <w:sz w:val="22"/>
          <w:szCs w:val="22"/>
        </w:rPr>
        <w:t xml:space="preserve">Network architecture for BYOI deployments: the BYOI deployment is recommended to operate within a VPC or private network segment with no public internet access except for the following specific outbound connections: TLS to LLM provider APIs for inference (outbound only, no inbound); TLS to external connector APIs for connector operations (outbound only, to declared endpoints only); TLS to the customer's KMS for key retrieval (outbound only). The license heartbeat to ContextKeeper's license server is the only outbound connection to ContextKeeper infrastructure; it is HTTPS with the license server's certificate pinned in the BYOI deployment. All user-facing connections come from the customer's internal network only; the BYOI deployment does not expose a public internet endpoint unless the customer explicitly configures one.</w:t>
      </w:r>
    </w:p>
    <w:p>
      <w:r>
        <w:br w:type="page"/>
      </w:r>
    </w:p>
    <w:p>
      <w:pPr>
        <w:pStyle w:val="Heading1"/>
        <w:spacing w:before="320" w:after="0"/>
      </w:pPr>
      <w:r>
        <w:rPr>
          <w:rFonts w:ascii="Arial" w:cs="Arial" w:eastAsia="Arial" w:hAnsi="Arial"/>
          <w:b/>
          <w:bCs/>
          <w:color w:val="1B2A4A"/>
          <w:sz w:val="36"/>
          <w:szCs w:val="36"/>
        </w:rPr>
        <w:t xml:space="preserve">8. Formal Verification Integration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Formal verification integration extends governance from probabilistic assurance (the model asserts the invariant holds and the Gate Evaluator checks the assertion) to mathematical assurance (a theorem prover demonstrates the invariant holds for all inputs in the specified domain, not just for the specific input presented). It is the highest-assurance option and is appropriate for regulated industry deployments where probabilistic governance is insufficient for compliance -- financial calculations with regulatory requirements, medical decision support, legal document review, or any domain where the consequences of an invariant violation are severe and the organization must demonstrate mathematical certainty rather than empirical consistency.</w:t>
      </w:r>
    </w:p>
    <w:p>
      <w:pPr>
        <w:spacing w:before="200" w:after="120"/>
      </w:pPr>
      <w:r>
        <w:rPr>
          <w:rFonts w:ascii="Arial" w:cs="Arial" w:eastAsia="Arial" w:hAnsi="Arial"/>
          <w:b/>
          <w:bCs/>
          <w:color w:val="2C2C2C"/>
          <w:sz w:val="22"/>
          <w:szCs w:val="22"/>
        </w:rPr>
        <w:t xml:space="preserve">Table 8. Formal Verification Integration: Verification Types and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Verification Type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Applicable Invariant Classes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Schema assertion checking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generates database queries that evaluate invariant expressions directly against current data; SQL predicate assertions evaluated by the database engine return pass/fail with violation details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Database constraints, referential integrity assertions, value range constraints, row count bounds, format compliance checks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API contract checking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OpenAPI schema validation at the API gateway layer on every request and response; responses not matching the declared schema are rejected and logged before reaching the client</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API response schemas, input validation constraints, header requirements, status code assertions, rate limit compliance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Z3 SMT solver integration (Enterprise add-on)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 assertions in SMT-LIB2 format, platform calls a Z3 solver instance; returns SAT (counterexample exists) or UNSAT (assertion holds for all inputs in specified domain)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Numerical range proofs, logical implication verification, absence of specific patterns (SQL injection cannot satisfy parameterization invariant), financial calculation correctness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ContextKeeper Assertion DSL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Domain-specific language compiling to both SQL predicates and Z3 SMT-LIB2; allows assertion authoring without SQL or SMT-LIB2 expertise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All invariant classes; DSL is the recommended authoring format; SQL and SMT-LIB2 are expert options for assertions DSL cannot express</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The ContextKeeper Assertion DSL produces assertions readable by non-specialist engineers while generating the correct formal verification input for each backend. Example: 'ASSERT for_all queries WHERE context = user_facing: query.has_limit_clause = true' compiles to a SQL predicate that the database evaluates against the query log, and to an SMT-LIB2 formula that Z3 evaluates mathematically. The same assertion serves both empirical verification (did this property hold for all queries in the last 24 hours?) and mathematical verification (can this property ever be violated given the defined query construction rules?).</w:t>
      </w:r>
    </w:p>
    <w:p>
      <w:pPr>
        <w:spacing w:before="0" w:after="200" w:line="276" w:lineRule="auto"/>
      </w:pPr>
      <w:r>
        <w:rPr>
          <w:rFonts w:ascii="Arial" w:cs="Arial" w:eastAsia="Arial" w:hAnsi="Arial"/>
          <w:color w:val="2C2C2C"/>
          <w:sz w:val="22"/>
          <w:szCs w:val="22"/>
        </w:rPr>
        <w:t xml:space="preserve">The Z3 integration operates as a sandboxed sidecar service with no network access and no file system access outside its working directory. The main application sends assertion problems to the Z3 sidecar via an internal API and receives SAT/UNSAT results with counterexamples or proof certificates. The sandboxing prevents a compromised Z3 instance from affecting the main application. Z3 assertion calls add 10ms to 500ms of latency per call depending on assertion complexity; this latency is acceptable at gate checkpoint frequency but prohibitive for per-inference-call checks. Formal verification is therefore applied only at configured gate checkpoints, not on every model output.</w:t>
      </w:r>
    </w:p>
    <w:p>
      <w:r>
        <w:br w:type="page"/>
      </w:r>
    </w:p>
    <w:p>
      <w:pPr>
        <w:pStyle w:val="Heading1"/>
        <w:spacing w:before="320" w:after="0"/>
      </w:pPr>
      <w:r>
        <w:rPr>
          <w:rFonts w:ascii="Arial" w:cs="Arial" w:eastAsia="Arial" w:hAnsi="Arial"/>
          <w:b/>
          <w:bCs/>
          <w:color w:val="1B2A4A"/>
          <w:sz w:val="36"/>
          <w:szCs w:val="36"/>
        </w:rPr>
        <w:t xml:space="preserve">9. Prompt Injection Defense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Prompt injection is the attack in which malicious content in a model's input context -- from connector responses, user-provided data, retrieved documents, or any external source -- attempts to override the model's system instructions, causing it to bypass governance constraints, exfiltrate information, or take unauthorized actions. It is the most operationally relevant security threat specific to AI agent systems and the one most likely to be exploited in production deployments where connectors retrieve content from external sources.</w:t>
      </w:r>
    </w:p>
    <w:p>
      <w:pPr>
        <w:spacing w:before="0" w:after="200" w:line="276" w:lineRule="auto"/>
      </w:pPr>
      <w:r>
        <w:rPr>
          <w:rFonts w:ascii="Arial" w:cs="Arial" w:eastAsia="Arial" w:hAnsi="Arial"/>
          <w:color w:val="2C2C2C"/>
          <w:sz w:val="22"/>
          <w:szCs w:val="22"/>
        </w:rPr>
        <w:t xml:space="preserve">ContextKeeper's defense operates at three levels. Level 1 is structural: governance instructions are injected as system-role content before any user or connector content. Level 2 is evaluative: the Gate Evaluator assesses gate conditions independently of the model's claims about its own compliance. Level 3 is preventive: connector content is sanitized before injection to remove known injection patterns. These three levels are independent and complementary -- a prompt injection attempt that succeeds at Level 1 (the model is convinced to violate governance instructions) is caught at Level 2 (the Gate Evaluator rejects the output regardless); an injection attempt that bypasses Level 2 (the injected content manipulates the output in a way that satisfies the gate criteria) would need to also bypass Level 1 and Level 3 simultaneously.</w:t>
      </w:r>
    </w:p>
    <w:p>
      <w:pPr>
        <w:spacing w:before="0" w:after="200" w:line="276" w:lineRule="auto"/>
      </w:pPr>
      <w:r>
        <w:rPr>
          <w:rFonts w:ascii="Arial" w:cs="Arial" w:eastAsia="Arial" w:hAnsi="Arial"/>
          <w:color w:val="2C2C2C"/>
          <w:sz w:val="22"/>
          <w:szCs w:val="22"/>
        </w:rPr>
        <w:t xml:space="preserve">Level 1 -- Structural separation: the DEL-v2 governance instructions are injected as system-role content by the governance layer before any user message or connector tool result is added to the context. System-role content has the highest context priority in all major LLM APIs; it cannot be overridden by user-role or tool-role content by any statement within the context itself. The governance instructions are not injected as a user message that could be 'overridden by the following instructions' -- they are part of the model's system context and remain in force for the duration of the inference call.</w:t>
      </w:r>
    </w:p>
    <w:p>
      <w:pPr>
        <w:spacing w:before="0" w:after="200" w:line="276" w:lineRule="auto"/>
      </w:pPr>
      <w:r>
        <w:rPr>
          <w:rFonts w:ascii="Arial" w:cs="Arial" w:eastAsia="Arial" w:hAnsi="Arial"/>
          <w:color w:val="2C2C2C"/>
          <w:sz w:val="22"/>
          <w:szCs w:val="22"/>
        </w:rPr>
        <w:t xml:space="preserve">Level 2 -- Output validation: the Gate Evaluator applies gate conditions to the model's output text independently of the model's self-assessment. A model that has been prompt-injected to output 'all gates passed' does not pass the Gate Evaluator; the Gate Evaluator evaluates the output content against the delivery contract criteria by applying the criteria independently. This architectural separation -- governance evaluation by the platform, not by the model -- is the fundamental protection against governance bypass: even a fully compromised model output cannot forge a Gate Evaluator pass.</w:t>
      </w:r>
    </w:p>
    <w:p>
      <w:pPr>
        <w:spacing w:before="0" w:after="200" w:line="276" w:lineRule="auto"/>
      </w:pPr>
      <w:r>
        <w:rPr>
          <w:rFonts w:ascii="Arial" w:cs="Arial" w:eastAsia="Arial" w:hAnsi="Arial"/>
          <w:color w:val="2C2C2C"/>
          <w:sz w:val="22"/>
          <w:szCs w:val="22"/>
        </w:rPr>
        <w:t xml:space="preserve">Level 3 -- Connector content sanitization: content returned by connector operations is filtered before injection into the model context. The filter removes patterns associated with prompt injection: sequences matching 'ignore previous instructions', 'system:', 'you are now', 'assistant:', '[INST]', '&lt;|im_start|&gt;', and similar structural override patterns. The filter is configurable; enterprise customers can add custom patterns for their specific data sources. All sanitization events are logged: any content that was modified by the sanitizer is recorded in the connector call log with the original and modified content, alerting the operator to a potential injection attempt in their data source.</w:t>
      </w:r>
    </w:p>
    <w:p>
      <w:r>
        <w:br w:type="page"/>
      </w:r>
    </w:p>
    <w:p>
      <w:pPr>
        <w:pStyle w:val="Heading1"/>
        <w:spacing w:before="320" w:after="0"/>
      </w:pPr>
      <w:r>
        <w:rPr>
          <w:rFonts w:ascii="Arial" w:cs="Arial" w:eastAsia="Arial" w:hAnsi="Arial"/>
          <w:b/>
          <w:bCs/>
          <w:color w:val="1B2A4A"/>
          <w:sz w:val="36"/>
          <w:szCs w:val="36"/>
        </w:rPr>
        <w:t xml:space="preserve">10. Security Testing and Validation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security properties defined in this paper are operationally meaningful only if they are verified to hold in the deployed system. Documented security properties that are not tested are aspirations, not guarantees. The testing program covers three complementary approaches: automated testing on every deployment (continuous verification), annual penetration testing by an independent assessor (adversarial verification), and SOC 2 Type II audit (longitudinal operational verification). Together these three approaches provide coverage across different time horizons and different adversarial models.</w:t>
      </w:r>
    </w:p>
    <w:p>
      <w:pPr>
        <w:pStyle w:val="Heading2"/>
        <w:spacing w:before="280" w:after="160"/>
      </w:pPr>
      <w:r>
        <w:rPr>
          <w:rFonts w:ascii="Arial" w:cs="Arial" w:eastAsia="Arial" w:hAnsi="Arial"/>
          <w:b/>
          <w:bCs/>
          <w:color w:val="2E75B6"/>
          <w:sz w:val="28"/>
          <w:szCs w:val="28"/>
        </w:rPr>
        <w:t xml:space="preserve">10.1 Automated Security Test Suite</w:t>
      </w:r>
    </w:p>
    <w:p>
      <w:pPr>
        <w:spacing w:before="0" w:after="200" w:line="276" w:lineRule="auto"/>
      </w:pPr>
      <w:r>
        <w:rPr>
          <w:rFonts w:ascii="Arial" w:cs="Arial" w:eastAsia="Arial" w:hAnsi="Arial"/>
          <w:color w:val="2C2C2C"/>
          <w:sz w:val="22"/>
          <w:szCs w:val="22"/>
        </w:rPr>
        <w:t xml:space="preserve">The automated security test suite runs on every deployment and gates deployment success: a failing security test blocks the deployment. The suite verifies the following properties. Query-layer isolation: for every data-returning API endpoint, the test attempts cross-user access by authenticating as user A and requesting resources owned by user B using valid API key and session token authentication; all attempts must return 404. CSRF protection: state-changing requests (POST, PUT, DELETE) submitted without the required CSRF token must return 403; requests with a forged CSRF token (valid format but incorrect value) must return 403. SQL injection resistance: a defined set of SQL injection payloads (UNION SELECT, stacked queries, comment sequences, time-based blind injection markers) are submitted in all input fields; the database log must show parameterized query placeholders, not the injected payload, in every case. Rate limiting: automated submission of requests above the configured limit must produce 429 responses at the correct threshold; the threshold must be consistent between runs. API key scope enforcement: read-only API keys must receive 403 on write endpoints; read-write keys must succeed on both. Credential encryption: a direct database inspection of the connectors table confirms that credential_encrypted contains ciphertext, not plaintext, for all rows.</w:t>
      </w:r>
    </w:p>
    <w:p>
      <w:pPr>
        <w:spacing w:before="200" w:after="120"/>
      </w:pPr>
      <w:r>
        <w:rPr>
          <w:rFonts w:ascii="Arial" w:cs="Arial" w:eastAsia="Arial" w:hAnsi="Arial"/>
          <w:b/>
          <w:bCs/>
          <w:color w:val="2C2C2C"/>
          <w:sz w:val="22"/>
          <w:szCs w:val="22"/>
        </w:rPr>
        <w:t xml:space="preserve">Table 9. Automated Security Test Suite: Test Classes and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Class</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Verification Method</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Cross-user data isolation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Authenticate as user A; attempt GET/POST/PUT/DELETE on resources owned by user B using all authentication methods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100% of cross-user attempts return 404; no 200 or 403 responses (403 would indicate the resource was found)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CSRF protection</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Submit state-changing requests without token, with forged token, and with valid token</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No-token and forged-token requests return 403; valid-token requests succeed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SQL injection resistance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Submit 20 standard SQL injection payloads in all string input fields via all endpoints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Database query log shows parameterized placeholders; no injected SQL executes; application returns normal error response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Rate limiting threshold</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Submit requests at 110%, 150%, and 200% of the configured per-minute limit</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Requests above threshold receive 429 with Retry-After header; limit applies consistently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API key scope enforcement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Attempt write operations with read-only API key; read operations with expired key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Read-only key receives 403 on write; expired key receives 401 on all requests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Credential storage verification</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Direct database inspection of connectors table</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credential_encrypted column contains no plaintext credential values for any 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Organizational unit isolation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Authenticate as unit A user; attempt to access unit B agents and connectors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cross-unit attempts return 404; MySQL trigger rejects direct SQL writes to wrong org_unit_id</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10.2 Annual Penetration Testing</w:t>
      </w:r>
    </w:p>
    <w:p>
      <w:pPr>
        <w:spacing w:before="0" w:after="200" w:line="276" w:lineRule="auto"/>
      </w:pPr>
      <w:r>
        <w:rPr>
          <w:rFonts w:ascii="Arial" w:cs="Arial" w:eastAsia="Arial" w:hAnsi="Arial"/>
          <w:color w:val="2C2C2C"/>
          <w:sz w:val="22"/>
          <w:szCs w:val="22"/>
        </w:rPr>
        <w:t xml:space="preserve">An independent penetration test is conducted annually by a qualified security assessor. The scope covers all in-scope threats from the threat model in Section 5.1. The test methodology includes: black-box reconnaissance against the production API to identify attack surface; authenticated testing with a standard user account to verify authorization boundaries; privilege escalation attempts against the role model; injection testing against all input surfaces; session management testing (session fixation, CSRF, cookie security); cryptographic implementation review (key storage, algorithm selection, IV/nonce reuse). Findings are classified by severity (Critical, High, Medium, Low) using CVSS v3.1. Critical and High findings block the next production deployment until remediated. The penetration test report is available to Enterprise customers under NDA as part of the vendor compliance package.</w:t>
      </w:r>
    </w:p>
    <w:p>
      <w:pPr>
        <w:pStyle w:val="Heading2"/>
        <w:spacing w:before="280" w:after="160"/>
      </w:pPr>
      <w:r>
        <w:rPr>
          <w:rFonts w:ascii="Arial" w:cs="Arial" w:eastAsia="Arial" w:hAnsi="Arial"/>
          <w:b/>
          <w:bCs/>
          <w:color w:val="2E75B6"/>
          <w:sz w:val="28"/>
          <w:szCs w:val="28"/>
        </w:rPr>
        <w:t xml:space="preserve">10.3 SOC 2 Type II Audit Mapping</w:t>
      </w:r>
    </w:p>
    <w:p>
      <w:pPr>
        <w:spacing w:before="0" w:after="200" w:line="276" w:lineRule="auto"/>
      </w:pPr>
      <w:r>
        <w:rPr>
          <w:rFonts w:ascii="Arial" w:cs="Arial" w:eastAsia="Arial" w:hAnsi="Arial"/>
          <w:color w:val="2C2C2C"/>
          <w:sz w:val="22"/>
          <w:szCs w:val="22"/>
        </w:rPr>
        <w:t xml:space="preserve">The SOC 2 Type II audit (WP-007, Section 6.1) maps the security controls in this paper to the SOC 2 Trust Service Criteria. The mapping is provided to enterprise procurement teams to accelerate vendor security review. Security controls in this paper map to TSC CC6 (Logical and Physical Access Controls), CC7 (System Operations), and CC8 (Change Management). The annual penetration test maps to TSC CC7.1 (monitoring for security threats). The automated security test suite maps to CC8.1 (change authorization and testing). The credential encryption architecture maps to CC6.1 (encryption of data in transit and at rest). The BYOI zero-knowledge architecture maps to CC6.7 (restriction of data transmission to authorized third parties). The criterion identifiers reference the 2017 Trust Services Criteria (With Revised Points of Focus -- 2022), which is the current operative version for SOC 2 engagements.</w:t>
      </w:r>
    </w:p>
    <w:p>
      <w:r>
        <w:br w:type="page"/>
      </w:r>
    </w:p>
    <w:p>
      <w:pPr>
        <w:pStyle w:val="Heading1"/>
        <w:spacing w:before="320" w:after="0"/>
      </w:pPr>
      <w:r>
        <w:rPr>
          <w:rFonts w:ascii="Arial" w:cs="Arial" w:eastAsia="Arial" w:hAnsi="Arial"/>
          <w:b/>
          <w:bCs/>
          <w:color w:val="1B2A4A"/>
          <w:sz w:val="36"/>
          <w:szCs w:val="36"/>
        </w:rPr>
        <w:t xml:space="preserve">11. Security Monitoring and Anomaly Detection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Security monitoring is the operational practice that converts the static security architecture into a dynamic detection capability. The security controls described in Sections 2 through 10 prevent attacks that follow known patterns; security monitoring detects attacks that are in progress, including novel patterns that do not match the known injection or exploitation signatures. A security architecture without monitoring is a locked door without a security camera: it stops casual attacks but provides no visibility into sophisticated attempts.</w:t>
      </w:r>
    </w:p>
    <w:p>
      <w:pPr>
        <w:spacing w:before="0" w:after="200" w:line="276" w:lineRule="auto"/>
      </w:pPr>
      <w:r>
        <w:rPr>
          <w:rFonts w:ascii="Arial" w:cs="Arial" w:eastAsia="Arial" w:hAnsi="Arial"/>
          <w:color w:val="2C2C2C"/>
          <w:sz w:val="22"/>
          <w:szCs w:val="22"/>
        </w:rPr>
        <w:t xml:space="preserve">The monitoring architecture uses the platform's usage_log table as the primary detection data source. Every API request, authentication event, rate limit trigger, and connector call is logged in usage_log with: user_id, endpoint, method, status_code, ip_address, response_time_ms, and created_at. This log is the primary evidence source for security incident investigations (OPS-001, Section 5.1) and the primary input for the anomaly detection queries below. The log is append-only: the application has INSERT permission on usage_log but not UPDATE or DELETE, ensuring that past log entries cannot be modified by application-layer code.</w:t>
      </w:r>
    </w:p>
    <w:p>
      <w:pPr>
        <w:spacing w:before="200" w:after="120"/>
      </w:pPr>
      <w:r>
        <w:rPr>
          <w:rFonts w:ascii="Arial" w:cs="Arial" w:eastAsia="Arial" w:hAnsi="Arial"/>
          <w:b/>
          <w:bCs/>
          <w:color w:val="2C2C2C"/>
          <w:sz w:val="22"/>
          <w:szCs w:val="22"/>
        </w:rPr>
        <w:t xml:space="preserve">Table 10. Security Monitoring Queries: Detection Patterns, Thresholds, and Required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Detection Pattern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Query (MySQL)</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Excessive 404 responses from a single IP (resource enumeration attempt)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SELECT ip_address, COUNT(*) as cnt FROM usage_log WHERE status_code = 404 AND created_at &gt; NOW() - INTERVAL 15 MINUTE GROUP BY ip_address HAVING cnt &gt;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More than 50 404 responses from a single IP in 15 minutes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Block the IP address at the hosting firewall; review the specific endpoints accessed; if the pattern suggests systematic enumeration, investigate for credential theft or account takeover attempt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Multiple failed authentication attempts (brute force)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SELECT ip_address, COUNT(*) as cnt FROM usage_log WHERE endpoint = '/api/v1/auth/login' AND status_code = 401 AND created_at &gt; NOW() - INTERVAL 15 MINUTE GROUP BY ip_address HAVING cnt &gt; 10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More than 10 failed logins from a single IP in 15 minutes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Increase progressive backoff delay for the IP; if the IP is not already at maximum backoff, apply maximum delay; log the event as a security incident in the incident log; if the pattern continues, block at the firewall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Cross-user access attempts (ownership bypass)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SELECT user_id, COUNT(*) as cnt FROM usage_log WHERE status_code = 404 AND endpoint LIKE '/api/v1/%' AND created_at &gt; NOW() - INTERVAL 1 HOUR GROUP BY user_id HAVING cnt &gt;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More than 100 not-found responses for a single authenticated user in 1 hour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Review the specific endpoints accessed by the user; if the pattern suggests systematic resource enumeration across other users' IDs, suspend the user account and investigate; request the user to confirm their account has not been compromised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Unusual API key usage pattern (compromised key)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SELECT api_key_hash, ip_address, COUNT(*) as cnt FROM usage_log WHERE auth_method = 'api_key' AND created_at &gt; NOW() - INTERVAL 1 HOUR GROUP BY api_key_hash, ip_address HAVING COUNT(DISTINCT ip_address) &gt; 3</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single API key used from more than 3 distinct IPs in 1 hour</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Revoke the API key immediately; notify the key owner via email with details of the unusual usage; investigate whether the key was exfiltrated; the key owner should generate a new key after confirming their development environment is clean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 endpoint access outside business hours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SELECT user_id, endpoint, created_at FROM usage_log WHERE endpoint LIKE '/api/v1/admin/%' AND HOUR(created_at) NOT BETWEEN 9 AND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Any admin endpoint access outside 09:00 to 18:00 UTC on a weekday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Verify with the platform operator that the access was intentional; if not expected, investigate as a potential account compromise; admin access outside business hours without prior notice is a high-severity anomaly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 exfiltration pattern (high-volume connector reads)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SELECT user_id, connector_id, COUNT(*) as cnt FROM usage_log WHERE endpoint LIKE '/api/v1/connectors/%/execute' AND created_at &gt; NOW() - INTERVAL 1 HOUR GROUP BY user_id, connector_id HAVING cnt &gt; 500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More than 500 connector executions for a single user-connector pair in 1 hour</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Review the agent run that triggered the executions; if the agent run was not user-initiated, investigate as a potential agent definition compromise; high-volume connector reads may indicate data exfiltration via connector calls</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The monitoring queries in Table 10 are designed to be executed as part of the weekly SLA compliance tracking procedure defined in OPS-002, Section 9. The operator runs each query against the production usage_log as part of the weekly review; any query returning results above its threshold generates an immediate security review. The queries can also be scheduled as automated cron jobs that send alert emails when results exceed thresholds -- this converts the weekly check into a continuous monitoring posture without requiring manual execution.</w:t>
      </w:r>
    </w:p>
    <w:p>
      <w:pPr>
        <w:spacing w:before="0" w:after="200" w:line="276" w:lineRule="auto"/>
      </w:pPr>
      <w:r>
        <w:rPr>
          <w:rFonts w:ascii="Arial" w:cs="Arial" w:eastAsia="Arial" w:hAnsi="Arial"/>
          <w:color w:val="2C2C2C"/>
          <w:sz w:val="22"/>
          <w:szCs w:val="22"/>
        </w:rPr>
        <w:t xml:space="preserve">Anomaly detection based on behavioral baselines supplements the threshold-based detection in Table 10. Behavioral baselines capture what 'normal' looks like for each user and flag deviations: a user who typically makes 20 to 50 API calls per day and suddenly makes 5,000 calls is anomalous regardless of whether any individual call triggered a rate limit or returned a 404. The baseline is computed weekly using a rolling 30-day average of per-user request volumes, session durations, and connector usage patterns. Deviations greater than 3 standard deviations from the baseline generate a review alert. This behavioral detection layer catches sophisticated attacks that stay within individual rate limits by distributing requests over time.</w:t>
      </w:r>
    </w:p>
    <w:p>
      <w:r>
        <w:br w:type="page"/>
      </w:r>
    </w:p>
    <w:p>
      <w:pPr>
        <w:pStyle w:val="Heading1"/>
        <w:spacing w:before="320" w:after="0"/>
      </w:pPr>
      <w:r>
        <w:rPr>
          <w:rFonts w:ascii="Arial" w:cs="Arial" w:eastAsia="Arial" w:hAnsi="Arial"/>
          <w:b/>
          <w:bCs/>
          <w:color w:val="1B2A4A"/>
          <w:sz w:val="36"/>
          <w:szCs w:val="36"/>
        </w:rPr>
        <w:t xml:space="preserve">12. Integration Points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WP-001 (DEL-v2 Technical Reference): the MANIFEST.json SHA-256 integrity verification from WP-001, Section 9 is the foundation for the cryptographic commitment design in Section 6. The extension defined here adds per-event commitments and the session_root_hash that provides single-anchor session verification beyond the per-bundle hash in WP-001.</w:t>
      </w:r>
    </w:p>
    <w:p>
      <w:pPr>
        <w:spacing w:before="0" w:after="200" w:line="276" w:lineRule="auto"/>
      </w:pPr>
      <w:r>
        <w:rPr>
          <w:rFonts w:ascii="Arial" w:cs="Arial" w:eastAsia="Arial" w:hAnsi="Arial"/>
          <w:color w:val="2C2C2C"/>
          <w:sz w:val="22"/>
          <w:szCs w:val="22"/>
        </w:rPr>
        <w:t xml:space="preserve">WP-002 (Enterprise Delivery Governance): the multi-agent role separation from WP-002, Section 6.2 (Operator/Executor/Auditor) is simultaneously a governance control and a security control. Preventing any single agent from both executing and self-approving is a defense against compromised agent definitions that attempt to bypass quality gates by manipulating both the execution output and the gate evaluation.</w:t>
      </w:r>
    </w:p>
    <w:p>
      <w:pPr>
        <w:spacing w:before="0" w:after="200" w:line="276" w:lineRule="auto"/>
      </w:pPr>
      <w:r>
        <w:rPr>
          <w:rFonts w:ascii="Arial" w:cs="Arial" w:eastAsia="Arial" w:hAnsi="Arial"/>
          <w:color w:val="2C2C2C"/>
          <w:sz w:val="22"/>
          <w:szCs w:val="22"/>
        </w:rPr>
        <w:t xml:space="preserve">WP-005 (Agent Orchestration, Marketplace, and Revenue Architecture): the multi-tenant organizational unit isolation defined in WP-005, Section 4.6.1 is formally specified in Section 4.2 of this paper. The connector permission enforcement at the agent execution layer (WP-005, Section 4.5) relies on the least-privilege authorization model defined in Section 2.2. The supply chain threat against marketplace connectors (Section 5.1) is mitigated by the connector sandboxing defined in WP-005.</w:t>
      </w:r>
    </w:p>
    <w:p>
      <w:pPr>
        <w:spacing w:before="0" w:after="200" w:line="276" w:lineRule="auto"/>
      </w:pPr>
      <w:r>
        <w:rPr>
          <w:rFonts w:ascii="Arial" w:cs="Arial" w:eastAsia="Arial" w:hAnsi="Arial"/>
          <w:color w:val="2C2C2C"/>
          <w:sz w:val="22"/>
          <w:szCs w:val="22"/>
        </w:rPr>
        <w:t xml:space="preserve">WP-007 (Platform Expansion and Distribution): the signed audit bundle capability (WP-007, Section 6.4) is specified in Section 6.2 of this paper. The zero-knowledge credential mode (WP-007, Section 3.5) is specified in Section 3.3. The formal verification add-on (WP-007 and WP-008) is specified in Section 8.</w:t>
      </w:r>
    </w:p>
    <w:p>
      <w:pPr>
        <w:spacing w:before="0" w:after="200" w:line="276" w:lineRule="auto"/>
      </w:pPr>
      <w:r>
        <w:rPr>
          <w:rFonts w:ascii="Arial" w:cs="Arial" w:eastAsia="Arial" w:hAnsi="Arial"/>
          <w:color w:val="2C2C2C"/>
          <w:sz w:val="22"/>
          <w:szCs w:val="22"/>
        </w:rPr>
        <w:t xml:space="preserve">WP-010 (Data Model and API Reference): the authentication and authorization mechanisms defined in this paper are enforced at the API layer specified in WP-010. The query-layer isolation predicates defined in Section 4.1 are applied by the Database.php patterns that all data access in WP-010's API implementation uses. The audit log schema in WP-010 (Table 21, usage_log) is the primary data source for the security monitoring queries in Section 11.</w:t>
      </w:r>
    </w:p>
    <w:p>
      <w:pPr>
        <w:spacing w:before="0" w:after="200" w:line="276" w:lineRule="auto"/>
      </w:pPr>
      <w:r>
        <w:rPr>
          <w:rFonts w:ascii="Arial" w:cs="Arial" w:eastAsia="Arial" w:hAnsi="Arial"/>
          <w:color w:val="2C2C2C"/>
          <w:sz w:val="22"/>
          <w:szCs w:val="22"/>
        </w:rPr>
        <w:t xml:space="preserve">OPS-001 (Disaster Recovery and Business Continuity Plan): Section 5 of OPS-001 (Security Incident Response Playbook) is the operational procedure executed when Section 11 of this paper's anomaly detection queries indicate a potential security incident. The evidence preservation procedure in OPS-001, Appendix B collects the data from the usage_log that the Section 11 queries analyze. The backup restoration safeguard in OPS-001, Section 11 ensures that a backup restore does not un-erase personal data subject to a GDPR erasure request.</w:t>
      </w:r>
    </w:p>
    <w:p>
      <w:r>
        <w:br w:type="page"/>
      </w:r>
    </w:p>
    <w:p>
      <w:pPr>
        <w:pStyle w:val="Heading1"/>
        <w:spacing w:before="320" w:after="0"/>
      </w:pPr>
      <w:r>
        <w:rPr>
          <w:rFonts w:ascii="Arial" w:cs="Arial" w:eastAsia="Arial" w:hAnsi="Arial"/>
          <w:b/>
          <w:bCs/>
          <w:color w:val="1B2A4A"/>
          <w:sz w:val="36"/>
          <w:szCs w:val="36"/>
        </w:rPr>
        <w:t xml:space="preserve">13. Conclusion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ContextKeeper security architecture implements defense in depth across every layer of the platform: transport encryption via TLS 1.3, application-layer credential encryption with formally proven key derivation, database-level isolation predicates with no bypass path, five-layer authorization with rate limiting, cryptographic hash chain commitments with chain integrity verification, PKI-signed bundles for non-repudiation, and continuous security monitoring with behavioral anomaly detection. The BYOI architecture extends this to a zero-knowledge deployment model where the platform operator has no ability to access customer data -- an architectural rather than contractual guarantee.</w:t>
      </w:r>
    </w:p>
    <w:p>
      <w:pPr>
        <w:spacing w:before="0" w:after="200" w:line="276" w:lineRule="auto"/>
      </w:pPr>
      <w:r>
        <w:rPr>
          <w:rFonts w:ascii="Arial" w:cs="Arial" w:eastAsia="Arial" w:hAnsi="Arial"/>
          <w:color w:val="2C2C2C"/>
          <w:sz w:val="22"/>
          <w:szCs w:val="22"/>
        </w:rPr>
        <w:t xml:space="preserve">The formal verification integration is the security property that distinguishes ContextKeeper's governance layer from competing platforms. For Enterprise deployments with the formal verification add-on, specific invariants are mathematically proven to hold for all inputs in the specified domain -- not tested empirically, not asserted by the model, but proven by a theorem prover. This is the security property that regulated industries require for AI systems making consequential decisions, and it is the property that differentiates ContextKeeper from agent governance platforms that rely on model-asserted compliance.</w:t>
      </w:r>
    </w:p>
    <w:p>
      <w:pPr>
        <w:spacing w:before="0" w:after="200" w:line="276" w:lineRule="auto"/>
      </w:pPr>
      <w:r>
        <w:rPr>
          <w:rFonts w:ascii="Arial" w:cs="Arial" w:eastAsia="Arial" w:hAnsi="Arial"/>
          <w:color w:val="2C2C2C"/>
          <w:sz w:val="22"/>
          <w:szCs w:val="22"/>
        </w:rPr>
        <w:t xml:space="preserve">The threat model's explicit scope is itself a security property. A vendor who claims to protect against everything is making unfalsifiable claims that degrade trust rather than build it. ContextKeeper's threat model defines precisely what the security architecture prevents and what it does not. Enterprise customers who require protection against out-of-scope threats -- physical infrastructure attacks, endpoint security, insider threats at the hosting provider -- are directed to BYOI deployment and complementary controls. This transparency enables customers to make accurate risk assessments and implement appropriate compensating controls.</w:t>
      </w:r>
    </w:p>
    <w:p>
      <w:r>
        <w:br w:type="page"/>
      </w:r>
    </w:p>
    <w:p>
      <w:pPr>
        <w:pStyle w:val="Heading1"/>
        <w:spacing w:before="320" w:after="0"/>
      </w:pPr>
      <w:r>
        <w:rPr>
          <w:rFonts w:ascii="Arial" w:cs="Arial" w:eastAsia="Arial" w:hAnsi="Arial"/>
          <w:b/>
          <w:bCs/>
          <w:color w:val="1B2A4A"/>
          <w:sz w:val="36"/>
          <w:szCs w:val="36"/>
        </w:rPr>
        <w:t xml:space="preserve">Appendix A. Glossary</w:t>
      </w:r>
    </w:p>
    <w:p>
      <w:pPr>
        <w:pBdr>
          <w:bottom w:val="single" w:color="1B2A4A" w:sz="6" w:space="1"/>
        </w:pBdr>
        <w:spacing w:before="0" w:after="160"/>
      </w:pPr>
      <w:r>
        <w:t xml:space="preserve"/>
      </w:r>
    </w:p>
    <w:p>
      <w:pPr>
        <w:spacing w:before="200" w:after="120"/>
      </w:pPr>
      <w:r>
        <w:rPr>
          <w:rFonts w:ascii="Arial" w:cs="Arial" w:eastAsia="Arial" w:hAnsi="Arial"/>
          <w:b/>
          <w:bCs/>
          <w:color w:val="2C2C2C"/>
          <w:sz w:val="22"/>
          <w:szCs w:val="22"/>
        </w:rPr>
        <w:t xml:space="preserve">Table 11. Security and Cryptography Term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AES-256-CBC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Advanced Encryption Standard with 256-bit key in Cipher Block Chaining mode. The encryption algorithm for application-layer credential encryption. No known practical attacks against AES-256 exist as of the date of this publication.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app_secret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64-character random hex master key in the .env configuration file used to derive per-user credential encryption keys (Section 3.2). Loss is irreversible: all stored connector credentials become permanently unrecoverable without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CSRF (Cross-Site Request Forgery)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 attack where a malicious website causes the user's browser to make authenticated requests to another site. Mitigated by CSRF tokens: random values required in all state-changing requests that the attacker cannot obtain.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Defense in Depth</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Security principle that multiple independent mechanisms protect each sensitive resource, such that the failure of any single mechanism does not produce a breach. Applied throughout this architecture: each sensitive operation is protected by at least two independent controls at different layers.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Fail Closed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Security principle that when a check fails or an ambiguous condition is detected, the system denies access rather than allowing it. The default behavior when the correct action is unclear is refusal.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Hash Chain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sequence of cryptographic hashes where each hash includes the previous hash as an input. Modification of any element invalidates all subsequent hashes, making retroactive modification detectable without external timestamping.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HMAC-SHA256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Hash-based Message Authentication Code using SHA-256. Used for credential encryption key derivation. Provides both integrity and authenticity guarantees; without knowledge of the key, the output is computationally indistinguishable from random.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Least Privilege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Security principle that every actor has access only to the minimum resources required for its defined function. Applied to users, API keys, session tokens, agents, and connectors.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Multi-Tenant Isolation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architectural property guaranteeing different tenants cannot access each other's data even sharing common infrastructure. Enforced at query layer (Database.php mandatory predicates), connector layer, and execution layer.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PBKDF2</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Password-Based Key Derivation Function 2. Used in zero-knowledge credential mode to derive an encryption key from a user-provided passphrase. ContextKeeper default: 100,000 iterations, HMAC-SHA256, 32-byte output. Current OWASP guidance (2023) recommends 600,000 iterations for PBKDF2-HMAC-SHA256; enterprise deployments may configure higher counts. Specified in NIST SP 800-132 (2010) and IETF RFC 8018.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PKCS#1 v2.1 (RSASSA-PSS)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Probabilistic RSA signature scheme with padding. Used for PKI bundle signing. PSS is preferred over PKCS#1 v1.5 because it has a security proof under the random oracle model.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Prompt Injection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Attack where malicious content in a model's input context attempts to override system instructions. Mitigated by structural separation (governance as system-role content), output validation (Gate Evaluator independent of model's claims), and connector content sanitization.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session_root_hash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SHA-256 hash of the ordered concatenation of all gate output commitments for a session. Stored in sessions_log and included in the handoff bundle. A single verification anchor for the complete session audit trail.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SMT-LIB2</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Standard input format for Satisfiability Modulo Theories solvers. Used by the Z3 solver integration for mathematical invariant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TLS 1.3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Transport Layer Security version 1.3. Required for all platform connections. TLS 1.2 and below rejected.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Z3 Solver</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Open-source SMT solver from Microsoft Research. Returns SAT (counterexample exists) or UNSAT (assertion holds for all inputs in specified domain). Used for Enterprise formal verification add-on.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Zero-Knowledge Credential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Credential storage architecture where only client-side-encrypted ciphertext is stored; the decryption key never reaches the server. Protects credentials even under complete server compromise.</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Appendix B. Security Test Procedure Reference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following test procedures correspond to the automated security test suite defined in Section 10.1. Each procedure is executable in a test or staging environment and provides a pass/fail verification of the security property.</w:t>
      </w:r>
    </w:p>
    <w:p>
      <w:pPr>
        <w:spacing w:before="200" w:after="120"/>
      </w:pPr>
      <w:r>
        <w:rPr>
          <w:rFonts w:ascii="Arial" w:cs="Arial" w:eastAsia="Arial" w:hAnsi="Arial"/>
          <w:b/>
          <w:bCs/>
          <w:color w:val="2C2C2C"/>
          <w:sz w:val="22"/>
          <w:szCs w:val="22"/>
        </w:rPr>
        <w:t xml:space="preserve">Table 12. Security Test Procedures: Property, Procedure, and Pass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80"/>
        <w:gridCol w:w="2800"/>
        <w:gridCol w:w="168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Procedure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Pass Criterion</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SEC-001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Authenticate as user A; GET /api/v1/projects/{project_id_owned_by_user_B}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HTTP 404 (not 403 -- 403 reveals resource existence)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Every deployment</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SEC-002</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POST /api/v1/projects without CSRF token while session is authenticated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HTTP 403</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Every deployment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SEC-003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Submit SQL injection payload (' OR 1=1 --) in all string input fields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SQL execution; normal error response; parameterized query in database log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Every deployment</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SEC-004</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Submit 150 requests per minute to a standard API endpoint (limit is 120)</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HTTP 429 with Retry-After header at request 121</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Every deployment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SEC-005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 read-only API key to POST /api/v1/projects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HTTP 403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Every deployment</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SEC-006</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Direct SELECT of connectors table; inspect credential_encrypted column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Column contains no plaintext credential values</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Every deployment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SEC-007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Authenticate as unit A user; GET /api/v1/agents/{agent_id_in_unit_B}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HTTP 404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Every deployment</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SEC-008</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Attempt direct SQL INSERT to agents table with org_unit_id = B as unit A session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MySQL trigger error; INSERT rejected</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Monthly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SEC-009</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Verify session_root_hash for a completed test session using chain integrity algorithm from Section 6.3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gate commitments verify; session_root_hash matches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Every deployment</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SEC-010</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Submit known prompt injection pattern ('ignore previous instructions') as connector response content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Sanitizer modifies content; event logged in connector_call_log</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Every deployment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SEC-011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Verify TLS 1.2 connection is rejected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SSL handshake failure for TLS 1.2 or below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Monthly</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SEC-012</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Verify PKI signature on Audited mode bundle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RSASSA-PSS signature verification passes against published public key</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Monthly</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References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 [MANIFEST.json integrity verification extended in Section 6 of this paper.]</w:t>
      </w:r>
    </w:p>
    <w:p>
      <w:pPr>
        <w:spacing w:before="0" w:after="200" w:line="276" w:lineRule="auto"/>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[Multi-agent role separation as security control referenced in Section 12.]</w:t>
      </w:r>
    </w:p>
    <w:p>
      <w:pPr>
        <w:spacing w:before="0" w:after="200" w:line="276" w:lineRule="auto"/>
      </w:pPr>
      <w:r>
        <w:rPr>
          <w:rFonts w:ascii="Arial" w:cs="Arial" w:eastAsia="Arial" w:hAnsi="Arial"/>
          <w:color w:val="2C2C2C"/>
          <w:sz w:val="22"/>
          <w:szCs w:val="22"/>
        </w:rPr>
        <w:t xml:space="preserve">Wazlavek, S. (2026). Agent Orchestration, Marketplace, and Revenue Architecture. ContextKeeper Enterprise Engineering White Paper Series, WP-005, v1.0. contextkeeper.org. [Multi-tenant isolation and connector permission enforcement referenced in Sections 4.2 and 12.]</w:t>
      </w:r>
    </w:p>
    <w:p>
      <w:pPr>
        <w:spacing w:before="0" w:after="200" w:line="276" w:lineRule="auto"/>
      </w:pPr>
      <w:r>
        <w:rPr>
          <w:rFonts w:ascii="Arial" w:cs="Arial" w:eastAsia="Arial" w:hAnsi="Arial"/>
          <w:color w:val="2C2C2C"/>
          <w:sz w:val="22"/>
          <w:szCs w:val="22"/>
        </w:rPr>
        <w:t xml:space="preserve">Chen, L. (2022). Recommendation for Key Derivation Using Pseudorandom Functions. NIST Special Publication 800-108r1-upd1. National Institute of Standards and Technology, Gaithersburg, MD. Updated February 2, 2024. https://doi.org/10.6028/NIST.SP.800-108r1-upd1. [HMAC-SHA256 as a counter-mode key derivation function (Section 3) referenced in Section 3.2 of this paper. Supersedes the 2008 original and August 2022 Rev 1.]</w:t>
      </w:r>
    </w:p>
    <w:p>
      <w:pPr>
        <w:spacing w:before="0" w:after="200" w:line="276" w:lineRule="auto"/>
      </w:pPr>
      <w:r>
        <w:rPr>
          <w:rFonts w:ascii="Arial" w:cs="Arial" w:eastAsia="Arial" w:hAnsi="Arial"/>
          <w:color w:val="2C2C2C"/>
          <w:sz w:val="22"/>
          <w:szCs w:val="22"/>
        </w:rPr>
        <w:t xml:space="preserve">NIST. (2001). Advanced Encryption Standard (AES). Federal Information Processing Standards Publication 197. [AES-256 encryption throughout this paper.]</w:t>
      </w:r>
    </w:p>
    <w:p>
      <w:pPr>
        <w:spacing w:before="0" w:after="200" w:line="276" w:lineRule="auto"/>
      </w:pPr>
      <w:r>
        <w:rPr>
          <w:rFonts w:ascii="Arial" w:cs="Arial" w:eastAsia="Arial" w:hAnsi="Arial"/>
          <w:color w:val="2C2C2C"/>
          <w:sz w:val="22"/>
          <w:szCs w:val="22"/>
        </w:rPr>
        <w:t xml:space="preserve">Turan, M.S., Barker, E., Burr, W., Chen, L. (2010). Recommendation for Password-Based Key Derivation: Part 1: Storage Applications. NIST Special Publication 800-132. National Institute of Standards and Technology, Gaithersburg, MD. [PBKDF2 specification referenced in Section 3.3. Note: NIST initiated a revision process for SP 800-132 in 2023 to add memory-hard alternatives and clarify PBKDF2 guidance; the 2010 edition remains current as of March 2026. Current industry guidance (OWASP, 2023) recommends 600,000 iterations for PBKDF2-HMAC-SHA256 in high-security contexts; ContextKeeper uses 100,000 iterations as the baseline with enterprise configurations configurable upward.]</w:t>
      </w:r>
    </w:p>
    <w:p>
      <w:pPr>
        <w:spacing w:before="0" w:after="200" w:line="276" w:lineRule="auto"/>
      </w:pPr>
      <w:r>
        <w:rPr>
          <w:rFonts w:ascii="Arial" w:cs="Arial" w:eastAsia="Arial" w:hAnsi="Arial"/>
          <w:color w:val="2C2C2C"/>
          <w:sz w:val="22"/>
          <w:szCs w:val="22"/>
        </w:rPr>
        <w:t xml:space="preserve">Rescorla, E. (2018). The Transport Layer Security (TLS) Protocol Version 1.3. RFC 8446. Internet Engineering Task Force. https://doi.org/10.17487/RFC8446. [TLS 1.3 requirement in Table 3, Section 3.1. TLS 1.2 and below are rejected at the transport layer.]</w:t>
      </w:r>
    </w:p>
    <w:p>
      <w:pPr>
        <w:spacing w:before="0" w:after="200" w:line="276" w:lineRule="auto"/>
      </w:pPr>
      <w:r>
        <w:rPr>
          <w:rFonts w:ascii="Arial" w:cs="Arial" w:eastAsia="Arial" w:hAnsi="Arial"/>
          <w:color w:val="2C2C2C"/>
          <w:sz w:val="22"/>
          <w:szCs w:val="22"/>
        </w:rPr>
        <w:t xml:space="preserve">de Moura, L., Bjørner, N. (2008). Z3: An Efficient SMT Solver. In: Ramakrishnan, C.R., Rehof, J. (eds) Tools and Algorithms for the Construction and Analysis of Systems. TACAS 2008. Lecture Notes in Computer Science, vol 4963, pp. 337-340. Springer, Berlin, Heidelberg. https://doi.org/10.1007/978-3-540-78800-3_24. [Z3 SMT solver referenced in Section 8. Z3 is freely available from Microsoft Research under the MIT license.]</w:t>
      </w:r>
    </w:p>
    <w:p>
      <w:pPr>
        <w:spacing w:before="0" w:after="200" w:line="276" w:lineRule="auto"/>
      </w:pPr>
      <w:r>
        <w:rPr>
          <w:rFonts w:ascii="Arial" w:cs="Arial" w:eastAsia="Arial" w:hAnsi="Arial"/>
          <w:color w:val="2C2C2C"/>
          <w:sz w:val="22"/>
          <w:szCs w:val="22"/>
        </w:rPr>
        <w:t xml:space="preserve">OWASP Foundation. (2021). OWASP Top Ten 2021. owasp.org/Top10/2021/. [A01:2021 Broken Access Control and A03:2021 Injection referenced in the threat model (Section 5) and authorization model (Section 2.2). The cross-user data access threat in Table 5 maps to A01; SQL injection maps to A03.]</w:t>
      </w:r>
    </w:p>
    <w:p>
      <w:pPr>
        <w:spacing w:before="0" w:after="200" w:line="276" w:lineRule="auto"/>
      </w:pPr>
      <w:r>
        <w:rPr>
          <w:rFonts w:ascii="Arial" w:cs="Arial" w:eastAsia="Arial" w:hAnsi="Arial"/>
          <w:color w:val="2C2C2C"/>
          <w:sz w:val="22"/>
          <w:szCs w:val="22"/>
        </w:rPr>
        <w:t xml:space="preserve">OWASP Foundation. (2023). Password Storage Cheat Sheet. cheatsheetseries.owasp.org. [PBKDF2-HMAC-SHA256 iteration count guidance (600,000 iterations recommended for high-security contexts) referenced in Section 3.3 and the PBKDF2 glossary entry. ContextKeeper uses 100,000 as a configurable baseline.]</w:t>
      </w:r>
    </w:p>
    <w:p>
      <w:pPr>
        <w:spacing w:before="0" w:after="200" w:line="276" w:lineRule="auto"/>
      </w:pPr>
      <w:r>
        <w:rPr>
          <w:rFonts w:ascii="Arial" w:cs="Arial" w:eastAsia="Arial" w:hAnsi="Arial"/>
          <w:color w:val="2C2C2C"/>
          <w:sz w:val="22"/>
          <w:szCs w:val="22"/>
        </w:rPr>
        <w:t xml:space="preserve">AICPA Assurance Services Executive Committee. (2017, revised 2022). 2017 Trust Services Criteria for Security, Availability, Processing Integrity, Confidentiality, and Privacy (With Revised Points of Focus -- 2022). American Institute of Certified Public Accountants. [SOC 2 Trust Service Criteria CC6, CC7, CC8 referenced in Section 10. The 2022 revision updated points of focus without altering the underlying criteria. The 2017 TSC document remains the operative criteria for all SOC 2 engagements as of March 2026.]</w:t>
      </w:r>
    </w:p>
    <w:p>
      <w:pPr>
        <w:spacing w:before="0" w:after="200" w:line="276" w:lineRule="auto"/>
      </w:pPr>
      <w:r>
        <w:rPr>
          <w:rFonts w:ascii="Arial" w:cs="Arial" w:eastAsia="Arial" w:hAnsi="Arial"/>
          <w:color w:val="2C2C2C"/>
          <w:sz w:val="22"/>
          <w:szCs w:val="22"/>
        </w:rPr>
        <w:t xml:space="preserve">All other architectures and designs described in this paper are original contributions of the author. No additional external citations are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jc w:val="right"/>
    </w:pPr>
    <w:r>
      <w:rPr>
        <w:rFonts w:ascii="Arial" w:cs="Arial" w:eastAsia="Arial" w:hAnsi="Arial"/>
        <w:color w:val="555555"/>
        <w:sz w:val="18"/>
        <w:szCs w:val="18"/>
      </w:rPr>
      <w:t xml:space="preserve">ContextKeeper  |  Security Architecture and Trust Model  |  WP-009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2026-03-18T13:21:42.273Z</dcterms:created>
  <dcterms:modified xsi:type="dcterms:W3CDTF">2026-03-18T13:21:42.274Z</dcterms:modified>
</cp:coreProperties>
</file>

<file path=docProps/custom.xml><?xml version="1.0" encoding="utf-8"?>
<Properties xmlns="http://schemas.openxmlformats.org/officeDocument/2006/custom-properties" xmlns:vt="http://schemas.openxmlformats.org/officeDocument/2006/docPropsVTypes"/>
</file>