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Enterprise Delivery Governance</w:t>
      </w:r>
    </w:p>
    <w:p>
      <w:pPr>
        <w:spacing w:before="60" w:after="40"/>
        <w:jc w:val="center"/>
      </w:pPr>
      <w:r>
        <w:rPr>
          <w:rFonts w:ascii="Arial" w:cs="Arial" w:eastAsia="Arial" w:hAnsi="Arial"/>
          <w:b/>
          <w:bCs/>
          <w:color w:val="1B2A4A"/>
          <w:sz w:val="36"/>
          <w:szCs w:val="36"/>
        </w:rPr>
        <w:t xml:space="preserve">for AI-Orchestrated Software Engineering</w:t>
      </w:r>
    </w:p>
    <w:p>
      <w:pPr>
        <w:spacing w:before="40" w:after="60"/>
        <w:jc w:val="center"/>
      </w:pPr>
      <w:r>
        <w:rPr>
          <w:rFonts w:ascii="Arial" w:cs="Arial" w:eastAsia="Arial" w:hAnsi="Arial"/>
          <w:b w:val="false"/>
          <w:bCs w:val="false"/>
          <w:color w:val="1B2A4A"/>
          <w:sz w:val="28"/>
          <w:szCs w:val="28"/>
        </w:rPr>
        <w:t xml:space="preserve">Enforcing Staff-Grade Quality as a System Property, Not a Human Aspiration</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WP-002  |  Version 1.1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Research-backed expansion and GPT enhancement pass. Added: Section 2.5 (Research Context and Evidence Base), Section 12 (Benchmark Comparison and KPI Framework), Section 13 (Regulatory Alignment). Expanded Section 2.1 with context degradation data; Section 2.2 with speculative implementation cost evidence; Section 2.5 with ensemble theory, multi-model LLM error correlation, structured prompting research, and DORA 2025 findings; Section 6 with Dietterich (2000) ensemble conditions and Kim et al. ICML 2025 correlated error evidence; Section 11.2 with LLM behavioral drift data. Factual corrections applied throughout per GPT review: SWE-CI metric corrected to zero-regression rate; o3 values described as averaged performance metrics; Liu et al. finding reframed as U-shaped performance curve; SwiftShader scope corrected; EU AI Act phased timeline clarified; ISO 42001 A.6.2.8 reframed as implementation objective. Terminology: SHA256 normalized to SHA-256; SWE-CI 75% phrasing replaced with native metric; SHAM removed; OTel and GenAI defined on first use. References expanded from 2 citations to 45 attributed sources.</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Problem Statement ..... 5</w:t>
      </w:r>
    </w:p>
    <w:p>
      <w:pPr>
        <w:spacing w:before="0" w:after="200" w:line="276" w:lineRule="auto"/>
      </w:pPr>
      <w:r>
        <w:rPr>
          <w:rFonts w:ascii="Arial" w:cs="Arial" w:eastAsia="Arial" w:hAnsi="Arial"/>
          <w:color w:val="2C2C2C"/>
          <w:sz w:val="22"/>
          <w:szCs w:val="22"/>
        </w:rPr>
        <w:t xml:space="preserve">   2.1 The Completion Bias ..... 5</w:t>
      </w:r>
    </w:p>
    <w:p>
      <w:pPr>
        <w:spacing w:before="0" w:after="200" w:line="276" w:lineRule="auto"/>
      </w:pPr>
      <w:r>
        <w:rPr>
          <w:rFonts w:ascii="Arial" w:cs="Arial" w:eastAsia="Arial" w:hAnsi="Arial"/>
          <w:color w:val="2C2C2C"/>
          <w:sz w:val="22"/>
          <w:szCs w:val="22"/>
        </w:rPr>
        <w:t xml:space="preserve">   2.2 The Speculative Implementation Failure ..... 6</w:t>
      </w:r>
    </w:p>
    <w:p>
      <w:pPr>
        <w:spacing w:before="0" w:after="200" w:line="276" w:lineRule="auto"/>
      </w:pPr>
      <w:r>
        <w:rPr>
          <w:rFonts w:ascii="Arial" w:cs="Arial" w:eastAsia="Arial" w:hAnsi="Arial"/>
          <w:color w:val="2C2C2C"/>
          <w:sz w:val="22"/>
          <w:szCs w:val="22"/>
        </w:rPr>
        <w:t xml:space="preserve">   2.3 The Governance Gap ..... 7</w:t>
      </w:r>
    </w:p>
    <w:p>
      <w:pPr>
        <w:spacing w:before="0" w:after="200" w:line="276" w:lineRule="auto"/>
      </w:pPr>
      <w:r>
        <w:rPr>
          <w:rFonts w:ascii="Arial" w:cs="Arial" w:eastAsia="Arial" w:hAnsi="Arial"/>
          <w:color w:val="2C2C2C"/>
          <w:sz w:val="22"/>
          <w:szCs w:val="22"/>
        </w:rPr>
        <w:t xml:space="preserve">   2.4 The Accumulation Problem ..... 7</w:t>
      </w:r>
    </w:p>
    <w:p>
      <w:pPr>
        <w:spacing w:before="0" w:after="200" w:line="276" w:lineRule="auto"/>
      </w:pPr>
      <w:r>
        <w:rPr>
          <w:rFonts w:ascii="Arial" w:cs="Arial" w:eastAsia="Arial" w:hAnsi="Arial"/>
          <w:color w:val="2C2C2C"/>
          <w:sz w:val="22"/>
          <w:szCs w:val="22"/>
        </w:rPr>
        <w:t xml:space="preserve">   2.5 The Single-Model Blind Spot ..... 7</w:t>
      </w:r>
    </w:p>
    <w:p>
      <w:pPr>
        <w:spacing w:before="0" w:after="200" w:line="276" w:lineRule="auto"/>
      </w:pPr>
      <w:r>
        <w:rPr>
          <w:rFonts w:ascii="Arial" w:cs="Arial" w:eastAsia="Arial" w:hAnsi="Arial"/>
          <w:color w:val="2C2C2C"/>
          <w:sz w:val="22"/>
          <w:szCs w:val="22"/>
        </w:rPr>
        <w:t xml:space="preserve">   2.6 Research Context and Evidence Base ..... 8</w:t>
      </w:r>
    </w:p>
    <w:p>
      <w:pPr>
        <w:spacing w:before="0" w:after="200" w:line="276" w:lineRule="auto"/>
      </w:pPr>
      <w:r>
        <w:rPr>
          <w:rFonts w:ascii="Arial" w:cs="Arial" w:eastAsia="Arial" w:hAnsi="Arial"/>
          <w:color w:val="2C2C2C"/>
          <w:sz w:val="22"/>
          <w:szCs w:val="22"/>
        </w:rPr>
        <w:t xml:space="preserve">3. The Enterprise Delivery Governance Framework ..... 11</w:t>
      </w:r>
    </w:p>
    <w:p>
      <w:pPr>
        <w:spacing w:before="0" w:after="200" w:line="276" w:lineRule="auto"/>
      </w:pPr>
      <w:r>
        <w:rPr>
          <w:rFonts w:ascii="Arial" w:cs="Arial" w:eastAsia="Arial" w:hAnsi="Arial"/>
          <w:color w:val="2C2C2C"/>
          <w:sz w:val="22"/>
          <w:szCs w:val="22"/>
        </w:rPr>
        <w:t xml:space="preserve">   3.1 Enterprise Delivery Contract ..... 11</w:t>
      </w:r>
    </w:p>
    <w:p>
      <w:pPr>
        <w:spacing w:before="0" w:after="200" w:line="276" w:lineRule="auto"/>
      </w:pPr>
      <w:r>
        <w:rPr>
          <w:rFonts w:ascii="Arial" w:cs="Arial" w:eastAsia="Arial" w:hAnsi="Arial"/>
          <w:color w:val="2C2C2C"/>
          <w:sz w:val="22"/>
          <w:szCs w:val="22"/>
        </w:rPr>
        <w:t xml:space="preserve">   3.2 Quality Gate Protocol ..... 13</w:t>
      </w:r>
    </w:p>
    <w:p>
      <w:pPr>
        <w:spacing w:before="0" w:after="200" w:line="276" w:lineRule="auto"/>
      </w:pPr>
      <w:r>
        <w:rPr>
          <w:rFonts w:ascii="Arial" w:cs="Arial" w:eastAsia="Arial" w:hAnsi="Arial"/>
          <w:color w:val="2C2C2C"/>
          <w:sz w:val="22"/>
          <w:szCs w:val="22"/>
        </w:rPr>
        <w:t xml:space="preserve">   3.3 Source Truth Guarantee ..... 16</w:t>
      </w:r>
    </w:p>
    <w:p>
      <w:pPr>
        <w:spacing w:before="0" w:after="200" w:line="276" w:lineRule="auto"/>
      </w:pPr>
      <w:r>
        <w:rPr>
          <w:rFonts w:ascii="Arial" w:cs="Arial" w:eastAsia="Arial" w:hAnsi="Arial"/>
          <w:color w:val="2C2C2C"/>
          <w:sz w:val="22"/>
          <w:szCs w:val="22"/>
        </w:rPr>
        <w:t xml:space="preserve">   3.4 Task Governance Schema ..... 17</w:t>
      </w:r>
    </w:p>
    <w:p>
      <w:pPr>
        <w:spacing w:before="0" w:after="200" w:line="276" w:lineRule="auto"/>
      </w:pPr>
      <w:r>
        <w:rPr>
          <w:rFonts w:ascii="Arial" w:cs="Arial" w:eastAsia="Arial" w:hAnsi="Arial"/>
          <w:color w:val="2C2C2C"/>
          <w:sz w:val="22"/>
          <w:szCs w:val="22"/>
        </w:rPr>
        <w:t xml:space="preserve">4. Prohibited Practices ..... 20</w:t>
      </w:r>
    </w:p>
    <w:p>
      <w:pPr>
        <w:spacing w:before="0" w:after="200" w:line="276" w:lineRule="auto"/>
      </w:pPr>
      <w:r>
        <w:rPr>
          <w:rFonts w:ascii="Arial" w:cs="Arial" w:eastAsia="Arial" w:hAnsi="Arial"/>
          <w:color w:val="2C2C2C"/>
          <w:sz w:val="22"/>
          <w:szCs w:val="22"/>
        </w:rPr>
        <w:t xml:space="preserve">5. Model-Aware Execution Architecture ..... 22</w:t>
      </w:r>
    </w:p>
    <w:p>
      <w:pPr>
        <w:spacing w:before="0" w:after="200" w:line="276" w:lineRule="auto"/>
      </w:pPr>
      <w:r>
        <w:rPr>
          <w:rFonts w:ascii="Arial" w:cs="Arial" w:eastAsia="Arial" w:hAnsi="Arial"/>
          <w:color w:val="2C2C2C"/>
          <w:sz w:val="22"/>
          <w:szCs w:val="22"/>
        </w:rPr>
        <w:t xml:space="preserve">   5.1 Model Capability Registry ..... 22</w:t>
      </w:r>
    </w:p>
    <w:p>
      <w:pPr>
        <w:spacing w:before="0" w:after="200" w:line="276" w:lineRule="auto"/>
      </w:pPr>
      <w:r>
        <w:rPr>
          <w:rFonts w:ascii="Arial" w:cs="Arial" w:eastAsia="Arial" w:hAnsi="Arial"/>
          <w:color w:val="2C2C2C"/>
          <w:sz w:val="22"/>
          <w:szCs w:val="22"/>
        </w:rPr>
        <w:t xml:space="preserve">   5.2 Project Complexity Estimator ..... 23</w:t>
      </w:r>
    </w:p>
    <w:p>
      <w:pPr>
        <w:spacing w:before="0" w:after="200" w:line="276" w:lineRule="auto"/>
      </w:pPr>
      <w:r>
        <w:rPr>
          <w:rFonts w:ascii="Arial" w:cs="Arial" w:eastAsia="Arial" w:hAnsi="Arial"/>
          <w:color w:val="2C2C2C"/>
          <w:sz w:val="22"/>
          <w:szCs w:val="22"/>
        </w:rPr>
        <w:t xml:space="preserve">   5.3 Cross-Model Audit Pattern ..... 24</w:t>
      </w:r>
    </w:p>
    <w:p>
      <w:pPr>
        <w:spacing w:before="0" w:after="200" w:line="276" w:lineRule="auto"/>
      </w:pPr>
      <w:r>
        <w:rPr>
          <w:rFonts w:ascii="Arial" w:cs="Arial" w:eastAsia="Arial" w:hAnsi="Arial"/>
          <w:color w:val="2C2C2C"/>
          <w:sz w:val="22"/>
          <w:szCs w:val="22"/>
        </w:rPr>
        <w:t xml:space="preserve">6. Multi-Model Consensus Protocol ..... 25</w:t>
      </w:r>
    </w:p>
    <w:p>
      <w:pPr>
        <w:spacing w:before="0" w:after="200" w:line="276" w:lineRule="auto"/>
      </w:pPr>
      <w:r>
        <w:rPr>
          <w:rFonts w:ascii="Arial" w:cs="Arial" w:eastAsia="Arial" w:hAnsi="Arial"/>
          <w:color w:val="2C2C2C"/>
          <w:sz w:val="22"/>
          <w:szCs w:val="22"/>
        </w:rPr>
        <w:t xml:space="preserve">   6.1 Design Principles ..... 25</w:t>
      </w:r>
    </w:p>
    <w:p>
      <w:pPr>
        <w:spacing w:before="0" w:after="200" w:line="276" w:lineRule="auto"/>
      </w:pPr>
      <w:r>
        <w:rPr>
          <w:rFonts w:ascii="Arial" w:cs="Arial" w:eastAsia="Arial" w:hAnsi="Arial"/>
          <w:color w:val="2C2C2C"/>
          <w:sz w:val="22"/>
          <w:szCs w:val="22"/>
        </w:rPr>
        <w:t xml:space="preserve">   6.2 Consensus Roles ..... 26</w:t>
      </w:r>
    </w:p>
    <w:p>
      <w:pPr>
        <w:spacing w:before="0" w:after="200" w:line="276" w:lineRule="auto"/>
      </w:pPr>
      <w:r>
        <w:rPr>
          <w:rFonts w:ascii="Arial" w:cs="Arial" w:eastAsia="Arial" w:hAnsi="Arial"/>
          <w:color w:val="2C2C2C"/>
          <w:sz w:val="22"/>
          <w:szCs w:val="22"/>
        </w:rPr>
        <w:t xml:space="preserve">   6.3 Structured Position Format ..... 27</w:t>
      </w:r>
    </w:p>
    <w:p>
      <w:pPr>
        <w:spacing w:before="0" w:after="200" w:line="276" w:lineRule="auto"/>
      </w:pPr>
      <w:r>
        <w:rPr>
          <w:rFonts w:ascii="Arial" w:cs="Arial" w:eastAsia="Arial" w:hAnsi="Arial"/>
          <w:color w:val="2C2C2C"/>
          <w:sz w:val="22"/>
          <w:szCs w:val="22"/>
        </w:rPr>
        <w:t xml:space="preserve">   6.4 Disagreement Taxonomy ..... 28</w:t>
      </w:r>
    </w:p>
    <w:p>
      <w:pPr>
        <w:spacing w:before="0" w:after="200" w:line="276" w:lineRule="auto"/>
      </w:pPr>
      <w:r>
        <w:rPr>
          <w:rFonts w:ascii="Arial" w:cs="Arial" w:eastAsia="Arial" w:hAnsi="Arial"/>
          <w:color w:val="2C2C2C"/>
          <w:sz w:val="22"/>
          <w:szCs w:val="22"/>
        </w:rPr>
        <w:t xml:space="preserve">   6.5 Consensus States ..... 29</w:t>
      </w:r>
    </w:p>
    <w:p>
      <w:pPr>
        <w:spacing w:before="0" w:after="200" w:line="276" w:lineRule="auto"/>
      </w:pPr>
      <w:r>
        <w:rPr>
          <w:rFonts w:ascii="Arial" w:cs="Arial" w:eastAsia="Arial" w:hAnsi="Arial"/>
          <w:color w:val="2C2C2C"/>
          <w:sz w:val="22"/>
          <w:szCs w:val="22"/>
        </w:rPr>
        <w:t xml:space="preserve">   6.6 Consensus Metrics ..... 30</w:t>
      </w:r>
    </w:p>
    <w:p>
      <w:pPr>
        <w:spacing w:before="0" w:after="200" w:line="276" w:lineRule="auto"/>
      </w:pPr>
      <w:r>
        <w:rPr>
          <w:rFonts w:ascii="Arial" w:cs="Arial" w:eastAsia="Arial" w:hAnsi="Arial"/>
          <w:color w:val="2C2C2C"/>
          <w:sz w:val="22"/>
          <w:szCs w:val="22"/>
        </w:rPr>
        <w:t xml:space="preserve">   6.7 Divergence Detection as Quality Signal ..... 31</w:t>
      </w:r>
    </w:p>
    <w:p>
      <w:pPr>
        <w:spacing w:before="0" w:after="200" w:line="276" w:lineRule="auto"/>
      </w:pPr>
      <w:r>
        <w:rPr>
          <w:rFonts w:ascii="Arial" w:cs="Arial" w:eastAsia="Arial" w:hAnsi="Arial"/>
          <w:color w:val="2C2C2C"/>
          <w:sz w:val="22"/>
          <w:szCs w:val="22"/>
        </w:rPr>
        <w:t xml:space="preserve">   6.8 Consensus Activation Criteria ..... 32</w:t>
      </w:r>
    </w:p>
    <w:p>
      <w:pPr>
        <w:spacing w:before="0" w:after="200" w:line="276" w:lineRule="auto"/>
      </w:pPr>
      <w:r>
        <w:rPr>
          <w:rFonts w:ascii="Arial" w:cs="Arial" w:eastAsia="Arial" w:hAnsi="Arial"/>
          <w:color w:val="2C2C2C"/>
          <w:sz w:val="22"/>
          <w:szCs w:val="22"/>
        </w:rPr>
        <w:t xml:space="preserve">7. Implementation Evidence: Production Case Study ..... 33</w:t>
      </w:r>
    </w:p>
    <w:p>
      <w:pPr>
        <w:spacing w:before="0" w:after="200" w:line="276" w:lineRule="auto"/>
      </w:pPr>
      <w:r>
        <w:rPr>
          <w:rFonts w:ascii="Arial" w:cs="Arial" w:eastAsia="Arial" w:hAnsi="Arial"/>
          <w:color w:val="2C2C2C"/>
          <w:sz w:val="22"/>
          <w:szCs w:val="22"/>
        </w:rPr>
        <w:t xml:space="preserve">8. Integration with the Orchestration Protocol ..... 34</w:t>
      </w:r>
    </w:p>
    <w:p>
      <w:pPr>
        <w:spacing w:before="0" w:after="200" w:line="276" w:lineRule="auto"/>
      </w:pPr>
      <w:r>
        <w:rPr>
          <w:rFonts w:ascii="Arial" w:cs="Arial" w:eastAsia="Arial" w:hAnsi="Arial"/>
          <w:color w:val="2C2C2C"/>
          <w:sz w:val="22"/>
          <w:szCs w:val="22"/>
        </w:rPr>
        <w:t xml:space="preserve">9. Product Feature Roadmap ..... 36</w:t>
      </w:r>
    </w:p>
    <w:p>
      <w:pPr>
        <w:spacing w:before="0" w:after="200" w:line="276" w:lineRule="auto"/>
      </w:pPr>
      <w:r>
        <w:rPr>
          <w:rFonts w:ascii="Arial" w:cs="Arial" w:eastAsia="Arial" w:hAnsi="Arial"/>
          <w:color w:val="2C2C2C"/>
          <w:sz w:val="22"/>
          <w:szCs w:val="22"/>
        </w:rPr>
        <w:t xml:space="preserve">10. Staff Engineer Review Rubric ..... 38</w:t>
      </w:r>
    </w:p>
    <w:p>
      <w:pPr>
        <w:spacing w:before="0" w:after="200" w:line="276" w:lineRule="auto"/>
      </w:pPr>
      <w:r>
        <w:rPr>
          <w:rFonts w:ascii="Arial" w:cs="Arial" w:eastAsia="Arial" w:hAnsi="Arial"/>
          <w:color w:val="2C2C2C"/>
          <w:sz w:val="22"/>
          <w:szCs w:val="22"/>
        </w:rPr>
        <w:t xml:space="preserve">11. Extended Assurance Layers ..... 39</w:t>
      </w:r>
    </w:p>
    <w:p>
      <w:pPr>
        <w:spacing w:before="0" w:after="200" w:line="276" w:lineRule="auto"/>
      </w:pPr>
      <w:r>
        <w:rPr>
          <w:rFonts w:ascii="Arial" w:cs="Arial" w:eastAsia="Arial" w:hAnsi="Arial"/>
          <w:color w:val="2C2C2C"/>
          <w:sz w:val="22"/>
          <w:szCs w:val="22"/>
        </w:rPr>
        <w:t xml:space="preserve">    11.1 Formal Invariant Enforcement Layer ..... 39</w:t>
      </w:r>
    </w:p>
    <w:p>
      <w:pPr>
        <w:spacing w:before="0" w:after="200" w:line="276" w:lineRule="auto"/>
      </w:pPr>
      <w:r>
        <w:rPr>
          <w:rFonts w:ascii="Arial" w:cs="Arial" w:eastAsia="Arial" w:hAnsi="Arial"/>
          <w:color w:val="2C2C2C"/>
          <w:sz w:val="22"/>
          <w:szCs w:val="22"/>
        </w:rPr>
        <w:t xml:space="preserve">    11.2 System Drift Monitoring ..... 41</w:t>
      </w:r>
    </w:p>
    <w:p>
      <w:pPr>
        <w:spacing w:before="0" w:after="200" w:line="276" w:lineRule="auto"/>
      </w:pPr>
      <w:r>
        <w:rPr>
          <w:rFonts w:ascii="Arial" w:cs="Arial" w:eastAsia="Arial" w:hAnsi="Arial"/>
          <w:color w:val="2C2C2C"/>
          <w:sz w:val="22"/>
          <w:szCs w:val="22"/>
        </w:rPr>
        <w:t xml:space="preserve">    11.3 Outcome-Based Reinforcement Layer ..... 43</w:t>
      </w:r>
    </w:p>
    <w:p>
      <w:pPr>
        <w:spacing w:before="0" w:after="200" w:line="276" w:lineRule="auto"/>
      </w:pPr>
      <w:r>
        <w:rPr>
          <w:rFonts w:ascii="Arial" w:cs="Arial" w:eastAsia="Arial" w:hAnsi="Arial"/>
          <w:color w:val="2C2C2C"/>
          <w:sz w:val="22"/>
          <w:szCs w:val="22"/>
        </w:rPr>
        <w:t xml:space="preserve">    11.4 Quantified Risk Model ..... 44</w:t>
      </w:r>
    </w:p>
    <w:p>
      <w:pPr>
        <w:spacing w:before="0" w:after="200" w:line="276" w:lineRule="auto"/>
      </w:pPr>
      <w:r>
        <w:rPr>
          <w:rFonts w:ascii="Arial" w:cs="Arial" w:eastAsia="Arial" w:hAnsi="Arial"/>
          <w:color w:val="2C2C2C"/>
          <w:sz w:val="22"/>
          <w:szCs w:val="22"/>
        </w:rPr>
        <w:t xml:space="preserve">    11.5 Execution Trace Graph ..... 45</w:t>
      </w:r>
    </w:p>
    <w:p>
      <w:pPr>
        <w:spacing w:before="0" w:after="200" w:line="276" w:lineRule="auto"/>
      </w:pPr>
      <w:r>
        <w:rPr>
          <w:rFonts w:ascii="Arial" w:cs="Arial" w:eastAsia="Arial" w:hAnsi="Arial"/>
          <w:color w:val="2C2C2C"/>
          <w:sz w:val="22"/>
          <w:szCs w:val="22"/>
        </w:rPr>
        <w:t xml:space="preserve">    11.6 Reproducibility Contract ..... 46</w:t>
      </w:r>
    </w:p>
    <w:p>
      <w:pPr>
        <w:spacing w:before="0" w:after="200" w:line="276" w:lineRule="auto"/>
      </w:pPr>
      <w:r>
        <w:rPr>
          <w:rFonts w:ascii="Arial" w:cs="Arial" w:eastAsia="Arial" w:hAnsi="Arial"/>
          <w:color w:val="2C2C2C"/>
          <w:sz w:val="22"/>
          <w:szCs w:val="22"/>
        </w:rPr>
        <w:t xml:space="preserve">12. Benchmark Comparison and KPI Framework ..... 48</w:t>
      </w:r>
    </w:p>
    <w:p>
      <w:pPr>
        <w:spacing w:before="0" w:after="200" w:line="276" w:lineRule="auto"/>
      </w:pPr>
      <w:r>
        <w:rPr>
          <w:rFonts w:ascii="Arial" w:cs="Arial" w:eastAsia="Arial" w:hAnsi="Arial"/>
          <w:color w:val="2C2C2C"/>
          <w:sz w:val="22"/>
          <w:szCs w:val="22"/>
        </w:rPr>
        <w:t xml:space="preserve">    12.1 Production Case Study Metrics ..... 48</w:t>
      </w:r>
    </w:p>
    <w:p>
      <w:pPr>
        <w:spacing w:before="0" w:after="200" w:line="276" w:lineRule="auto"/>
      </w:pPr>
      <w:r>
        <w:rPr>
          <w:rFonts w:ascii="Arial" w:cs="Arial" w:eastAsia="Arial" w:hAnsi="Arial"/>
          <w:color w:val="2C2C2C"/>
          <w:sz w:val="22"/>
          <w:szCs w:val="22"/>
        </w:rPr>
        <w:t xml:space="preserve">    12.2 KPI Definitions and Targets ..... 48</w:t>
      </w:r>
    </w:p>
    <w:p>
      <w:pPr>
        <w:spacing w:before="0" w:after="200" w:line="276" w:lineRule="auto"/>
      </w:pPr>
      <w:r>
        <w:rPr>
          <w:rFonts w:ascii="Arial" w:cs="Arial" w:eastAsia="Arial" w:hAnsi="Arial"/>
          <w:color w:val="2C2C2C"/>
          <w:sz w:val="22"/>
          <w:szCs w:val="22"/>
        </w:rPr>
        <w:t xml:space="preserve">    12.3 Industry Benchmark Comparisons ..... 50</w:t>
      </w:r>
    </w:p>
    <w:p>
      <w:pPr>
        <w:spacing w:before="0" w:after="200" w:line="276" w:lineRule="auto"/>
      </w:pPr>
      <w:r>
        <w:rPr>
          <w:rFonts w:ascii="Arial" w:cs="Arial" w:eastAsia="Arial" w:hAnsi="Arial"/>
          <w:color w:val="2C2C2C"/>
          <w:sz w:val="22"/>
          <w:szCs w:val="22"/>
        </w:rPr>
        <w:t xml:space="preserve">13. Regulatory Alignment ..... 52</w:t>
      </w:r>
    </w:p>
    <w:p>
      <w:pPr>
        <w:spacing w:before="0" w:after="200" w:line="276" w:lineRule="auto"/>
      </w:pPr>
      <w:r>
        <w:rPr>
          <w:rFonts w:ascii="Arial" w:cs="Arial" w:eastAsia="Arial" w:hAnsi="Arial"/>
          <w:color w:val="2C2C2C"/>
          <w:sz w:val="22"/>
          <w:szCs w:val="22"/>
        </w:rPr>
        <w:t xml:space="preserve">14. Conclusion ..... 54</w:t>
      </w:r>
    </w:p>
    <w:p>
      <w:pPr>
        <w:spacing w:before="0" w:after="200" w:line="276" w:lineRule="auto"/>
      </w:pPr>
      <w:r>
        <w:rPr>
          <w:rFonts w:ascii="Arial" w:cs="Arial" w:eastAsia="Arial" w:hAnsi="Arial"/>
          <w:color w:val="2C2C2C"/>
          <w:sz w:val="22"/>
          <w:szCs w:val="22"/>
        </w:rPr>
        <w:t xml:space="preserve">Appendix A. Glossary ..... 56</w:t>
      </w:r>
    </w:p>
    <w:p>
      <w:pPr>
        <w:spacing w:before="0" w:after="200" w:line="276" w:lineRule="auto"/>
      </w:pPr>
      <w:r>
        <w:rPr>
          <w:rFonts w:ascii="Arial" w:cs="Arial" w:eastAsia="Arial" w:hAnsi="Arial"/>
          <w:color w:val="2C2C2C"/>
          <w:sz w:val="22"/>
          <w:szCs w:val="22"/>
        </w:rPr>
        <w:t xml:space="preserve">References ..... 60</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a governance framework that makes enterprise software quality a system property enforced at every execution boundary in AI-orchestrated engineering workflows. The framework was developed during production engineering of an enterprise SaaS platform, where a multi-model orchestration protocol exposed repeated quality failures invisible to any single participant. The root causes, prevention mechanisms, and enforcement protocols generalize to any AI-assisted engineering workflow operating at enterprise scale.</w:t>
      </w:r>
    </w:p>
    <w:p>
      <w:pPr>
        <w:spacing w:before="0" w:after="200" w:line="276" w:lineRule="auto"/>
      </w:pPr>
      <w:r>
        <w:rPr>
          <w:rFonts w:ascii="Arial" w:cs="Arial" w:eastAsia="Arial" w:hAnsi="Arial"/>
          <w:color w:val="2C2C2C"/>
          <w:sz w:val="22"/>
          <w:szCs w:val="22"/>
        </w:rPr>
        <w:t xml:space="preserve">The central thesis is precise: telling a model to write production-grade code is not governance. Embedding explicit invariants, failure criteria, and verification requirements into every execution prompt, validating compliance evidence in every handback, and requiring multi-model consensus on critical decisions is governance. The difference is architectural, not aspirational.</w:t>
      </w:r>
    </w:p>
    <w:p>
      <w:pPr>
        <w:spacing w:before="0" w:after="200" w:line="276" w:lineRule="auto"/>
      </w:pPr>
      <w:r>
        <w:rPr>
          <w:rFonts w:ascii="Arial" w:cs="Arial" w:eastAsia="Arial" w:hAnsi="Arial"/>
          <w:color w:val="2C2C2C"/>
          <w:sz w:val="22"/>
          <w:szCs w:val="22"/>
        </w:rPr>
        <w:t xml:space="preserve">The framework defines twelve interlocking mechanisms, each addressing a distinct failure mode observed in production. The first six govern the execution boundary: the Enterprise Delivery Contract (missing constraints), the Quality Gate Protocol (missing evidence), the Source Truth Guarantee (missing information), the Task Governance Schema (context loss), the Model Intelligence Layer (capability mismatch), and the Multi-Model Consensus Protocol (single-model blind spots). The remaining six extend governance beyond the execution boundary: the Formal Invariant Enforcement Layer (unverified claims), System Drift Monitoring (silent degradation), the Outcome-Based Reinforcement Layer (static governance), the Quantified Risk Model (qualitative risk), the Execution Trace Graph (untraceable decisions), and the Reproducibility Contract (irreproducible executions).</w:t>
      </w:r>
    </w:p>
    <w:p>
      <w:pPr>
        <w:pBdr>
          <w:left w:val="single" w:color="2E75B6" w:sz="6" w:space="8"/>
        </w:pBdr>
        <w:spacing w:before="120" w:after="200"/>
        <w:ind w:left="720"/>
      </w:pPr>
      <w:r>
        <w:rPr>
          <w:rFonts w:ascii="Arial" w:cs="Arial" w:eastAsia="Arial" w:hAnsi="Arial"/>
          <w:i/>
          <w:iCs/>
          <w:color w:val="555555"/>
          <w:sz w:val="22"/>
          <w:szCs w:val="22"/>
        </w:rPr>
        <w:t xml:space="preserve">The framework serves a dual purpose. It governs how the ContextKeeper platform is built: every delivery cycle operates under these protocols. It also defines what the platform offers: the same governed, model-aware, consensus-driven, verifiable engineering discipline becomes the capability that enterprise customers use to govern their own AI-assisted workflows.</w:t>
      </w:r>
    </w:p>
    <w:p>
      <w:pPr>
        <w:spacing w:before="0" w:after="200" w:line="276" w:lineRule="auto"/>
      </w:pPr>
      <w:r>
        <w:rPr>
          <w:rFonts w:ascii="Arial" w:cs="Arial" w:eastAsia="Arial" w:hAnsi="Arial"/>
          <w:color w:val="2C2C2C"/>
          <w:sz w:val="22"/>
          <w:szCs w:val="22"/>
        </w:rPr>
        <w:t xml:space="preserve">Implementation evidence is drawn from seven documented production failures representing six correction cycles and approximately 60% of two consecutive development iterations spent on rework. Each failure is traced to a specific governance gap, and the mechanism that would have prevented it is identified. Speculative implementation alone, the single highest-impact failure mode, carries a correction cost approximately 4x the original implementation cost, based on observed production data. This ratio is consistent with Boehm and Basili's published cost-of-defect data for small projects (approximately 1:4 to 1:5) and with Menzies et al.'s empirical finding of 2.16x to 4.37x cost escalation for requirements defects detected late in the lifecycle.</w:t>
      </w:r>
    </w:p>
    <w:p>
      <w:pPr>
        <w:spacing w:before="0" w:after="200" w:line="276" w:lineRule="auto"/>
      </w:pPr>
      <w:r>
        <w:rPr>
          <w:rFonts w:ascii="Arial" w:cs="Arial" w:eastAsia="Arial" w:hAnsi="Arial"/>
          <w:color w:val="2C2C2C"/>
          <w:sz w:val="22"/>
          <w:szCs w:val="22"/>
        </w:rPr>
        <w:t xml:space="preserve">Version 1.1 adds Section 2.6 (Research Context and Evidence Base), Section 12 (Benchmark Comparison and KPI Framework), and Section 13 (Regulatory Alignment). These additions situate the framework within the current published evidence base, provide quantitative KPIs for operators, and map governance mechanisms to applicable regulatory standards.</w:t>
      </w:r>
    </w:p>
    <w:p>
      <w:pPr>
        <w:spacing w:before="0" w:after="200" w:line="276" w:lineRule="auto"/>
      </w:pPr>
      <w:r>
        <w:rPr>
          <w:rFonts w:ascii="Arial" w:cs="Arial" w:eastAsia="Arial" w:hAnsi="Arial"/>
          <w:color w:val="2C2C2C"/>
          <w:sz w:val="22"/>
          <w:szCs w:val="22"/>
        </w:rPr>
        <w:t xml:space="preserve">The framework integrates with the DEL-v2 state machine protocol defined in WP-001. The Enterprise Delivery Contract extends the execution prompt template. The Quality Gate Protocol extends the handback verification requirements. The Task Governance Schema extends the task metadata structure. Together they form a complete assurance architecture for AI-orchestrated software engineering.</w:t>
      </w:r>
    </w:p>
    <w:p>
      <w:pPr>
        <w:pStyle w:val="Heading1"/>
        <w:pageBreakBefore/>
        <w:spacing w:before="360" w:after="120" w:line="276" w:lineRule="auto"/>
      </w:pPr>
      <w:r>
        <w:rPr>
          <w:rFonts w:ascii="Arial" w:cs="Arial" w:eastAsia="Arial" w:hAnsi="Arial"/>
          <w:b/>
          <w:bCs/>
          <w:color w:val="1B2A4A"/>
          <w:sz w:val="36"/>
          <w:szCs w:val="36"/>
        </w:rPr>
        <w:t xml:space="preserve">2. Problem Statement</w:t>
      </w:r>
    </w:p>
    <w:p>
      <w:pPr>
        <w:pStyle w:val="Heading2"/>
        <w:spacing w:before="240" w:after="80" w:line="276" w:lineRule="auto"/>
      </w:pPr>
      <w:r>
        <w:rPr>
          <w:rFonts w:ascii="Arial" w:cs="Arial" w:eastAsia="Arial" w:hAnsi="Arial"/>
          <w:b/>
          <w:bCs/>
          <w:color w:val="2E75B6"/>
          <w:sz w:val="28"/>
          <w:szCs w:val="28"/>
        </w:rPr>
        <w:t xml:space="preserve">2.1 The Completion Bias</w:t>
      </w:r>
    </w:p>
    <w:p>
      <w:pPr>
        <w:spacing w:before="0" w:after="200" w:line="276" w:lineRule="auto"/>
      </w:pPr>
      <w:r>
        <w:rPr>
          <w:rFonts w:ascii="Arial" w:cs="Arial" w:eastAsia="Arial" w:hAnsi="Arial"/>
          <w:color w:val="2C2C2C"/>
          <w:sz w:val="22"/>
          <w:szCs w:val="22"/>
        </w:rPr>
        <w:t xml:space="preserve">Large language models (LLMs) are trained to satisfy the stated request. When given an execution prompt that says 'build an API endpoint,' the model builds an API endpoint. It does not independently verify that the endpoint matches the production authentication pattern, uses the correct database abstraction, follows the existing error handling convention, integrates with the deployment infrastructure, logs to the correct audit table, or handles the failure modes that a staff engineer would enumerate instinctively. These concerns must be explicitly stated in the prompt or they will be silently violated.</w:t>
      </w:r>
    </w:p>
    <w:p>
      <w:pPr>
        <w:spacing w:before="0" w:after="200" w:line="276" w:lineRule="auto"/>
      </w:pPr>
      <w:r>
        <w:rPr>
          <w:rFonts w:ascii="Arial" w:cs="Arial" w:eastAsia="Arial" w:hAnsi="Arial"/>
          <w:color w:val="2C2C2C"/>
          <w:sz w:val="22"/>
          <w:szCs w:val="22"/>
        </w:rPr>
        <w:t xml:space="preserve">This is not a model capability limitation. It is an information boundary problem. The model can only enforce constraints it has been given. If the execution prompt omits a constraint, the model will invent a plausible substitute that is internally consistent, syntactically valid, and functionally operational while being architecturally wrong. The output passes casual review because it runs; it fails enterprise review because it violates unstated invariants.</w:t>
      </w:r>
    </w:p>
    <w:p>
      <w:pPr>
        <w:spacing w:before="0" w:after="200" w:line="276" w:lineRule="auto"/>
      </w:pPr>
      <w:r>
        <w:rPr>
          <w:rFonts w:ascii="Arial" w:cs="Arial" w:eastAsia="Arial" w:hAnsi="Arial"/>
          <w:color w:val="2C2C2C"/>
          <w:sz w:val="22"/>
          <w:szCs w:val="22"/>
        </w:rPr>
        <w:t xml:space="preserve">The completion bias is compounded by context degradation at scale. AIMultiple's long-context benchmarking guidance (updated 2026) reports that models advertised with 200K-token context windows show practical reliability degradation well before the stated maximum, with one cited rule-of-thumb around approximately 130K tokens. Laban, Hayashi, Zhou and Neville (arXiv:2505.06120, ICLR 2026) found an average performance drop of approximately 39% across six generation tasks when moving from single-turn to multi-turn underspecified interaction settings. The 2025 DORA report found that AI adoption acts as an amplifier: teams with strong engineering practices benefit, while teams with weak practices see their weaknesses magnified. Completion bias without governance is one such weakness.</w:t>
      </w:r>
    </w:p>
    <w:p>
      <w:pPr>
        <w:pStyle w:val="Heading2"/>
        <w:spacing w:before="240" w:after="80" w:line="276" w:lineRule="auto"/>
      </w:pPr>
      <w:r>
        <w:rPr>
          <w:rFonts w:ascii="Arial" w:cs="Arial" w:eastAsia="Arial" w:hAnsi="Arial"/>
          <w:b/>
          <w:bCs/>
          <w:color w:val="2E75B6"/>
          <w:sz w:val="28"/>
          <w:szCs w:val="28"/>
        </w:rPr>
        <w:t xml:space="preserve">2.2 The Speculative Implementation Failure</w:t>
      </w:r>
    </w:p>
    <w:p>
      <w:pPr>
        <w:spacing w:before="0" w:after="200" w:line="276" w:lineRule="auto"/>
      </w:pPr>
      <w:r>
        <w:rPr>
          <w:rFonts w:ascii="Arial" w:cs="Arial" w:eastAsia="Arial" w:hAnsi="Arial"/>
          <w:color w:val="2C2C2C"/>
          <w:sz w:val="22"/>
          <w:szCs w:val="22"/>
        </w:rPr>
        <w:t xml:space="preserve">The single most expensive failure mode observed during production engineering of an enterprise platform is speculative implementation: the executor writes code against an imagined interface rather than the real one. This occurs when the orchestrator issues an execution prompt without attaching current source files. The executor constructs plausible class signatures, method names, and require paths from context clues. The resulting code is internally consistent and completely incompatible with production.</w:t>
      </w:r>
    </w:p>
    <w:p>
      <w:pPr>
        <w:spacing w:before="0" w:after="200" w:line="276" w:lineRule="auto"/>
      </w:pPr>
      <w:r>
        <w:rPr>
          <w:rFonts w:ascii="Arial" w:cs="Arial" w:eastAsia="Arial" w:hAnsi="Arial"/>
          <w:color w:val="2C2C2C"/>
          <w:sz w:val="22"/>
          <w:szCs w:val="22"/>
        </w:rPr>
        <w:t xml:space="preserve">Table 1 documents the speculative implementation failures observed in production with their root causes, correction costs, and the prevention mechanism that would have caught them.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Speculative Failure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Root Cause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Correction Cost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Prevention Mechanism</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API endpoints referenced db.php and auth.php</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Production uses Database.php and Auth.php with different class interfaces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 full correction cycles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ConnectorInterface rewrite broke 20 classes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wrote interface from scratch without seeing live 8-method version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 cycle plus redesign to method_exists() pattern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 Implicit Interface prohibition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Router-incompatible endpoint files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Endpoints included own headers and auth instead of using router scope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 full rewrite cycle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 Delivery Contract integration 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Deployment zip created nested directories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Zip packaged with staging parent folder instead of flat app/ 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file relocation by operator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Nested Deployment prohibition; Delivery Contract rollback plan</w:t>
            </w:r>
          </w:p>
        </w:tc>
      </w:tr>
    </w:tbl>
    <w:p>
      <w:pPr>
        <w:spacing w:before="120" w:after="0"/>
      </w:pPr>
    </w:p>
    <w:p>
      <w:pPr>
        <w:spacing w:before="0" w:after="200" w:line="276" w:lineRule="auto"/>
      </w:pPr>
      <w:r>
        <w:rPr>
          <w:rFonts w:ascii="Arial" w:cs="Arial" w:eastAsia="Arial" w:hAnsi="Arial"/>
          <w:color w:val="2C2C2C"/>
          <w:sz w:val="22"/>
          <w:szCs w:val="22"/>
        </w:rPr>
        <w:t xml:space="preserve">Cumulative cost across documented failures: approximately six correction cycles, representing 60% of engineering time across two consecutive development iterations. The 4x correction cost ratio for speculative implementation is consistent with published software engineering evidence. Boehm and Basili (IEEE Computer, 2001) documented that projects spend 40-50% of effort on avoidable rework, with 80% of avoidable rework originating from 20% of defects. Menzies, Nichols, Shull and Layman (Empirical Software Engineering, 2017) found maximum cost escalation of 2.16x to 4.37x for requirements defects detected at integration testing across 171 commercial projects. The 4x figure observed in production falls within this empirically validated range. The economic case for the Source Truth Guarantee is built on this data: delaying one delivery cycle to acquire source files costs 1x; speculative implementation followed by correction costs approximately 4x.</w:t>
      </w:r>
    </w:p>
    <w:p>
      <w:pPr>
        <w:pStyle w:val="Heading2"/>
        <w:spacing w:before="240" w:after="80" w:line="276" w:lineRule="auto"/>
      </w:pPr>
      <w:r>
        <w:rPr>
          <w:rFonts w:ascii="Arial" w:cs="Arial" w:eastAsia="Arial" w:hAnsi="Arial"/>
          <w:b/>
          <w:bCs/>
          <w:color w:val="2E75B6"/>
          <w:sz w:val="28"/>
          <w:szCs w:val="28"/>
        </w:rPr>
        <w:t xml:space="preserve">2.3 The Governance Gap</w:t>
      </w:r>
    </w:p>
    <w:p>
      <w:pPr>
        <w:spacing w:before="0" w:after="200" w:line="276" w:lineRule="auto"/>
      </w:pPr>
      <w:r>
        <w:rPr>
          <w:rFonts w:ascii="Arial" w:cs="Arial" w:eastAsia="Arial" w:hAnsi="Arial"/>
          <w:color w:val="2C2C2C"/>
          <w:sz w:val="22"/>
          <w:szCs w:val="22"/>
        </w:rPr>
        <w:t xml:space="preserve">Existing AI orchestration protocols govern what gets built (task scoping), who builds it (role assignment), and how results are communicated (handback format). They do not govern to what standard the work is executed. A perfectly orchestrated delivery cycle can still produce mediocre code because nothing forces quality constraints into execution prompts or validates quality evidence in handbacks. The DEL-v2 protocol (WP-001) addresses state machine governance and session continuity. This framework addresses quality governance at the execution level.</w:t>
      </w:r>
    </w:p>
    <w:p>
      <w:pPr>
        <w:pStyle w:val="Heading2"/>
        <w:spacing w:before="240" w:after="80" w:line="276" w:lineRule="auto"/>
      </w:pPr>
      <w:r>
        <w:rPr>
          <w:rFonts w:ascii="Arial" w:cs="Arial" w:eastAsia="Arial" w:hAnsi="Arial"/>
          <w:b/>
          <w:bCs/>
          <w:color w:val="2E75B6"/>
          <w:sz w:val="28"/>
          <w:szCs w:val="28"/>
        </w:rPr>
        <w:t xml:space="preserve">2.4 The Accumulation Problem</w:t>
      </w:r>
    </w:p>
    <w:p>
      <w:pPr>
        <w:spacing w:before="0" w:after="200" w:line="276" w:lineRule="auto"/>
      </w:pPr>
      <w:r>
        <w:rPr>
          <w:rFonts w:ascii="Arial" w:cs="Arial" w:eastAsia="Arial" w:hAnsi="Arial"/>
          <w:color w:val="2C2C2C"/>
          <w:sz w:val="22"/>
          <w:szCs w:val="22"/>
        </w:rPr>
        <w:t xml:space="preserve">In AI-orchestrated engineering, the context window rotates. The orchestrator's memory of a placeholder or deferred decision exists only in conversation history. When a new session begins, that memory is lost unless captured in a state file. The executor has no memory between sessions. Placeholders become permanent by accident. Deferred decisions become forgotten decisions. The only structural defense is to prohibit deferral: every task must be completed to enterprise grade before closure. The governance framework enforces this prohibition at the Quality Gate level.</w:t>
      </w:r>
    </w:p>
    <w:p>
      <w:pPr>
        <w:pStyle w:val="Heading2"/>
        <w:spacing w:before="240" w:after="80" w:line="276" w:lineRule="auto"/>
      </w:pPr>
      <w:r>
        <w:rPr>
          <w:rFonts w:ascii="Arial" w:cs="Arial" w:eastAsia="Arial" w:hAnsi="Arial"/>
          <w:b/>
          <w:bCs/>
          <w:color w:val="2E75B6"/>
          <w:sz w:val="28"/>
          <w:szCs w:val="28"/>
        </w:rPr>
        <w:t xml:space="preserve">2.5 The Single-Model Blind Spot</w:t>
      </w:r>
    </w:p>
    <w:p>
      <w:pPr>
        <w:spacing w:before="0" w:after="200" w:line="276" w:lineRule="auto"/>
      </w:pPr>
      <w:r>
        <w:rPr>
          <w:rFonts w:ascii="Arial" w:cs="Arial" w:eastAsia="Arial" w:hAnsi="Arial"/>
          <w:color w:val="2C2C2C"/>
          <w:sz w:val="22"/>
          <w:szCs w:val="22"/>
        </w:rPr>
        <w:t xml:space="preserve">Every language model has systematic biases in how it interprets ambiguous requirements, makes architectural choices, and evaluates tradeoffs. When a single model both executes and self-evaluates, its blind spots are invisible: the model cannot identify what it does not know it is missing. This is the AI analogue of the model variance problem in statistical learning, where one model's confidence tells you nothing about whether its answer is correct, only that it is internally consistent.</w:t>
      </w:r>
    </w:p>
    <w:p>
      <w:pPr>
        <w:spacing w:before="0" w:after="200" w:line="276" w:lineRule="auto"/>
      </w:pPr>
      <w:r>
        <w:rPr>
          <w:rFonts w:ascii="Arial" w:cs="Arial" w:eastAsia="Arial" w:hAnsi="Arial"/>
          <w:color w:val="2C2C2C"/>
          <w:sz w:val="22"/>
          <w:szCs w:val="22"/>
        </w:rPr>
        <w:t xml:space="preserve">Enterprise systems cannot tolerate single-point-of-failure reasoning. Critical decisions require independent verification by a different reasoning system with different training biases, different failure modes, and different architectural preferences. Without multi-model verification, the orchestration system has no mechanism to detect confident-but-wrong outputs. The Multi-Model Consensus Protocol is the structural response to this problem.</w:t>
      </w:r>
    </w:p>
    <w:p>
      <w:pPr>
        <w:pStyle w:val="Heading2"/>
        <w:spacing w:before="240" w:after="80" w:line="276" w:lineRule="auto"/>
      </w:pPr>
      <w:r>
        <w:rPr>
          <w:rFonts w:ascii="Arial" w:cs="Arial" w:eastAsia="Arial" w:hAnsi="Arial"/>
          <w:b/>
          <w:bCs/>
          <w:color w:val="2E75B6"/>
          <w:sz w:val="28"/>
          <w:szCs w:val="28"/>
        </w:rPr>
        <w:t xml:space="preserve">2.6 Research Context and Evidence Base</w:t>
      </w:r>
    </w:p>
    <w:p>
      <w:pPr>
        <w:spacing w:before="0" w:after="200" w:line="276" w:lineRule="auto"/>
      </w:pPr>
      <w:r>
        <w:rPr>
          <w:rFonts w:ascii="Arial" w:cs="Arial" w:eastAsia="Arial" w:hAnsi="Arial"/>
          <w:color w:val="2C2C2C"/>
          <w:sz w:val="22"/>
          <w:szCs w:val="22"/>
        </w:rPr>
        <w:t xml:space="preserve">Version 1.1 adds this section to ground the framework's architectural choices in the published evidence base. The research covers six areas that map directly to the framework's core design decisions.</w:t>
      </w:r>
    </w:p>
    <w:p>
      <w:pPr>
        <w:spacing w:before="0" w:after="200" w:line="276" w:lineRule="auto"/>
      </w:pPr>
      <w:r>
        <w:rPr>
          <w:rFonts w:ascii="Arial" w:cs="Arial" w:eastAsia="Arial" w:hAnsi="Arial"/>
          <w:color w:val="2C2C2C"/>
          <w:sz w:val="22"/>
          <w:szCs w:val="22"/>
        </w:rPr>
        <w:t xml:space="preserve">Governance frameworks improve AI code quality. The 2025 DORA report (approximately 5,000 respondents) found AI adoption acts as an amplifier -- organizations with strong practices benefit, those with weak practices deteriorate. The report introduced rework rate as a fifth core DORA metric and found a 9% increase in bug rates correlated with AI adoption absent governance countermeasures. CodeRabbit's analysis of 470 GitHub pull requests (2025) found AI-generated code contains 1.7x more issues overall versus human-authored code, with performance inefficiencies at approximately 8x and security vulnerabilities at 1.5-2.74x. GitClear's analysis of 211 million lines of code (2025) found a 4x growth in code duplication and refactoring collapsing from 25% to under 10% of changed lines when AI tools are used without structured governance. The METR randomized controlled trial (Becker et al., arXiv:2507.09089, 2025) found AI tools caused a 19% net slowdown for 16 experienced developers across 246 tasks, while developers perceived they were 20% faster -- a 39-44% perception gap. The combined evidence establishes that ungoverned AI-assisted development degrades quality predictably and measurably.</w:t>
      </w:r>
    </w:p>
    <w:p>
      <w:pPr>
        <w:spacing w:before="0" w:after="200" w:line="276" w:lineRule="auto"/>
      </w:pPr>
      <w:r>
        <w:rPr>
          <w:rFonts w:ascii="Arial" w:cs="Arial" w:eastAsia="Arial" w:hAnsi="Arial"/>
          <w:color w:val="2C2C2C"/>
          <w:sz w:val="22"/>
          <w:szCs w:val="22"/>
        </w:rPr>
        <w:t xml:space="preserve">Multi-model consensus has strong theoretical foundations and a critical empirical caveat. The ensemble analogy in Section 6 draws on Breiman's Random Forests (2001) and Dietterich's three conditions for ensemble superiority: individual accuracy above chance, diversity of errors, and independence of estimators (Dietterich, MCS 2000). Dietterich proved these conditions are jointly sufficient for ensemble performance to exceed the best individual classifier. Lakshminarayanan, Pritzel and Blundell (NeurIPS 2017) established that when ensemble members share training biases, agreement can reflect correlated errors rather than genuine confidence -- making divergence a more reliable signal than agreement.</w:t>
      </w:r>
    </w:p>
    <w:p>
      <w:pPr>
        <w:spacing w:before="0" w:after="200" w:line="276" w:lineRule="auto"/>
      </w:pPr>
      <w:r>
        <w:rPr>
          <w:rFonts w:ascii="Arial" w:cs="Arial" w:eastAsia="Arial" w:hAnsi="Arial"/>
          <w:color w:val="2C2C2C"/>
          <w:sz w:val="22"/>
          <w:szCs w:val="22"/>
        </w:rPr>
        <w:t xml:space="preserve">The critical empirical caveat comes from Kim, Garg, Peng and Garg (ICML 2025, arXiv:2506.07962), who evaluated 350+ LLMs and found models agree 60% of the time when both err, with larger and more accurate models having highly correlated errors even with distinct architectures and providers. This directly informs the independence requirement in Section 6.2: consensus value is maximized when model pairs are selected for low correlation across providers and training approaches. The Wang et al. Mixture-of-Agents system (ICLR 2025) achieved 65.1% on AlpacaEval 2.0 versus 57.5% for GPT-4o alone using layered multi-model architectures, demonstrating that the ensemble benefit is real when independence is preserved.</w:t>
      </w:r>
    </w:p>
    <w:p>
      <w:pPr>
        <w:spacing w:before="0" w:after="200" w:line="276" w:lineRule="auto"/>
      </w:pPr>
      <w:r>
        <w:rPr>
          <w:rFonts w:ascii="Arial" w:cs="Arial" w:eastAsia="Arial" w:hAnsi="Arial"/>
          <w:color w:val="2C2C2C"/>
          <w:sz w:val="22"/>
          <w:szCs w:val="22"/>
        </w:rPr>
        <w:t xml:space="preserve">Sequential quality gates are the only known mechanism to achieve defect removal efficiency above 85%. Fagan (IBM Systems Journal, 1976) found design and code inspections located 82% of all errors and improved productivity by 20% or more. Capers Jones' Economics of Software Quality found that the U.S. average defect removal efficiency is approximately 85%, with best-in-class projects achieving greater than 99%. Testing alone has an efficiency ceiling of approximately 35% per stage. The only known path to cumulative defect removal efficiency above 95% is synergistic combination of inspections, static analysis, and formal testing. Jones also found that only 30-35% of defects originate in code; 20-25% from requirements and 25-30% from design -- directly validating the Build, Proof, Operations, and Architecture gate sequence ordering by detection cost. The NASA Johnson Space Center (2010) documented cost escalation factors of 1x at requirements, 5x at design, 10x at code, and 50.5x at test for software defects in their project portfolio.</w:t>
      </w:r>
    </w:p>
    <w:p>
      <w:pPr>
        <w:spacing w:before="0" w:after="200" w:line="276" w:lineRule="auto"/>
      </w:pPr>
      <w:r>
        <w:rPr>
          <w:rFonts w:ascii="Arial" w:cs="Arial" w:eastAsia="Arial" w:hAnsi="Arial"/>
          <w:color w:val="2C2C2C"/>
          <w:sz w:val="22"/>
          <w:szCs w:val="22"/>
        </w:rPr>
        <w:t xml:space="preserve">Structured prompting measurably improves AI code quality. Li et al. (ACM TOSEM 2024) found structured Chain-of-Thought prompting outperformed standard CoT by up to 13.79% Pass@1 on HumanEval and 12.31% on MBPP for code generation. The SBC metric paper (arXiv:2502.07835, 2025) demonstrated that specification-code alignment can be quantified and that gaps directly identify hallucinations. CodeRabbit's analysis found AI-generated code makes more mistakes 'when it lacks business rules, configuration patterns, or architectural constraints' -- directly validating the Enterprise Delivery Contract's role in providing those constraints. These findings confirm that the Delivery Contract is not process overhead; it is the information boundary that prevents completion bias.</w:t>
      </w:r>
    </w:p>
    <w:p>
      <w:pPr>
        <w:spacing w:before="0" w:after="200" w:line="276" w:lineRule="auto"/>
      </w:pPr>
      <w:r>
        <w:rPr>
          <w:rFonts w:ascii="Arial" w:cs="Arial" w:eastAsia="Arial" w:hAnsi="Arial"/>
          <w:color w:val="2C2C2C"/>
          <w:sz w:val="22"/>
          <w:szCs w:val="22"/>
        </w:rPr>
        <w:t xml:space="preserve">LLM behavioral drift is empirically documented and operationally dangerous. Chen, Zaharia and Zou (Harvard Data Science Review, 2023) found GPT-4's directly executable code generation dropped from 52.0% to 10.0% between March and June 2023 -- a 42-percentage-point degradation in three months. GPT-3.5 code executability dropped from 22.0% to 2.0% over the same period. This quantifies the operational risk of the model drift type defined in Section 11.2's System Drift Monitoring taxonomy. The Model Capability Registry (Section 5.1) and its last_updated timestamp and deprecation_status fields exist specifically to detect and flag this drift before it affects production.</w:t>
      </w:r>
    </w:p>
    <w:p>
      <w:pPr>
        <w:spacing w:before="0" w:after="200" w:line="276" w:lineRule="auto"/>
      </w:pPr>
      <w:r>
        <w:rPr>
          <w:rFonts w:ascii="Arial" w:cs="Arial" w:eastAsia="Arial" w:hAnsi="Arial"/>
          <w:color w:val="2C2C2C"/>
          <w:sz w:val="22"/>
          <w:szCs w:val="22"/>
        </w:rPr>
        <w:t xml:space="preserve">LLM output reproducibility at temperature=0 is not guaranteed. Atil et al. (arXiv:2408.04667, 2025) found accuracy variations up to 15% across identical runs at temperature=0 for five LLMs. Chann (2023) ran 30 identical prompts and found GPT-4 produced 30 unique completions at temperature=0. The root cause is batch-size-dependent GPU kernel computation, not floating-point randomness -- meaning non-determinism scales with server load and is not controllable by callers. All three major providers explicitly disclaim determinism even at temperature=0. The Reproducibility Contract in Section 11.6 exists precisely because full output determinism cannot be assumed; statistical reproduction (output satisfying all quality gates and delivery contract, even if specific tokens differ) is the achievable standard.</w:t>
      </w:r>
    </w:p>
    <w:p>
      <w:pPr>
        <w:pBdr>
          <w:left w:val="single" w:color="2E75B6" w:sz="6" w:space="8"/>
        </w:pBdr>
        <w:spacing w:before="120" w:after="200"/>
        <w:ind w:left="720"/>
      </w:pPr>
      <w:r>
        <w:rPr>
          <w:rFonts w:ascii="Arial" w:cs="Arial" w:eastAsia="Arial" w:hAnsi="Arial"/>
          <w:i/>
          <w:iCs/>
          <w:color w:val="555555"/>
          <w:sz w:val="22"/>
          <w:szCs w:val="22"/>
        </w:rPr>
        <w:t xml:space="preserve">Research summary: the six evidence pillars above -- governance impact, ensemble theory with LLM error correlation, sequential gate necessity, structured prompt improvement, model behavioral drift, and output non-determinism -- collectively validate WP-002's twelve mechanisms as structurally necessary rather than aspirational. The 2025 DORA amplifier finding is the unifying insight: AI tools make existing processes stronger or weaker; governance is the differentiator.</w:t>
      </w:r>
    </w:p>
    <w:p>
      <w:pPr>
        <w:pStyle w:val="Heading1"/>
        <w:pageBreakBefore/>
        <w:spacing w:before="360" w:after="120" w:line="276" w:lineRule="auto"/>
      </w:pPr>
      <w:r>
        <w:rPr>
          <w:rFonts w:ascii="Arial" w:cs="Arial" w:eastAsia="Arial" w:hAnsi="Arial"/>
          <w:b/>
          <w:bCs/>
          <w:color w:val="1B2A4A"/>
          <w:sz w:val="36"/>
          <w:szCs w:val="36"/>
        </w:rPr>
        <w:t xml:space="preserve">3. The Enterprise Delivery Governance Framework</w:t>
      </w:r>
    </w:p>
    <w:p>
      <w:pPr>
        <w:spacing w:before="0" w:after="200" w:line="276" w:lineRule="auto"/>
      </w:pPr>
      <w:r>
        <w:rPr>
          <w:rFonts w:ascii="Arial" w:cs="Arial" w:eastAsia="Arial" w:hAnsi="Arial"/>
          <w:color w:val="2C2C2C"/>
          <w:sz w:val="22"/>
          <w:szCs w:val="22"/>
        </w:rPr>
        <w:t xml:space="preserve">The framework operates at six enforcement points. Each enforcement point has a mandatory protocol that halts execution when violated. Table 2 maps enforcement points to mechanisms and the failure modes each prevents.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Enforcement Point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Failure Mode Prevented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 Construction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Delivery Contract</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Missing constraints, ambiguous requirements, implicit assumptions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Output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Quality Gate Protocol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Incomplete implementation, missing error handling, untested claims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Information Integrity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Speculative implementation, interface mismatch, deployment incompatibility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Governance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Schema Extension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Lost context, missing dependencies, quality drift, untracked decisions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Selection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Intelligence Layer</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Suboptimal model choice, cost waste, capability mismatch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Multi-Model Consensus Protocol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Single-model blind spots, confident-but-wrong outputs, undetected architectural defects</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3.1 Enterprise Delivery Contract</w:t>
      </w:r>
    </w:p>
    <w:p>
      <w:pPr>
        <w:spacing w:before="0" w:after="200" w:line="276" w:lineRule="auto"/>
      </w:pPr>
      <w:r>
        <w:rPr>
          <w:rFonts w:ascii="Arial" w:cs="Arial" w:eastAsia="Arial" w:hAnsi="Arial"/>
          <w:color w:val="2C2C2C"/>
          <w:sz w:val="22"/>
          <w:szCs w:val="22"/>
        </w:rPr>
        <w:t xml:space="preserve">Every execution prompt must include an Enterprise Delivery Contract. It is structural, not optional. Its absence is a protocol violation that the executor must flag before proceeding. The contract transforms quality from an implicit expectation into an explicit, auditable requirement: the orchestrator cannot omit it because it is structural; the executor cannot ignore it because the handback must address each field with evidence.</w:t>
      </w:r>
    </w:p>
    <w:p>
      <w:pPr>
        <w:spacing w:before="0" w:after="200" w:line="276" w:lineRule="auto"/>
      </w:pPr>
      <w:r>
        <w:rPr>
          <w:rFonts w:ascii="Arial" w:cs="Arial" w:eastAsia="Arial" w:hAnsi="Arial"/>
          <w:color w:val="2C2C2C"/>
          <w:sz w:val="22"/>
          <w:szCs w:val="22"/>
        </w:rPr>
        <w:t xml:space="preserve">Table 3 defines all ten contract fields, their definitions, and their enforcement behavior.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Contract Field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Enforcement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Invariants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Constraints that must hold after execution as verifiable assertions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lists each in handback with HELD or VIOLATED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Operational Assumptions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Runtime environment facts: language, database, hosting, dependencies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must not contradict stated assumptions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Security Requirements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 authorization, validation referencing specific existing mechanisms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Missing auth or validation on any endpoint is automatic rejection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Mode Requirements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How code behaves when dependencies fail or invalid input arrives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unhandled failure path is automatic rejection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Observability Requirements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 is logged, where, in what format, referencing existing infrastructure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Significant operations without log entries are 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Performance Constraints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Latency bounds, query limits, pagination requirements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Unbounded queries or missing LIMIT clauses are rejected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Idempotency Requirements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Which operations must be re-runnable with deduplication mechanism specified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Non-idempotent operations where required are 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Migration and Rollback Plan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How to deploy and undo, deterministic, executable by operator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Steps requiring operator judgment are rejected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Verification Evidence Required</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Concrete test scenarios, expected outputs, comparison criteria</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Claims without matching evidence are 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 Failure Criteria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Explicit conditions causing handback rejection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Orchestrator must reject any handback triggering any criterion</w:t>
            </w:r>
          </w:p>
        </w:tc>
      </w:tr>
    </w:tbl>
    <w:p>
      <w:pPr>
        <w:spacing w:before="120" w:after="0"/>
      </w:pPr>
    </w:p>
    <w:p>
      <w:pPr>
        <w:pBdr>
          <w:left w:val="single" w:color="2E75B6" w:sz="6" w:space="8"/>
        </w:pBdr>
        <w:spacing w:before="120" w:after="200"/>
        <w:ind w:left="720"/>
      </w:pPr>
      <w:r>
        <w:rPr>
          <w:rFonts w:ascii="Arial" w:cs="Arial" w:eastAsia="Arial" w:hAnsi="Arial"/>
          <w:i/>
          <w:iCs/>
          <w:color w:val="555555"/>
          <w:sz w:val="22"/>
          <w:szCs w:val="22"/>
        </w:rPr>
        <w:t xml:space="preserve">The contract's enforcement mechanism is the handback review. The orchestrator must verify that each field has a compliance response with concrete evidence before accepting the deliverable. A contract field with a non-response or a claim-without-evidence response triggers rejection.</w:t>
      </w:r>
    </w:p>
    <w:p>
      <w:pPr>
        <w:pStyle w:val="Heading2"/>
        <w:spacing w:before="240" w:after="80" w:line="276" w:lineRule="auto"/>
      </w:pPr>
      <w:r>
        <w:rPr>
          <w:rFonts w:ascii="Arial" w:cs="Arial" w:eastAsia="Arial" w:hAnsi="Arial"/>
          <w:b/>
          <w:bCs/>
          <w:color w:val="2E75B6"/>
          <w:sz w:val="28"/>
          <w:szCs w:val="28"/>
        </w:rPr>
        <w:t xml:space="preserve">3.2 Quality Gate Protocol</w:t>
      </w:r>
    </w:p>
    <w:p>
      <w:pPr>
        <w:spacing w:before="0" w:after="200" w:line="276" w:lineRule="auto"/>
      </w:pPr>
      <w:r>
        <w:rPr>
          <w:rFonts w:ascii="Arial" w:cs="Arial" w:eastAsia="Arial" w:hAnsi="Arial"/>
          <w:color w:val="2C2C2C"/>
          <w:sz w:val="22"/>
          <w:szCs w:val="22"/>
        </w:rPr>
        <w:t xml:space="preserve">No task is complete until it passes four sequential gates. Failure at any gate halts evaluation of subsequent gates. The gates are ordered by detection cost: Build Gate failures are cheapest to fix (hours); Architecture Gate failures are most expensive (weeks). The research evidence for this ordering is direct: NASA's project portfolio data documents software defect correction cost factors of 1x at requirements, 5x at design, 10x at code, and 50.5x at test. Capers Jones found the only path to defect removal efficiency above 95% is synergistic combination of multiple complementary detection techniques -- each gate in this sequence adds a detection layer that testing alone cannot provide.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Failure Cost</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Common Failures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Build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 (hours)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Placeholders, speculative requires, incomplete implementations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Proof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Medium (hours to days)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Claims without evidence, missing test results, untested endpoints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 (days)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Missing error handling, silent failures, non-idempotent mutations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 (weeks)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Unnormalized scoring, coupled interfaces, rigid schema without extension path</w:t>
            </w:r>
          </w:p>
        </w:tc>
      </w:tr>
    </w:tbl>
    <w:p>
      <w:pPr>
        <w:spacing w:before="120" w:after="0"/>
      </w:pPr>
    </w:p>
    <w:p>
      <w:pPr>
        <w:spacing w:before="0" w:after="200" w:line="276" w:lineRule="auto"/>
      </w:pPr>
      <w:r>
        <w:rPr>
          <w:rFonts w:ascii="Arial" w:cs="Arial" w:eastAsia="Arial" w:hAnsi="Arial"/>
          <w:color w:val="2C2C2C"/>
          <w:sz w:val="22"/>
          <w:szCs w:val="22"/>
        </w:rPr>
        <w:t xml:space="preserve">3.2.1 Build Gate. Is the deliverable complete, coherent, and deployable without modification? Every file complete. Every function implemented. Every require path verified against actual production files. No placeholders, TODOs, or stubs unless the operator approves a temporary exception with: documented justification in task state, an immediate remediation task with must_complete_before_parent_close set to true, and an explicit deadline. The Build Gate is the prerequisite for all subsequent gates: a deliverable that cannot deploy cannot be proofed, operated, or architecturally evaluated.</w:t>
      </w:r>
    </w:p>
    <w:p>
      <w:pPr>
        <w:spacing w:before="0" w:after="200" w:line="276" w:lineRule="auto"/>
      </w:pPr>
      <w:r>
        <w:rPr>
          <w:rFonts w:ascii="Arial" w:cs="Arial" w:eastAsia="Arial" w:hAnsi="Arial"/>
          <w:color w:val="2C2C2C"/>
          <w:sz w:val="22"/>
          <w:szCs w:val="22"/>
        </w:rPr>
        <w:t xml:space="preserve">3.2.2 Proof Gate. Does concrete verification evidence exist for every claim in the handback? 'Should work' is not evidence. The handback must include concrete results for each verification criterion specified in the delivery contract, or a specific explanation of why verification could not be performed with an alternative verification path for the operator. The Proof Gate eliminates the epistemic gap between the executor's belief that something works and the orchestrator's verified knowledge that it works. This gate is directly motivated by the VERINA benchmark finding (2025) that even top-performing LLMs achieve only 61.4% correct code in verifiable generation tasks -- meaning without explicit verification requirements, approximately 38% of AI-generated code is incorrect.</w:t>
      </w:r>
    </w:p>
    <w:p>
      <w:pPr>
        <w:spacing w:before="0" w:after="200" w:line="276" w:lineRule="auto"/>
      </w:pPr>
      <w:r>
        <w:rPr>
          <w:rFonts w:ascii="Arial" w:cs="Arial" w:eastAsia="Arial" w:hAnsi="Arial"/>
          <w:color w:val="2C2C2C"/>
          <w:sz w:val="22"/>
          <w:szCs w:val="22"/>
        </w:rPr>
        <w:t xml:space="preserve">3.2.3 Operations Gate. Is the code operationally sound for production? This gate evaluates: error handling on every I/O operation, logging of significant actions with appropriate detail, idempotent behavior where required (with deduplication mechanism specified), graceful degradation when dependencies fail, transaction management for multi-step database operations, and resource bounds on all queries and external calls. An endpoint that works under normal conditions but silently fails under load, fails to log errors, or creates duplicate records on retry passes the Build Gate and fails the Operations Gate.</w:t>
      </w:r>
    </w:p>
    <w:p>
      <w:pPr>
        <w:spacing w:before="0" w:after="200" w:line="276" w:lineRule="auto"/>
      </w:pPr>
      <w:r>
        <w:rPr>
          <w:rFonts w:ascii="Arial" w:cs="Arial" w:eastAsia="Arial" w:hAnsi="Arial"/>
          <w:color w:val="2C2C2C"/>
          <w:sz w:val="22"/>
          <w:szCs w:val="22"/>
        </w:rPr>
        <w:t xml:space="preserve">3.2.4 Architecture Gate. Is the design extensible without forcing future rebuilds? This gate evaluates: schema accommodates known future requirements without migration, interfaces decouple unrelated concerns, scoring algorithms are dataset-independent, and data models do not embed scale assumptions that will not hold. The Architecture Gate is where technical debt becomes measurable: a design that will require a structural rewrite within two development phases fails this gate regardless of its current functional correctness. This gate operationalizes the Staff Engineer Review Rubric defined in Section 10.</w:t>
      </w:r>
    </w:p>
    <w:p>
      <w:pPr>
        <w:pStyle w:val="Heading2"/>
        <w:spacing w:before="240" w:after="80" w:line="276" w:lineRule="auto"/>
      </w:pPr>
      <w:r>
        <w:rPr>
          <w:rFonts w:ascii="Arial" w:cs="Arial" w:eastAsia="Arial" w:hAnsi="Arial"/>
          <w:b/>
          <w:bCs/>
          <w:color w:val="2E75B6"/>
          <w:sz w:val="28"/>
          <w:szCs w:val="28"/>
        </w:rPr>
        <w:t xml:space="preserve">3.3 Source Truth Guarantee</w:t>
      </w:r>
    </w:p>
    <w:p>
      <w:pPr>
        <w:spacing w:before="0" w:after="200" w:line="276" w:lineRule="auto"/>
      </w:pPr>
      <w:r>
        <w:rPr>
          <w:rFonts w:ascii="Arial" w:cs="Arial" w:eastAsia="Arial" w:hAnsi="Arial"/>
          <w:color w:val="2C2C2C"/>
          <w:sz w:val="22"/>
          <w:szCs w:val="22"/>
        </w:rPr>
        <w:t xml:space="preserve">The Source Truth Guarantee is the single highest-impact process control in this framework. It directly addresses the speculative implementation failure, the most expensive failure mode documented in the production case study (Section 7). The guarantee operates as six rules:</w:t>
      </w:r>
    </w:p>
    <w:p>
      <w:pPr>
        <w:pStyle w:val="ListParagraph"/>
        <w:numPr>
          <w:ilvl w:val="0"/>
          <w:numId w:val="2"/>
        </w:numPr>
        <w:spacing w:before="40" w:after="80"/>
      </w:pPr>
      <w:r>
        <w:rPr>
          <w:rFonts w:ascii="Arial" w:cs="Arial" w:eastAsia="Arial" w:hAnsi="Arial"/>
          <w:color w:val="2C2C2C"/>
          <w:sz w:val="22"/>
          <w:szCs w:val="22"/>
        </w:rPr>
        <w:t xml:space="preserve">Attachment Rule: if a task requires modifying an existing file, the orchestrator must attach the current production version to the execution prompt.</w:t>
      </w:r>
    </w:p>
    <w:p>
      <w:pPr>
        <w:pStyle w:val="ListParagraph"/>
        <w:numPr>
          <w:ilvl w:val="0"/>
          <w:numId w:val="2"/>
        </w:numPr>
        <w:spacing w:before="40" w:after="80"/>
      </w:pPr>
      <w:r>
        <w:rPr>
          <w:rFonts w:ascii="Arial" w:cs="Arial" w:eastAsia="Arial" w:hAnsi="Arial"/>
          <w:color w:val="2C2C2C"/>
          <w:sz w:val="22"/>
          <w:szCs w:val="22"/>
        </w:rPr>
        <w:t xml:space="preserve">Integration Rule: if a task requires integrating with existing code, the orchestrator must attach the relevant reference files.</w:t>
      </w:r>
    </w:p>
    <w:p>
      <w:pPr>
        <w:pStyle w:val="ListParagraph"/>
        <w:numPr>
          <w:ilvl w:val="0"/>
          <w:numId w:val="2"/>
        </w:numPr>
        <w:spacing w:before="40" w:after="80"/>
      </w:pPr>
      <w:r>
        <w:rPr>
          <w:rFonts w:ascii="Arial" w:cs="Arial" w:eastAsia="Arial" w:hAnsi="Arial"/>
          <w:color w:val="2C2C2C"/>
          <w:sz w:val="22"/>
          <w:szCs w:val="22"/>
        </w:rPr>
        <w:t xml:space="preserve">No Reconstruction Rule: the executor must not reconstruct file contents from memory, prior conversation history, or inference. These sources are unreliable by definition.</w:t>
      </w:r>
    </w:p>
    <w:p>
      <w:pPr>
        <w:pStyle w:val="ListParagraph"/>
        <w:numPr>
          <w:ilvl w:val="0"/>
          <w:numId w:val="2"/>
        </w:numPr>
        <w:spacing w:before="40" w:after="80"/>
      </w:pPr>
      <w:r>
        <w:rPr>
          <w:rFonts w:ascii="Arial" w:cs="Arial" w:eastAsia="Arial" w:hAnsi="Arial"/>
          <w:color w:val="2C2C2C"/>
          <w:sz w:val="22"/>
          <w:szCs w:val="22"/>
        </w:rPr>
        <w:t xml:space="preserve">No Curl Rule: the executor must not fetch from the live server as a substitute for attached source. Network access during execution introduces non-determinism.</w:t>
      </w:r>
    </w:p>
    <w:p>
      <w:pPr>
        <w:pStyle w:val="ListParagraph"/>
        <w:numPr>
          <w:ilvl w:val="0"/>
          <w:numId w:val="2"/>
        </w:numPr>
        <w:spacing w:before="40" w:after="80"/>
      </w:pPr>
      <w:r>
        <w:rPr>
          <w:rFonts w:ascii="Arial" w:cs="Arial" w:eastAsia="Arial" w:hAnsi="Arial"/>
          <w:color w:val="2C2C2C"/>
          <w:sz w:val="22"/>
          <w:szCs w:val="22"/>
        </w:rPr>
        <w:t xml:space="preserve">Stop-Work Rule: if required files are missing, the executor must halt and explicitly request them. This is a hard stop, not a suggestion.</w:t>
      </w:r>
    </w:p>
    <w:p>
      <w:pPr>
        <w:pStyle w:val="ListParagraph"/>
        <w:numPr>
          <w:ilvl w:val="0"/>
          <w:numId w:val="2"/>
        </w:numPr>
        <w:spacing w:before="40" w:after="80"/>
      </w:pPr>
      <w:r>
        <w:rPr>
          <w:rFonts w:ascii="Arial" w:cs="Arial" w:eastAsia="Arial" w:hAnsi="Arial"/>
          <w:color w:val="2C2C2C"/>
          <w:sz w:val="22"/>
          <w:szCs w:val="22"/>
        </w:rPr>
        <w:t xml:space="preserve">P0 Resolution Rule: the orchestrator must treat a missing-file halt as a P0 blocker to be resolved immediately before any other work proceeds.</w:t>
      </w:r>
    </w:p>
    <w:p>
      <w:pPr>
        <w:pBdr>
          <w:left w:val="single" w:color="2E75B6" w:sz="6" w:space="8"/>
        </w:pBdr>
        <w:spacing w:before="120" w:after="200"/>
        <w:ind w:left="720"/>
      </w:pPr>
      <w:r>
        <w:rPr>
          <w:rFonts w:ascii="Arial" w:cs="Arial" w:eastAsia="Arial" w:hAnsi="Arial"/>
          <w:i/>
          <w:iCs/>
          <w:color w:val="555555"/>
          <w:sz w:val="22"/>
          <w:szCs w:val="22"/>
        </w:rPr>
        <w:t xml:space="preserve">Economic justification: delaying one delivery cycle to acquire source files costs 1x. Speculative implementation followed by correction costs approximately 4x. This ratio is derived from observed production data and is consistent with Boehm and Basili (IEEE Computer 2001) and Menzies et al. (Empirical Software Engineering 2017). It provides the quantitative basis for treating the stop-work condition as non-negotiable.</w:t>
      </w:r>
    </w:p>
    <w:p>
      <w:pPr>
        <w:pStyle w:val="Heading2"/>
        <w:spacing w:before="240" w:after="80" w:line="276" w:lineRule="auto"/>
      </w:pPr>
      <w:r>
        <w:rPr>
          <w:rFonts w:ascii="Arial" w:cs="Arial" w:eastAsia="Arial" w:hAnsi="Arial"/>
          <w:b/>
          <w:bCs/>
          <w:color w:val="2E75B6"/>
          <w:sz w:val="28"/>
          <w:szCs w:val="28"/>
        </w:rPr>
        <w:t xml:space="preserve">3.4 Task Governance Schema</w:t>
      </w:r>
    </w:p>
    <w:p>
      <w:pPr>
        <w:spacing w:before="0" w:after="200" w:line="276" w:lineRule="auto"/>
      </w:pPr>
      <w:r>
        <w:rPr>
          <w:rFonts w:ascii="Arial" w:cs="Arial" w:eastAsia="Arial" w:hAnsi="Arial"/>
          <w:color w:val="2C2C2C"/>
          <w:sz w:val="22"/>
          <w:szCs w:val="22"/>
        </w:rPr>
        <w:t xml:space="preserve">Every task must carry extended metadata capturing quality requirements, model assignments, dependencies, and closure conditions. The schema extends the base task structure with two groups of fields: task classification fields and quality governance fields.</w:t>
      </w:r>
    </w:p>
    <w:p>
      <w:pPr>
        <w:spacing w:before="0" w:after="200" w:line="276" w:lineRule="auto"/>
      </w:pPr>
      <w:r>
        <w:rPr>
          <w:rFonts w:ascii="Arial" w:cs="Arial" w:eastAsia="Arial" w:hAnsi="Arial"/>
          <w:color w:val="2C2C2C"/>
          <w:sz w:val="22"/>
          <w:szCs w:val="22"/>
        </w:rPr>
        <w:t xml:space="preserve">Table 5 defines the task classification fields, which establish the task's role in the dependency hierarchy and provenance record.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200"/>
        <w:gridCol w:w="29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task_class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core, child, blocker, cleanup, offshoot, research, architecture, governance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Processing priority and closure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parent_task_id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string or null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Reference to parent task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Hierarchical decomposition tracking</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origin_session_id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string or null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Discovery session identifier</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 trail for provenance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discovery_reason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 text: why task was created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Prevents orphaned tasks without documented rationale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must_complete_before_parent_close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true or false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Prevents premature parent closure when children are pending</w:t>
            </w:r>
          </w:p>
        </w:tc>
      </w:tr>
    </w:tbl>
    <w:p>
      <w:pPr>
        <w:spacing w:before="120" w:after="0"/>
      </w:pPr>
    </w:p>
    <w:p>
      <w:pPr>
        <w:spacing w:before="0" w:after="200" w:line="276" w:lineRule="auto"/>
      </w:pPr>
      <w:r>
        <w:rPr>
          <w:rFonts w:ascii="Arial" w:cs="Arial" w:eastAsia="Arial" w:hAnsi="Arial"/>
          <w:color w:val="2C2C2C"/>
          <w:sz w:val="22"/>
          <w:szCs w:val="22"/>
        </w:rPr>
        <w:t xml:space="preserve">Table 6 defines the quality governance fields, which determine the execution standard, model assignments, and closure requirements.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400"/>
        <w:gridCol w:w="3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enterprise_criticality</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 medium, high, platform-critical</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Determines review depth and gate strictness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quality_tier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prototype, production, enterprise, regulated-enterprise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Quality standard required for the deliverable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primary_model_recommendation</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identifier</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Recommended execution model for this task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auditor_model_recommendation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identifier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Recommended independent review model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consensus_required</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true or false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Whether multi-model consensus is mandatory before proceeding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acceptance_evidence_required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Proof description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 must be demonstrated before closure is permitted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rollback_required</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true or false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Whether a rollback mechanism must be defined and tested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observability_required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true or false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Whether logging and monitoring must be implemented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security_review_required</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true or false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Whether a security analysis must be included in the handback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future_rebuild_risk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 low, medium, 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Estimated likelihood this design will require a future rebuild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technical_debt_if_deferred</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Debt description</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Makes deferral cost explicit and auditable in the task record</w:t>
            </w:r>
          </w:p>
        </w:tc>
      </w:tr>
    </w:tbl>
    <w:p>
      <w:pPr>
        <w:spacing w:before="120" w:after="0"/>
      </w:pPr>
    </w:p>
    <w:p>
      <w:pPr>
        <w:spacing w:before="0" w:after="200" w:line="276" w:lineRule="auto"/>
      </w:pPr>
      <w:r>
        <w:rPr>
          <w:rFonts w:ascii="Arial" w:cs="Arial" w:eastAsia="Arial" w:hAnsi="Arial"/>
          <w:color w:val="2C2C2C"/>
          <w:sz w:val="22"/>
          <w:szCs w:val="22"/>
        </w:rPr>
        <w:t xml:space="preserve">Task spawn logic determines how new tasks are classified when discovered during execution. A discovered issue that blocks correctness, safety, or enterprise architecture is created as a blocker and promoted immediately. An issue that prevents the parent task from reaching final grade is created as a child with must_complete_before_parent_close set to true. A valuable improvement that is not required for closure is created as an offshoot with full metadata. Any governance, observability, or scale-readiness concern is tagged enterprise_criticality &gt;= high: enterprise quality is never polish.</w:t>
      </w:r>
    </w:p>
    <w:p>
      <w:pPr>
        <w:pStyle w:val="Heading1"/>
        <w:pageBreakBefore/>
        <w:spacing w:before="360" w:after="120" w:line="276" w:lineRule="auto"/>
      </w:pPr>
      <w:r>
        <w:rPr>
          <w:rFonts w:ascii="Arial" w:cs="Arial" w:eastAsia="Arial" w:hAnsi="Arial"/>
          <w:b/>
          <w:bCs/>
          <w:color w:val="1B2A4A"/>
          <w:sz w:val="36"/>
          <w:szCs w:val="36"/>
        </w:rPr>
        <w:t xml:space="preserve">4. Prohibited Practices</w:t>
      </w:r>
    </w:p>
    <w:p>
      <w:pPr>
        <w:spacing w:before="0" w:after="200" w:line="276" w:lineRule="auto"/>
      </w:pPr>
      <w:r>
        <w:rPr>
          <w:rFonts w:ascii="Arial" w:cs="Arial" w:eastAsia="Arial" w:hAnsi="Arial"/>
          <w:color w:val="2C2C2C"/>
          <w:sz w:val="22"/>
          <w:szCs w:val="22"/>
        </w:rPr>
        <w:t xml:space="preserve">Each prohibition listed in this section exists because the practice was observed to cause production failures during enterprise-scale AI-orchestrated development. The prohibitions are not stylistic preferences; they are failure-mode prevention rules.</w:t>
      </w:r>
    </w:p>
    <w:p>
      <w:pPr>
        <w:pStyle w:val="Heading2"/>
        <w:spacing w:before="240" w:after="80" w:line="276" w:lineRule="auto"/>
      </w:pPr>
      <w:r>
        <w:rPr>
          <w:rFonts w:ascii="Arial" w:cs="Arial" w:eastAsia="Arial" w:hAnsi="Arial"/>
          <w:b/>
          <w:bCs/>
          <w:color w:val="2E75B6"/>
          <w:sz w:val="28"/>
          <w:szCs w:val="28"/>
        </w:rPr>
        <w:t xml:space="preserve">4.1 The Placeholder Pattern</w:t>
      </w:r>
    </w:p>
    <w:p>
      <w:pPr>
        <w:spacing w:before="0" w:after="200" w:line="276" w:lineRule="auto"/>
      </w:pPr>
      <w:r>
        <w:rPr>
          <w:rFonts w:ascii="Arial" w:cs="Arial" w:eastAsia="Arial" w:hAnsi="Arial"/>
          <w:color w:val="2C2C2C"/>
          <w:sz w:val="22"/>
          <w:szCs w:val="22"/>
        </w:rPr>
        <w:t xml:space="preserve">No placeholders, stubs, TODOs, or 'future implementation' comments in delivered code. A placeholder is a deferred decision that becomes permanent when the session context rotates. The only exception: the operator (not the orchestrator, not the executor) may approve a temporary exception requiring documentation in task state, an immediate remediation task with must_complete_before_parent_close set to true, and a defined deadline. Orchestrator or executor approvals are not accepted.</w:t>
      </w:r>
    </w:p>
    <w:p>
      <w:pPr>
        <w:pStyle w:val="Heading2"/>
        <w:spacing w:before="240" w:after="80" w:line="276" w:lineRule="auto"/>
      </w:pPr>
      <w:r>
        <w:rPr>
          <w:rFonts w:ascii="Arial" w:cs="Arial" w:eastAsia="Arial" w:hAnsi="Arial"/>
          <w:b/>
          <w:bCs/>
          <w:color w:val="2E75B6"/>
          <w:sz w:val="28"/>
          <w:szCs w:val="28"/>
        </w:rPr>
        <w:t xml:space="preserve">4.2 The Speculative Require</w:t>
      </w:r>
    </w:p>
    <w:p>
      <w:pPr>
        <w:spacing w:before="0" w:after="200" w:line="276" w:lineRule="auto"/>
      </w:pPr>
      <w:r>
        <w:rPr>
          <w:rFonts w:ascii="Arial" w:cs="Arial" w:eastAsia="Arial" w:hAnsi="Arial"/>
          <w:color w:val="2C2C2C"/>
          <w:sz w:val="22"/>
          <w:szCs w:val="22"/>
        </w:rPr>
        <w:t xml:space="preserve">No require, include, or import statement may reference a file or interface the executor has not verified exists with the expected signature. If the executor does not have the source file attached to the execution prompt, the Source Truth Guarantee (Section 3.3) applies: invoke the stop-work condition and request the file.</w:t>
      </w:r>
    </w:p>
    <w:p>
      <w:pPr>
        <w:pStyle w:val="Heading2"/>
        <w:spacing w:before="240" w:after="80" w:line="276" w:lineRule="auto"/>
      </w:pPr>
      <w:r>
        <w:rPr>
          <w:rFonts w:ascii="Arial" w:cs="Arial" w:eastAsia="Arial" w:hAnsi="Arial"/>
          <w:b/>
          <w:bCs/>
          <w:color w:val="2E75B6"/>
          <w:sz w:val="28"/>
          <w:szCs w:val="28"/>
        </w:rPr>
        <w:t xml:space="preserve">4.3 The Silent Overwrite</w:t>
      </w:r>
    </w:p>
    <w:p>
      <w:pPr>
        <w:spacing w:before="0" w:after="200" w:line="276" w:lineRule="auto"/>
      </w:pPr>
      <w:r>
        <w:rPr>
          <w:rFonts w:ascii="Arial" w:cs="Arial" w:eastAsia="Arial" w:hAnsi="Arial"/>
          <w:color w:val="2C2C2C"/>
          <w:sz w:val="22"/>
          <w:szCs w:val="22"/>
        </w:rPr>
        <w:t xml:space="preserve">No existing production file may be overwritten without the executor having read the current version in the execution prompt. The executor must patch, not replace. A full rewrite is permitted only when the orchestrator explicitly authorizes it and attaches current source. Unauthorized overwrites destroy context that is not recoverable from conversation history.</w:t>
      </w:r>
    </w:p>
    <w:p>
      <w:pPr>
        <w:pStyle w:val="Heading2"/>
        <w:spacing w:before="240" w:after="80" w:line="276" w:lineRule="auto"/>
      </w:pPr>
      <w:r>
        <w:rPr>
          <w:rFonts w:ascii="Arial" w:cs="Arial" w:eastAsia="Arial" w:hAnsi="Arial"/>
          <w:b/>
          <w:bCs/>
          <w:color w:val="2E75B6"/>
          <w:sz w:val="28"/>
          <w:szCs w:val="28"/>
        </w:rPr>
        <w:t xml:space="preserve">4.4 The Nested Deployment</w:t>
      </w:r>
    </w:p>
    <w:p>
      <w:pPr>
        <w:spacing w:before="0" w:after="200" w:line="276" w:lineRule="auto"/>
      </w:pPr>
      <w:r>
        <w:rPr>
          <w:rFonts w:ascii="Arial" w:cs="Arial" w:eastAsia="Arial" w:hAnsi="Arial"/>
          <w:color w:val="2C2C2C"/>
          <w:sz w:val="22"/>
          <w:szCs w:val="22"/>
        </w:rPr>
        <w:t xml:space="preserve">Deployment artifacts must extract directly into the target directory with no intermediate folders. Nested deployment directories require manual operator intervention to resolve, add non-determinism to the deployment process, and have been documented as a cause of production deployment failures.</w:t>
      </w:r>
    </w:p>
    <w:p>
      <w:pPr>
        <w:pStyle w:val="Heading2"/>
        <w:spacing w:before="240" w:after="80" w:line="276" w:lineRule="auto"/>
      </w:pPr>
      <w:r>
        <w:rPr>
          <w:rFonts w:ascii="Arial" w:cs="Arial" w:eastAsia="Arial" w:hAnsi="Arial"/>
          <w:b/>
          <w:bCs/>
          <w:color w:val="2E75B6"/>
          <w:sz w:val="28"/>
          <w:szCs w:val="28"/>
        </w:rPr>
        <w:t xml:space="preserve">4.5 The Implicit Interface</w:t>
      </w:r>
    </w:p>
    <w:p>
      <w:pPr>
        <w:spacing w:before="0" w:after="200" w:line="276" w:lineRule="auto"/>
      </w:pPr>
      <w:r>
        <w:rPr>
          <w:rFonts w:ascii="Arial" w:cs="Arial" w:eastAsia="Arial" w:hAnsi="Arial"/>
          <w:color w:val="2C2C2C"/>
          <w:sz w:val="22"/>
          <w:szCs w:val="22"/>
        </w:rPr>
        <w:t xml:space="preserve">No new method may be added to an interface unless all implementations are updated in the same delivery, or the method is made optional via method_exists() or a trait pattern with a default implementation. Implicit interface additions break all existing implementations silently: the code deploys, the call path works in the happy path, and the failure appears only when the new method is invoked on an unconverted implementation.</w:t>
      </w:r>
    </w:p>
    <w:p>
      <w:pPr>
        <w:pStyle w:val="Heading2"/>
        <w:spacing w:before="240" w:after="80" w:line="276" w:lineRule="auto"/>
      </w:pPr>
      <w:r>
        <w:rPr>
          <w:rFonts w:ascii="Arial" w:cs="Arial" w:eastAsia="Arial" w:hAnsi="Arial"/>
          <w:b/>
          <w:bCs/>
          <w:color w:val="2E75B6"/>
          <w:sz w:val="28"/>
          <w:szCs w:val="28"/>
        </w:rPr>
        <w:t xml:space="preserve">4.6 The Unbounded Query</w:t>
      </w:r>
    </w:p>
    <w:p>
      <w:pPr>
        <w:spacing w:before="0" w:after="200" w:line="276" w:lineRule="auto"/>
      </w:pPr>
      <w:r>
        <w:rPr>
          <w:rFonts w:ascii="Arial" w:cs="Arial" w:eastAsia="Arial" w:hAnsi="Arial"/>
          <w:color w:val="2C2C2C"/>
          <w:sz w:val="22"/>
          <w:szCs w:val="22"/>
        </w:rPr>
        <w:t xml:space="preserve">No database query in user-facing code may lack a LIMIT clause or an equivalent bound. Unbounded queries against growing production tables degrade response times non-linearly, can exhaust database connection pools, and constitute a denial-of-service vector. This prohibition applies regardless of current table size: the bound must be present from initial deployment.</w:t>
      </w:r>
    </w:p>
    <w:p>
      <w:pPr>
        <w:pStyle w:val="Heading1"/>
        <w:pageBreakBefore/>
        <w:spacing w:before="360" w:after="120" w:line="276" w:lineRule="auto"/>
      </w:pPr>
      <w:r>
        <w:rPr>
          <w:rFonts w:ascii="Arial" w:cs="Arial" w:eastAsia="Arial" w:hAnsi="Arial"/>
          <w:b/>
          <w:bCs/>
          <w:color w:val="1B2A4A"/>
          <w:sz w:val="36"/>
          <w:szCs w:val="36"/>
        </w:rPr>
        <w:t xml:space="preserve">5. Model-Aware Execution Architecture</w:t>
      </w:r>
    </w:p>
    <w:p>
      <w:pPr>
        <w:spacing w:before="0" w:after="200" w:line="276" w:lineRule="auto"/>
      </w:pPr>
      <w:r>
        <w:rPr>
          <w:rFonts w:ascii="Arial" w:cs="Arial" w:eastAsia="Arial" w:hAnsi="Arial"/>
          <w:color w:val="2C2C2C"/>
          <w:sz w:val="22"/>
          <w:szCs w:val="22"/>
        </w:rPr>
        <w:t xml:space="preserve">Enterprise-grade orchestration must treat model selection as an engineering decision with measurable cost and quality implications, not as a default configuration. This section specifies the Model Intelligence Layer: the model capability registry, the project complexity estimator, and the cross-model audit pattern.</w:t>
      </w:r>
    </w:p>
    <w:p>
      <w:pPr>
        <w:pStyle w:val="Heading2"/>
        <w:spacing w:before="240" w:after="80" w:line="276" w:lineRule="auto"/>
      </w:pPr>
      <w:r>
        <w:rPr>
          <w:rFonts w:ascii="Arial" w:cs="Arial" w:eastAsia="Arial" w:hAnsi="Arial"/>
          <w:b/>
          <w:bCs/>
          <w:color w:val="2E75B6"/>
          <w:sz w:val="28"/>
          <w:szCs w:val="28"/>
        </w:rPr>
        <w:t xml:space="preserve">5.1 Model Capability Registry</w:t>
      </w:r>
    </w:p>
    <w:p>
      <w:pPr>
        <w:spacing w:before="0" w:after="200" w:line="276" w:lineRule="auto"/>
      </w:pPr>
      <w:r>
        <w:rPr>
          <w:rFonts w:ascii="Arial" w:cs="Arial" w:eastAsia="Arial" w:hAnsi="Arial"/>
          <w:color w:val="2C2C2C"/>
          <w:sz w:val="22"/>
          <w:szCs w:val="22"/>
        </w:rPr>
        <w:t xml:space="preserve">Each model used in the orchestration system must be characterized in a normalized, queryable registry. The registry enables automated model recommendation, cost estimation, and capability matching. Table 7 defines the required dimensions. Cross-benchmark analysis confirms substantial model specialization: Claude Opus 4.6 achieves 80.8% on SWE-Bench Verified but 76% on LiveCodeBench; OpenAI o3-mini scores 74.1% on LiveCodeBench but 61% on SWE-Bench Verified. Price differentials span approximately 100x between frontier and budget tiers. This makes per-task routing a first-class engineering decision rather than a default configuration choice.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Dimension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provider</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string</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provider (Anthropic, OpenAI, Google, Meta, Mistral,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 API model identifier as used in production requests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context_window_tokens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integer</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input token capacity for this model 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max_output_tokens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Maximum output token capacity per inference call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input_price_per_mtok</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float</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 per one million input tokens in USD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output_price_per_mtok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float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 per one million output tokens in USD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tool_use_support</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boolean</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Whether the model supports function calling and tool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reasoning_depth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Qualitative rating: low, medium, high, or elite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code_generation_quality</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Qualitative rating: low, medium, high, or elite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instruction_following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Qualitative rating: low, medium, high, or elite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latency_class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Operational performance class: fast, standard, or slow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recommended_task_types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array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classes this model demonstrably excels at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known_weaknesses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array</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types where this model systematically underperforms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deprecation_status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Current availability status: active, deprecated, or sunset</w:t>
            </w:r>
          </w:p>
        </w:tc>
      </w:tr>
    </w:tbl>
    <w:p>
      <w:pPr>
        <w:spacing w:before="120" w:after="0"/>
      </w:pPr>
    </w:p>
    <w:p>
      <w:pPr>
        <w:spacing w:before="0" w:after="200" w:line="276" w:lineRule="auto"/>
      </w:pPr>
      <w:r>
        <w:rPr>
          <w:rFonts w:ascii="Arial" w:cs="Arial" w:eastAsia="Arial" w:hAnsi="Arial"/>
          <w:color w:val="2C2C2C"/>
          <w:sz w:val="22"/>
          <w:szCs w:val="22"/>
        </w:rPr>
        <w:t xml:space="preserve">The registry is not static. Model providers update model versions, change pricing, and deprecate endpoints. Chen, Zaharia and Zou (Harvard Data Science Review, 2023) documented GPT-4's directly executable code generation dropping from 52.0% to 10.0% in three months -- illustrating why the deprecation_status field and last_updated timestamp are operationally critical. The known_weaknesses field, populated from empirical outcome data, enables the Outcome-Based Reinforcement Layer (Section 11.3) to feed production observations back into routing decisions. FrugalGPT (Chen et al., arXiv:2305.05176, 2023) demonstrated up to 98% cost reduction while matching GPT-4 performance through intelligent routing -- providing the theoretical ceiling for what the Model Intelligence Layer can achieve.</w:t>
      </w:r>
    </w:p>
    <w:p>
      <w:pPr>
        <w:pStyle w:val="Heading2"/>
        <w:spacing w:before="240" w:after="80" w:line="276" w:lineRule="auto"/>
      </w:pPr>
      <w:r>
        <w:rPr>
          <w:rFonts w:ascii="Arial" w:cs="Arial" w:eastAsia="Arial" w:hAnsi="Arial"/>
          <w:b/>
          <w:bCs/>
          <w:color w:val="2E75B6"/>
          <w:sz w:val="28"/>
          <w:szCs w:val="28"/>
        </w:rPr>
        <w:t xml:space="preserve">5.2 Project Complexity Estimator</w:t>
      </w:r>
    </w:p>
    <w:p>
      <w:pPr>
        <w:spacing w:before="0" w:after="200" w:line="276" w:lineRule="auto"/>
      </w:pPr>
      <w:r>
        <w:rPr>
          <w:rFonts w:ascii="Arial" w:cs="Arial" w:eastAsia="Arial" w:hAnsi="Arial"/>
          <w:color w:val="2C2C2C"/>
          <w:sz w:val="22"/>
          <w:szCs w:val="22"/>
        </w:rPr>
        <w:t xml:space="preserve">The complexity estimator analyzes repository structure and task characteristics to produce a complexity profile that maps to model requirements. Table 8 defines the input signals, their measurements, and their impact on model selection.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Input Signal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Measurement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Impact on Model Selection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Repository file count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files in scope</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Higher count requires a larger context window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Language distribution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Percentage per programming language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Some models perform better on specific languages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Dependency complexity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Dependency tree depth</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Complex dependency trees require stronger reasoning capacity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new, modify, debug, document, or architect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Different types have distinct model fitness profiles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depth required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single-file to cross-repository</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Directly maps to minimum context window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Security sensitivity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Handles auth, PII, or financial data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Requires stronger instruction-following and conservative output</w:t>
            </w:r>
          </w:p>
        </w:tc>
      </w:tr>
    </w:tbl>
    <w:p>
      <w:pPr>
        <w:spacing w:before="120" w:after="0"/>
      </w:pPr>
    </w:p>
    <w:p>
      <w:pPr>
        <w:spacing w:before="0" w:after="200" w:line="276" w:lineRule="auto"/>
      </w:pPr>
      <w:r>
        <w:rPr>
          <w:rFonts w:ascii="Arial" w:cs="Arial" w:eastAsia="Arial" w:hAnsi="Arial"/>
          <w:color w:val="2C2C2C"/>
          <w:sz w:val="22"/>
          <w:szCs w:val="22"/>
        </w:rPr>
        <w:t xml:space="preserve">The estimator produces five outputs per task: Best Model (highest quality regardless of cost), Best Value Model (acceptable quality at lowest cost), Fastest Model (lowest latency for time-sensitive tasks), Recommended Auditor (a different model for independent review), and a Confidence Score indicating how well the available registry data matches the task profile. When the confidence score is below a configured threshold, the system flags the recommendation for operator review.</w:t>
      </w:r>
    </w:p>
    <w:p>
      <w:pPr>
        <w:pStyle w:val="Heading2"/>
        <w:spacing w:before="240" w:after="80" w:line="276" w:lineRule="auto"/>
      </w:pPr>
      <w:r>
        <w:rPr>
          <w:rFonts w:ascii="Arial" w:cs="Arial" w:eastAsia="Arial" w:hAnsi="Arial"/>
          <w:b/>
          <w:bCs/>
          <w:color w:val="2E75B6"/>
          <w:sz w:val="28"/>
          <w:szCs w:val="28"/>
        </w:rPr>
        <w:t xml:space="preserve">5.3 Cross-Model Audit Pattern</w:t>
      </w:r>
    </w:p>
    <w:p>
      <w:pPr>
        <w:spacing w:before="0" w:after="200" w:line="276" w:lineRule="auto"/>
      </w:pPr>
      <w:r>
        <w:rPr>
          <w:rFonts w:ascii="Arial" w:cs="Arial" w:eastAsia="Arial" w:hAnsi="Arial"/>
          <w:color w:val="2C2C2C"/>
          <w:sz w:val="22"/>
          <w:szCs w:val="22"/>
        </w:rPr>
        <w:t xml:space="preserve">For tasks with enterprise_criticality &gt;= high, one model executes and a different model reviews. The auditor receives the task specification, delivery contract, and complete handback output, then verifies compliance against all four quality gates independently. This introduces model diversity as a quality control mechanism analogous to code review by a different engineer: the auditor's different training biases and architectural preferences surface issues that the executor's own evaluation would systematically miss.</w:t>
      </w:r>
    </w:p>
    <w:p>
      <w:pPr>
        <w:spacing w:before="0" w:after="200" w:line="276" w:lineRule="auto"/>
      </w:pPr>
      <w:r>
        <w:rPr>
          <w:rFonts w:ascii="Arial" w:cs="Arial" w:eastAsia="Arial" w:hAnsi="Arial"/>
          <w:color w:val="2C2C2C"/>
          <w:sz w:val="22"/>
          <w:szCs w:val="22"/>
        </w:rPr>
        <w:t xml:space="preserve">The cross-model audit pattern is the one-directional precursor to the Multi-Model Consensus Protocol (Section 6). In the audit pattern, the direction of review is fixed: executor produces, auditor reviews. The consensus protocol extends this into bidirectional deliberation before execution begins.</w:t>
      </w:r>
    </w:p>
    <w:p>
      <w:pPr>
        <w:pStyle w:val="Heading1"/>
        <w:pageBreakBefore/>
        <w:spacing w:before="360" w:after="120" w:line="276" w:lineRule="auto"/>
      </w:pPr>
      <w:r>
        <w:rPr>
          <w:rFonts w:ascii="Arial" w:cs="Arial" w:eastAsia="Arial" w:hAnsi="Arial"/>
          <w:b/>
          <w:bCs/>
          <w:color w:val="1B2A4A"/>
          <w:sz w:val="36"/>
          <w:szCs w:val="36"/>
        </w:rPr>
        <w:t xml:space="preserve">6. Multi-Model Consensus Protocol</w:t>
      </w:r>
    </w:p>
    <w:p>
      <w:pPr>
        <w:spacing w:before="0" w:after="200" w:line="276" w:lineRule="auto"/>
      </w:pPr>
      <w:r>
        <w:rPr>
          <w:rFonts w:ascii="Arial" w:cs="Arial" w:eastAsia="Arial" w:hAnsi="Arial"/>
          <w:color w:val="2C2C2C"/>
          <w:sz w:val="22"/>
          <w:szCs w:val="22"/>
        </w:rPr>
        <w:t xml:space="preserve">The Multi-Model Consensus Protocol extends the cross-model audit pattern into bidirectional deliberation: multiple models independently analyze the same problem, produce structured positions, and iterate toward convergence. This is the engineering analogue of ensemble methods in statistical learning (Breiman, 2001; Dietterich, 2000), where independent estimators with different biases produce more reliable aggregate predictions than any single estimator. Dietterich identified three conditions for ensemble superiority: individual accuracy above chance, diversity of errors, and independence of estimators. The protocol's independence requirement in Section 6.2 directly implements Dietterich's third condition. Breiman's Random Forests proved the error rate bound PE* &lt;= rho-bar(1 - s^2)/s^2, where lower inter-estimator correlation yields lower ensemble error -- motivating the model selection guidance in Section 6.8.</w:t>
      </w:r>
    </w:p>
    <w:p>
      <w:pPr>
        <w:spacing w:before="0" w:after="200" w:line="276" w:lineRule="auto"/>
      </w:pPr>
      <w:r>
        <w:rPr>
          <w:rFonts w:ascii="Arial" w:cs="Arial" w:eastAsia="Arial" w:hAnsi="Arial"/>
          <w:color w:val="2C2C2C"/>
          <w:sz w:val="22"/>
          <w:szCs w:val="22"/>
        </w:rPr>
        <w:t xml:space="preserve">The formal analogy carries a quantitative caveat established by Kim, Garg, Peng and Garg (ICML 2025): evaluating 350+ LLMs, they found models agree 60% of the time when both err, with larger and more accurate models having highly correlated errors even with distinct architectures and providers. Lakshminarayanan, Pritzel and Blundell (NeurIPS 2017) established that deep ensemble agreement can reflect shared inductive biases rather than genuine confidence. These findings directly motivate Design Principle 2 below: agreement is evidence, not proof.</w:t>
      </w:r>
    </w:p>
    <w:p>
      <w:pPr>
        <w:pStyle w:val="Heading2"/>
        <w:spacing w:before="240" w:after="80" w:line="276" w:lineRule="auto"/>
      </w:pPr>
      <w:r>
        <w:rPr>
          <w:rFonts w:ascii="Arial" w:cs="Arial" w:eastAsia="Arial" w:hAnsi="Arial"/>
          <w:b/>
          <w:bCs/>
          <w:color w:val="2E75B6"/>
          <w:sz w:val="28"/>
          <w:szCs w:val="28"/>
        </w:rPr>
        <w:t xml:space="preserve">6.1 Design Principles</w:t>
      </w:r>
    </w:p>
    <w:p>
      <w:pPr>
        <w:pStyle w:val="ListParagraph"/>
        <w:numPr>
          <w:ilvl w:val="0"/>
          <w:numId w:val="2"/>
        </w:numPr>
        <w:spacing w:before="40" w:after="80"/>
      </w:pPr>
      <w:r>
        <w:rPr>
          <w:rFonts w:ascii="Arial" w:cs="Arial" w:eastAsia="Arial" w:hAnsi="Arial"/>
          <w:color w:val="2C2C2C"/>
          <w:sz w:val="22"/>
          <w:szCs w:val="22"/>
        </w:rPr>
        <w:t xml:space="preserve">Each model is a bounded estimator with strengths and biases. No single model's output should be trusted without independent verification on critical decisions.</w:t>
      </w:r>
    </w:p>
    <w:p>
      <w:pPr>
        <w:pStyle w:val="ListParagraph"/>
        <w:numPr>
          <w:ilvl w:val="0"/>
          <w:numId w:val="2"/>
        </w:numPr>
        <w:spacing w:before="40" w:after="80"/>
      </w:pPr>
      <w:r>
        <w:rPr>
          <w:rFonts w:ascii="Arial" w:cs="Arial" w:eastAsia="Arial" w:hAnsi="Arial"/>
          <w:color w:val="2C2C2C"/>
          <w:sz w:val="22"/>
          <w:szCs w:val="22"/>
        </w:rPr>
        <w:t xml:space="preserve">Agreement is evidence, not proof. Two models agreeing may share the same training bias, producing correlated errors that consensus cannot detect. Kim et al. (ICML 2025) quantified this: 60% agreement rate on errors across frontier models. The protocol treats agreement as a necessary but not sufficient condition for confidence.</w:t>
      </w:r>
    </w:p>
    <w:p>
      <w:pPr>
        <w:pStyle w:val="ListParagraph"/>
        <w:numPr>
          <w:ilvl w:val="0"/>
          <w:numId w:val="2"/>
        </w:numPr>
        <w:spacing w:before="40" w:after="80"/>
      </w:pPr>
      <w:r>
        <w:rPr>
          <w:rFonts w:ascii="Arial" w:cs="Arial" w:eastAsia="Arial" w:hAnsi="Arial"/>
          <w:color w:val="2C2C2C"/>
          <w:sz w:val="22"/>
          <w:szCs w:val="22"/>
        </w:rPr>
        <w:t xml:space="preserve">Disagreement is signal, not noise. Divergent positions indicate ambiguity, risk, or implicit assumptions that require explicit resolution. This aligns with Lakshminarayanan et al.'s (NeurIPS 2017) finding that ensemble disagreement increases specifically for out-of-distribution inputs -- making disagreement a calibrated risk indicator.</w:t>
      </w:r>
    </w:p>
    <w:p>
      <w:pPr>
        <w:pStyle w:val="ListParagraph"/>
        <w:numPr>
          <w:ilvl w:val="0"/>
          <w:numId w:val="2"/>
        </w:numPr>
        <w:spacing w:before="40" w:after="80"/>
      </w:pPr>
      <w:r>
        <w:rPr>
          <w:rFonts w:ascii="Arial" w:cs="Arial" w:eastAsia="Arial" w:hAnsi="Arial"/>
          <w:color w:val="2C2C2C"/>
          <w:sz w:val="22"/>
          <w:szCs w:val="22"/>
        </w:rPr>
        <w:t xml:space="preserve">Convergence must be measured quantitatively, not assessed impressionistically. The consensus metrics defined in Section 6.6 provide the measurement basis.</w:t>
      </w:r>
    </w:p>
    <w:p>
      <w:pPr>
        <w:pStyle w:val="ListParagraph"/>
        <w:numPr>
          <w:ilvl w:val="0"/>
          <w:numId w:val="2"/>
        </w:numPr>
        <w:spacing w:before="40" w:after="80"/>
      </w:pPr>
      <w:r>
        <w:rPr>
          <w:rFonts w:ascii="Arial" w:cs="Arial" w:eastAsia="Arial" w:hAnsi="Arial"/>
          <w:color w:val="2C2C2C"/>
          <w:sz w:val="22"/>
          <w:szCs w:val="22"/>
        </w:rPr>
        <w:t xml:space="preserve">Unresolved disagreement must be surfaced to the operator. It must never be hidden or silently resolved by one model overriding another.</w:t>
      </w:r>
    </w:p>
    <w:p>
      <w:pPr>
        <w:pStyle w:val="Heading2"/>
        <w:spacing w:before="240" w:after="80" w:line="276" w:lineRule="auto"/>
      </w:pPr>
      <w:r>
        <w:rPr>
          <w:rFonts w:ascii="Arial" w:cs="Arial" w:eastAsia="Arial" w:hAnsi="Arial"/>
          <w:b/>
          <w:bCs/>
          <w:color w:val="2E75B6"/>
          <w:sz w:val="28"/>
          <w:szCs w:val="28"/>
        </w:rPr>
        <w:t xml:space="preserve">6.2 Consensus Roles</w:t>
      </w:r>
    </w:p>
    <w:p>
      <w:pPr>
        <w:spacing w:before="0" w:after="200" w:line="276" w:lineRule="auto"/>
      </w:pPr>
      <w:r>
        <w:rPr>
          <w:rFonts w:ascii="Arial" w:cs="Arial" w:eastAsia="Arial" w:hAnsi="Arial"/>
          <w:color w:val="2C2C2C"/>
          <w:sz w:val="22"/>
          <w:szCs w:val="22"/>
        </w:rPr>
        <w:t xml:space="preserve">The protocol defines five roles. Table 9 specifies the responsibility and typical assignment for each.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Role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Responsibility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Typical Assignment</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Proposer A</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Produces first independently reasoned position on the decision without seeing other positions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model for the task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Proposer 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Produces second independently reasoned position without seeing Proposer A's output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Orchestrator model or a designated specialist model</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Reconciler</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Compares both positions, identifies overlap, conflict, and gaps, and synthesizes a reconciled recommendation</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Orchestrator or a designated third model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Verifies whether the reconciled consensus is logically justified and 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model distinct from both proposers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Final authority when automated consensus fails or when tradeoffs are strategic</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Human decision maker</w:t>
            </w:r>
          </w:p>
        </w:tc>
      </w:tr>
    </w:tbl>
    <w:p>
      <w:pPr>
        <w:spacing w:before="120" w:after="0"/>
      </w:pPr>
    </w:p>
    <w:p>
      <w:pPr>
        <w:spacing w:before="0" w:after="200" w:line="276" w:lineRule="auto"/>
      </w:pPr>
      <w:r>
        <w:rPr>
          <w:rFonts w:ascii="Arial" w:cs="Arial" w:eastAsia="Arial" w:hAnsi="Arial"/>
          <w:color w:val="2C2C2C"/>
          <w:sz w:val="22"/>
          <w:szCs w:val="22"/>
        </w:rPr>
        <w:t xml:space="preserve">The independence requirement is structural: Proposer B must not see Proposer A's output before producing its position. This independence is what enables the protocol to detect correlated errors. If both proposers have access to the same initial position, they tend to converge on it regardless of its correctness, producing the appearance of consensus without the substance. Given Kim et al.'s finding that frontier models agree 60% of the time when both err, model pair selection should favor providers with distinct training data, architectures, and RLHF approaches to maximize error diversity.</w:t>
      </w:r>
    </w:p>
    <w:p>
      <w:pPr>
        <w:pStyle w:val="Heading2"/>
        <w:spacing w:before="240" w:after="80" w:line="276" w:lineRule="auto"/>
      </w:pPr>
      <w:r>
        <w:rPr>
          <w:rFonts w:ascii="Arial" w:cs="Arial" w:eastAsia="Arial" w:hAnsi="Arial"/>
          <w:b/>
          <w:bCs/>
          <w:color w:val="2E75B6"/>
          <w:sz w:val="28"/>
          <w:szCs w:val="28"/>
        </w:rPr>
        <w:t xml:space="preserve">6.3 Structured Position Format</w:t>
      </w:r>
    </w:p>
    <w:p>
      <w:pPr>
        <w:spacing w:before="0" w:after="200" w:line="276" w:lineRule="auto"/>
      </w:pPr>
      <w:r>
        <w:rPr>
          <w:rFonts w:ascii="Arial" w:cs="Arial" w:eastAsia="Arial" w:hAnsi="Arial"/>
          <w:color w:val="2C2C2C"/>
          <w:sz w:val="22"/>
          <w:szCs w:val="22"/>
        </w:rPr>
        <w:t xml:space="preserve">Models must not output free-form opinions. Every position on a consensus-eligible decision must follow a structured format that enables automated comparison. Table 10 defines the required fields.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Position Field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Why Required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conclusion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model's recommended decision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Primary output for comparison across proposers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assumptions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 the model assumed to be true that is not explicitly stated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Exposes hidden premises that may differ between models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evidence_basis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 facts, code, documentation, or prior decisions support the conclusion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verification of reasoning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risks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 could go wrong if this conclusion is adopted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Surfaces risk assessments for cross-model comparison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confidence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Self-assessed confidence level (low, medium, or high) with rationale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weighted aggregation across positions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objections_to_alternatives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Why the model believes alternative approaches are inferior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Forces consideration of the full decision space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what_would_change_mind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What evidence or argument would cause the model to revise its position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targeted reconciliation by the Reconciler</w:t>
            </w:r>
          </w:p>
        </w:tc>
      </w:tr>
    </w:tbl>
    <w:p>
      <w:pPr>
        <w:spacing w:before="120" w:after="0"/>
      </w:pPr>
    </w:p>
    <w:p>
      <w:pPr>
        <w:spacing w:before="0" w:after="200" w:line="276" w:lineRule="auto"/>
      </w:pPr>
      <w:r>
        <w:rPr>
          <w:rFonts w:ascii="Arial" w:cs="Arial" w:eastAsia="Arial" w:hAnsi="Arial"/>
          <w:color w:val="2C2C2C"/>
          <w:sz w:val="22"/>
          <w:szCs w:val="22"/>
        </w:rPr>
        <w:t xml:space="preserve">This structured format enables the reconciler to compute four derived sets: the intersection (shared conclusions), the union (all unique considerations), the contradiction set (directly opposing positions), and the unresolved set (questions neither model addressed). This computation is far more reliable than free-form comparison: intersection and contradiction are algorithmically computable from structured fields; they are not assessable from unstructured prose.</w:t>
      </w:r>
    </w:p>
    <w:p>
      <w:pPr>
        <w:pStyle w:val="Heading2"/>
        <w:spacing w:before="240" w:after="80" w:line="276" w:lineRule="auto"/>
      </w:pPr>
      <w:r>
        <w:rPr>
          <w:rFonts w:ascii="Arial" w:cs="Arial" w:eastAsia="Arial" w:hAnsi="Arial"/>
          <w:b/>
          <w:bCs/>
          <w:color w:val="2E75B6"/>
          <w:sz w:val="28"/>
          <w:szCs w:val="28"/>
        </w:rPr>
        <w:t xml:space="preserve">6.4 Disagreement Taxonomy</w:t>
      </w:r>
    </w:p>
    <w:p>
      <w:pPr>
        <w:spacing w:before="0" w:after="200" w:line="276" w:lineRule="auto"/>
      </w:pPr>
      <w:r>
        <w:rPr>
          <w:rFonts w:ascii="Arial" w:cs="Arial" w:eastAsia="Arial" w:hAnsi="Arial"/>
          <w:color w:val="2C2C2C"/>
          <w:sz w:val="22"/>
          <w:szCs w:val="22"/>
        </w:rPr>
        <w:t xml:space="preserve">Not all disagreement is equivalent. The disagreement type determines the resolution strategy. Table 11 defines the taxonomy.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Disagreement 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Resolution Strategy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Factual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 disagree about a current fact (file contents, API behavior, schema state)</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Resolve by evidence: inspect the actual code, database, documentation, or runtime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Both models' facts are correct but they prefer different design approaches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Score both approaches against enterprise criteria: scalability, operational burden, reversibility, security, observability, total future rebuild risk</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Risk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 assess the same risk differently (one rates it high, the other rates it low)</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Compare evidence basis and assumptions; apply the more conservative assessment unless the operator explicitly accepts the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 and Performance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 recommend different tradeoffs between latency, spend, complexity, and maintainability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Quantify both tradeoffs and present to operator with explicit cost-benefit comparison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Scope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 disagree about whether a task should include more or less than specified</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Defer to the delivery contract scope; if the contract is ambiguous, escalate to operator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Stylistic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 prefer different code style, naming, or organizational patterns with no functional difference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 not escalate. Choose the option that better satisfies the delivery contract's operational and observability requirements</w:t>
            </w:r>
          </w:p>
        </w:tc>
      </w:tr>
    </w:tbl>
    <w:p>
      <w:pPr>
        <w:spacing w:before="120" w:after="0"/>
      </w:pPr>
    </w:p>
    <w:p>
      <w:pPr>
        <w:spacing w:before="0" w:after="200" w:line="276" w:lineRule="auto"/>
      </w:pPr>
      <w:r>
        <w:rPr>
          <w:rFonts w:ascii="Arial" w:cs="Arial" w:eastAsia="Arial" w:hAnsi="Arial"/>
          <w:color w:val="2C2C2C"/>
          <w:sz w:val="22"/>
          <w:szCs w:val="22"/>
        </w:rPr>
        <w:t xml:space="preserve">Stylistic disagreement is deliberately placed at the bottom of the taxonomy with the instruction not to escalate. The governance overhead of escalating stylistic differences is disproportionate to their impact, and stylistic resolution by operator decision introduces subjectivity into what should be a deterministic quality process. All non-stylistic disagreements have defined resolution strategies that do not require subjective judgment.</w:t>
      </w:r>
    </w:p>
    <w:p>
      <w:pPr>
        <w:pStyle w:val="Heading2"/>
        <w:spacing w:before="240" w:after="80" w:line="276" w:lineRule="auto"/>
      </w:pPr>
      <w:r>
        <w:rPr>
          <w:rFonts w:ascii="Arial" w:cs="Arial" w:eastAsia="Arial" w:hAnsi="Arial"/>
          <w:b/>
          <w:bCs/>
          <w:color w:val="2E75B6"/>
          <w:sz w:val="28"/>
          <w:szCs w:val="28"/>
        </w:rPr>
        <w:t xml:space="preserve">6.5 Consensus States</w:t>
      </w:r>
    </w:p>
    <w:p>
      <w:pPr>
        <w:spacing w:before="0" w:after="200" w:line="276" w:lineRule="auto"/>
      </w:pPr>
      <w:r>
        <w:rPr>
          <w:rFonts w:ascii="Arial" w:cs="Arial" w:eastAsia="Arial" w:hAnsi="Arial"/>
          <w:color w:val="2C2C2C"/>
          <w:sz w:val="22"/>
          <w:szCs w:val="22"/>
        </w:rPr>
        <w:t xml:space="preserve">The consensus process follows an explicit state machine. Each state is auditable and has defined transition conditions. Table 12 defines the states.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Transition Condition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UNREVIEWED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has been identified but no model has produced a position yet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Transitions to UNDER_COMPARISON when the first position is submitted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UNDER_COMPARISON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At least one model has submitted a position; waiting for the second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Transitions to PARTIAL_AGREEMENT or CONSENSUS_REACHED when the second position arrives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PARTIAL_AGREEMENT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 agree on some aspects but disagree on others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Transitions to CONSENSUS_REACHED after reconciliation, or DISAGREEMENT_ESCALATED if reconciliation fails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CONSENSUS_REACHED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participating models and the reconciler agree on a decision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Terminal state. Decision is recorded with full audit trail.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DISAGREEMENT_ESCALATED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Reconciliation has failed; human arbitration is required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Transitions to USER_RESOLVED when the operator makes a decision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USER_RESOLVED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has made the final decision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Terminal state. Decision is recorded with operator rationale.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EVIDENCE_PENDING</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Resolution requires factual evidence that is not currently available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Transitions back to UNDER_COMPARISON when evidence is provided</w:t>
            </w:r>
          </w:p>
        </w:tc>
      </w:tr>
    </w:tbl>
    <w:p>
      <w:pPr>
        <w:spacing w:before="120" w:after="0"/>
      </w:pPr>
    </w:p>
    <w:p>
      <w:pPr>
        <w:pBdr>
          <w:left w:val="single" w:color="2E75B6" w:sz="6" w:space="8"/>
        </w:pBdr>
        <w:spacing w:before="120" w:after="200"/>
        <w:ind w:left="720"/>
      </w:pPr>
      <w:r>
        <w:rPr>
          <w:rFonts w:ascii="Arial" w:cs="Arial" w:eastAsia="Arial" w:hAnsi="Arial"/>
          <w:i/>
          <w:iCs/>
          <w:color w:val="555555"/>
          <w:sz w:val="22"/>
          <w:szCs w:val="22"/>
        </w:rPr>
        <w:t xml:space="preserve">The EVIDENCE_PENDING state is critical for factual disagreements: when models disagree about a current fact (file contents, API behavior, schema state), the correct resolution is to obtain the actual evidence, not to apply a resolution heuristic. The system must pause and wait for that evidence rather than defaulting to one model's position.</w:t>
      </w:r>
    </w:p>
    <w:p>
      <w:pPr>
        <w:pStyle w:val="Heading2"/>
        <w:spacing w:before="240" w:after="80" w:line="276" w:lineRule="auto"/>
      </w:pPr>
      <w:r>
        <w:rPr>
          <w:rFonts w:ascii="Arial" w:cs="Arial" w:eastAsia="Arial" w:hAnsi="Arial"/>
          <w:b/>
          <w:bCs/>
          <w:color w:val="2E75B6"/>
          <w:sz w:val="28"/>
          <w:szCs w:val="28"/>
        </w:rPr>
        <w:t xml:space="preserve">6.6 Consensus Metrics</w:t>
      </w:r>
    </w:p>
    <w:p>
      <w:pPr>
        <w:spacing w:before="0" w:after="200" w:line="276" w:lineRule="auto"/>
      </w:pPr>
      <w:r>
        <w:rPr>
          <w:rFonts w:ascii="Arial" w:cs="Arial" w:eastAsia="Arial" w:hAnsi="Arial"/>
          <w:color w:val="2C2C2C"/>
          <w:sz w:val="22"/>
          <w:szCs w:val="22"/>
        </w:rPr>
        <w:t xml:space="preserve">Every consensus decision stores a quantitative record. Table 13 defines the metrics.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agreement_score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float [0,1]</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Proportion of position fields where all models reached the same conclusion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conflict_count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Number of distinct disagreements identified across all position comparisons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conflict_types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array</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Classification of each disagreement (factual, architectural, risk, cost, scope, stylistic)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resolved_by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reconciler, evidence, operator, or default-to-conservative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resolution_method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Prose description of how each conflict was resolved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evidence_links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array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References to evidence artifacts used in resolution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final_decision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adopted conclusion carried forward into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residual_risk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remaining uncertainty acknowledged after resolution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models_involved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array</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Which models participated and in which roles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iteration_count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How many rounds of deliberation occurred before terminal state was reached</w:t>
            </w:r>
          </w:p>
        </w:tc>
      </w:tr>
    </w:tbl>
    <w:p>
      <w:pPr>
        <w:spacing w:before="120" w:after="0"/>
      </w:pPr>
    </w:p>
    <w:p>
      <w:pPr>
        <w:spacing w:before="0" w:after="200" w:line="276" w:lineRule="auto"/>
      </w:pPr>
      <w:r>
        <w:rPr>
          <w:rFonts w:ascii="Arial" w:cs="Arial" w:eastAsia="Arial" w:hAnsi="Arial"/>
          <w:color w:val="2C2C2C"/>
          <w:sz w:val="22"/>
          <w:szCs w:val="22"/>
        </w:rPr>
        <w:t xml:space="preserve">The agreement_score field (a proportion in [0,1] representing the proportion of position fields where models reached the same conclusion) is the primary metric for consensus quality. An agreement_score of 1.0 indicates complete consensus; a score below 0.5 indicates that models disagreed on more fields than they agreed on. The iteration_count field tracks deliberation overhead: high iteration counts on specific task types indicate ambiguity in the delivery contract for those task types and should trigger contract refinement.</w:t>
      </w:r>
    </w:p>
    <w:p>
      <w:pPr>
        <w:pStyle w:val="Heading2"/>
        <w:spacing w:before="240" w:after="80" w:line="276" w:lineRule="auto"/>
      </w:pPr>
      <w:r>
        <w:rPr>
          <w:rFonts w:ascii="Arial" w:cs="Arial" w:eastAsia="Arial" w:hAnsi="Arial"/>
          <w:b/>
          <w:bCs/>
          <w:color w:val="2E75B6"/>
          <w:sz w:val="28"/>
          <w:szCs w:val="28"/>
        </w:rPr>
        <w:t xml:space="preserve">6.7 Divergence Detection as Quality Signal</w:t>
      </w:r>
    </w:p>
    <w:p>
      <w:pPr>
        <w:spacing w:before="0" w:after="200" w:line="276" w:lineRule="auto"/>
      </w:pPr>
      <w:r>
        <w:rPr>
          <w:rFonts w:ascii="Arial" w:cs="Arial" w:eastAsia="Arial" w:hAnsi="Arial"/>
          <w:color w:val="2C2C2C"/>
          <w:sz w:val="22"/>
          <w:szCs w:val="22"/>
        </w:rPr>
        <w:t xml:space="preserve">A critical insight from ensemble methods in statistical learning is that correlated agreement can be misleading while systematic disagreement is diagnostic. Lakshminarayanan et al. (NeurIPS 2017) demonstrated that ensemble disagreement increases specifically for out-of-distribution inputs -- meaning that when two well-performing models disagree, the disagreement is more likely to signal a genuine hard case than a noise event. If two models consistently agree on a class of decisions, the consensus may add no information because they share the same training bias. If they consistently disagree on a specific problem type, that pattern reveals something about the task class that warrants human attention.</w:t>
      </w:r>
    </w:p>
    <w:p>
      <w:pPr>
        <w:spacing w:before="0" w:after="200" w:line="276" w:lineRule="auto"/>
      </w:pPr>
      <w:r>
        <w:rPr>
          <w:rFonts w:ascii="Arial" w:cs="Arial" w:eastAsia="Arial" w:hAnsi="Arial"/>
          <w:color w:val="2C2C2C"/>
          <w:sz w:val="22"/>
          <w:szCs w:val="22"/>
        </w:rPr>
        <w:t xml:space="preserve">The system tracks divergence patterns over time: which task types produce the most disagreement, which model pairs have the highest correlation (least independent value), and which disagreement types are most frequently escalated to the operator. This metadata enables optimization of model pairing: select models that are maximally uncorrelated for consensus tasks, achieving the ensemble diversity that produces the most reliable aggregate decisions. Kim et al. (ICML 2025) found error correlation is highest for same-provider or architecturally similar models -- providing an actionable selection heuristic: pair models from different providers with distinct training approaches.</w:t>
      </w:r>
    </w:p>
    <w:p>
      <w:pPr>
        <w:pStyle w:val="Heading2"/>
        <w:spacing w:before="240" w:after="80" w:line="276" w:lineRule="auto"/>
      </w:pPr>
      <w:r>
        <w:rPr>
          <w:rFonts w:ascii="Arial" w:cs="Arial" w:eastAsia="Arial" w:hAnsi="Arial"/>
          <w:b/>
          <w:bCs/>
          <w:color w:val="2E75B6"/>
          <w:sz w:val="28"/>
          <w:szCs w:val="28"/>
        </w:rPr>
        <w:t xml:space="preserve">6.8 Consensus Activation Criteria</w:t>
      </w:r>
    </w:p>
    <w:p>
      <w:pPr>
        <w:spacing w:before="0" w:after="200" w:line="276" w:lineRule="auto"/>
      </w:pPr>
      <w:r>
        <w:rPr>
          <w:rFonts w:ascii="Arial" w:cs="Arial" w:eastAsia="Arial" w:hAnsi="Arial"/>
          <w:color w:val="2C2C2C"/>
          <w:sz w:val="22"/>
          <w:szCs w:val="22"/>
        </w:rPr>
        <w:t xml:space="preserve">Not every decision warrants multi-model deliberation. The consensus protocol activates based on the task's governance metadata.</w:t>
      </w:r>
    </w:p>
    <w:p>
      <w:pPr>
        <w:pStyle w:val="ListParagraph"/>
        <w:numPr>
          <w:ilvl w:val="0"/>
          <w:numId w:val="2"/>
        </w:numPr>
        <w:spacing w:before="40" w:after="80"/>
      </w:pPr>
      <w:r>
        <w:rPr>
          <w:rFonts w:ascii="Arial" w:cs="Arial" w:eastAsia="Arial" w:hAnsi="Arial"/>
          <w:color w:val="2C2C2C"/>
          <w:sz w:val="22"/>
          <w:szCs w:val="22"/>
        </w:rPr>
        <w:t xml:space="preserve">Always required: tasks with quality_tier = regulated-enterprise or enterprise_criticality = platform-critical.</w:t>
      </w:r>
    </w:p>
    <w:p>
      <w:pPr>
        <w:pStyle w:val="ListParagraph"/>
        <w:numPr>
          <w:ilvl w:val="0"/>
          <w:numId w:val="2"/>
        </w:numPr>
        <w:spacing w:before="40" w:after="80"/>
      </w:pPr>
      <w:r>
        <w:rPr>
          <w:rFonts w:ascii="Arial" w:cs="Arial" w:eastAsia="Arial" w:hAnsi="Arial"/>
          <w:color w:val="2C2C2C"/>
          <w:sz w:val="22"/>
          <w:szCs w:val="22"/>
        </w:rPr>
        <w:t xml:space="preserve">Required by default, overridable by operator: tasks with enterprise_criticality = high or consensus_required = true in the task schema.</w:t>
      </w:r>
    </w:p>
    <w:p>
      <w:pPr>
        <w:pStyle w:val="ListParagraph"/>
        <w:numPr>
          <w:ilvl w:val="0"/>
          <w:numId w:val="2"/>
        </w:numPr>
        <w:spacing w:before="40" w:after="80"/>
      </w:pPr>
      <w:r>
        <w:rPr>
          <w:rFonts w:ascii="Arial" w:cs="Arial" w:eastAsia="Arial" w:hAnsi="Arial"/>
          <w:color w:val="2C2C2C"/>
          <w:sz w:val="22"/>
          <w:szCs w:val="22"/>
        </w:rPr>
        <w:t xml:space="preserve">Optional: tasks with enterprise_criticality = medium. Single-model execution with post-hoc cross-model audit is sufficient.</w:t>
      </w:r>
    </w:p>
    <w:p>
      <w:pPr>
        <w:pStyle w:val="ListParagraph"/>
        <w:numPr>
          <w:ilvl w:val="0"/>
          <w:numId w:val="2"/>
        </w:numPr>
        <w:spacing w:before="40" w:after="80"/>
      </w:pPr>
      <w:r>
        <w:rPr>
          <w:rFonts w:ascii="Arial" w:cs="Arial" w:eastAsia="Arial" w:hAnsi="Arial"/>
          <w:color w:val="2C2C2C"/>
          <w:sz w:val="22"/>
          <w:szCs w:val="22"/>
        </w:rPr>
        <w:t xml:space="preserve">Not required: tasks with enterprise_criticality = low or quality_tier = prototype. Single-model execution is acceptable.</w:t>
      </w:r>
    </w:p>
    <w:p>
      <w:pPr>
        <w:pStyle w:val="Heading1"/>
        <w:pageBreakBefore/>
        <w:spacing w:before="360" w:after="120" w:line="276" w:lineRule="auto"/>
      </w:pPr>
      <w:r>
        <w:rPr>
          <w:rFonts w:ascii="Arial" w:cs="Arial" w:eastAsia="Arial" w:hAnsi="Arial"/>
          <w:b/>
          <w:bCs/>
          <w:color w:val="1B2A4A"/>
          <w:sz w:val="36"/>
          <w:szCs w:val="36"/>
        </w:rPr>
        <w:t xml:space="preserve">7. Implementation Evidence: Production Case Study</w:t>
      </w:r>
    </w:p>
    <w:p>
      <w:pPr>
        <w:spacing w:before="0" w:after="200" w:line="276" w:lineRule="auto"/>
      </w:pPr>
      <w:r>
        <w:rPr>
          <w:rFonts w:ascii="Arial" w:cs="Arial" w:eastAsia="Arial" w:hAnsi="Arial"/>
          <w:color w:val="2C2C2C"/>
          <w:sz w:val="22"/>
          <w:szCs w:val="22"/>
        </w:rPr>
        <w:t xml:space="preserve">The following failures were documented during production engineering of an enterprise SaaS platform operating under AI orchestration. Each failure would have been caught by at least one governance mechanism before reaching production. Table 14 presents the complete failure catalog.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Failure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Root Cause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Cost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Prevention Mechanism</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API 500 errors on deploy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Speculative require paths (db.php instead of Database.php)</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 correction cycles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 connector classes broken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Interface rewrite without live 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 cycle plus redesign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 and Implicit Interface prohibition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Test endpoint database pollution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cleanup; +7 permanent rows per call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contamination requiring manual purge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Delivery Contract: idempotency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Scoring not comparable across projects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Unbounded, dataset-dependent raw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Architectural redesign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Architecture Gate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Live API calls during retrieval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fetchContextEvents() called list() triggering network I/O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 correction cycle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Delivery Contract: system invariant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GitHub connector returning empty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Expired tokens and wrong config format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Debug session plus token regeneration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Operations Gate: test as prerequisite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Nested deployment directory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Zip with intermediate staging folder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file relocation by operator</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Nested Deployment prohibition and Delivery Contract rollback plan</w:t>
            </w:r>
          </w:p>
        </w:tc>
      </w:tr>
    </w:tbl>
    <w:p>
      <w:pPr>
        <w:spacing w:before="120" w:after="0"/>
      </w:pPr>
    </w:p>
    <w:p>
      <w:pPr>
        <w:spacing w:before="0" w:after="200" w:line="276" w:lineRule="auto"/>
      </w:pPr>
      <w:r>
        <w:rPr>
          <w:rFonts w:ascii="Arial" w:cs="Arial" w:eastAsia="Arial" w:hAnsi="Arial"/>
          <w:color w:val="2C2C2C"/>
          <w:sz w:val="22"/>
          <w:szCs w:val="22"/>
        </w:rPr>
        <w:t xml:space="preserve">Total rework: six correction cycles, representing approximately 60% of total engineering time across two consecutive development iterations. The failures cluster into three categories: information boundary failures (speculative implementation, speculative require, silent overwrite) addressed by the Source Truth Guarantee; contract compliance failures (test endpoint pollution, unbounded queries, live API calls during retrieval) addressed by the Delivery Contract; and deployment failures (nested deployment directory) addressed by the Nested Deployment prohibition.</w:t>
      </w:r>
    </w:p>
    <w:p>
      <w:pPr>
        <w:spacing w:before="0" w:after="200" w:line="276" w:lineRule="auto"/>
      </w:pPr>
      <w:r>
        <w:rPr>
          <w:rFonts w:ascii="Arial" w:cs="Arial" w:eastAsia="Arial" w:hAnsi="Arial"/>
          <w:color w:val="2C2C2C"/>
          <w:sz w:val="22"/>
          <w:szCs w:val="22"/>
        </w:rPr>
        <w:t xml:space="preserve">No failure required a novel resolution mechanism. Each failure has a direct, one-to-one mapping to a governance mechanism defined in this framework. This correspondence is the primary evidence that the framework addresses real failure modes rather than hypothetical ones.</w:t>
      </w:r>
    </w:p>
    <w:p>
      <w:pPr>
        <w:pStyle w:val="Heading1"/>
        <w:pageBreakBefore/>
        <w:spacing w:before="360" w:after="120" w:line="276" w:lineRule="auto"/>
      </w:pPr>
      <w:r>
        <w:rPr>
          <w:rFonts w:ascii="Arial" w:cs="Arial" w:eastAsia="Arial" w:hAnsi="Arial"/>
          <w:b/>
          <w:bCs/>
          <w:color w:val="1B2A4A"/>
          <w:sz w:val="36"/>
          <w:szCs w:val="36"/>
        </w:rPr>
        <w:t xml:space="preserve">8. Integration with the Orchestration Protocol</w:t>
      </w:r>
    </w:p>
    <w:p>
      <w:pPr>
        <w:spacing w:before="0" w:after="200" w:line="276" w:lineRule="auto"/>
      </w:pPr>
      <w:r>
        <w:rPr>
          <w:rFonts w:ascii="Arial" w:cs="Arial" w:eastAsia="Arial" w:hAnsi="Arial"/>
          <w:color w:val="2C2C2C"/>
          <w:sz w:val="22"/>
          <w:szCs w:val="22"/>
        </w:rPr>
        <w:t xml:space="preserve">This framework integrates with the DEL-v2 state machine protocol (WP-001) by extending two existing protocol artifacts: the execution prompt template and the handback template. The extensions are additive: they add mandatory fields to existing structures without altering the state machine transitions, session handoff mechanisms, or cryptographic integrity verification defined in WP-001.</w:t>
      </w:r>
    </w:p>
    <w:p>
      <w:pPr>
        <w:pStyle w:val="Heading2"/>
        <w:spacing w:before="240" w:after="80" w:line="276" w:lineRule="auto"/>
      </w:pPr>
      <w:r>
        <w:rPr>
          <w:rFonts w:ascii="Arial" w:cs="Arial" w:eastAsia="Arial" w:hAnsi="Arial"/>
          <w:b/>
          <w:bCs/>
          <w:color w:val="2E75B6"/>
          <w:sz w:val="28"/>
          <w:szCs w:val="28"/>
        </w:rPr>
        <w:t xml:space="preserve">8.1 Extended Execution Prompt Template</w:t>
      </w:r>
    </w:p>
    <w:p>
      <w:pPr>
        <w:spacing w:before="0" w:after="200" w:line="276" w:lineRule="auto"/>
      </w:pPr>
      <w:r>
        <w:rPr>
          <w:rFonts w:ascii="Arial" w:cs="Arial" w:eastAsia="Arial" w:hAnsi="Arial"/>
          <w:color w:val="2C2C2C"/>
          <w:sz w:val="22"/>
          <w:szCs w:val="22"/>
        </w:rPr>
        <w:t xml:space="preserve">The extended template retains all fields from the base DEL-v2 prompt template and adds three mandatory fields:</w:t>
      </w:r>
    </w:p>
    <w:p>
      <w:pPr>
        <w:pStyle w:val="ListParagraph"/>
        <w:numPr>
          <w:ilvl w:val="0"/>
          <w:numId w:val="2"/>
        </w:numPr>
        <w:spacing w:before="40" w:after="80"/>
      </w:pPr>
      <w:r>
        <w:rPr>
          <w:rFonts w:ascii="Arial" w:cs="Arial" w:eastAsia="Arial" w:hAnsi="Arial"/>
          <w:color w:val="2C2C2C"/>
          <w:sz w:val="22"/>
          <w:szCs w:val="22"/>
        </w:rPr>
        <w:t xml:space="preserve">Task specification (existing, from WP-001)</w:t>
      </w:r>
    </w:p>
    <w:p>
      <w:pPr>
        <w:pStyle w:val="ListParagraph"/>
        <w:numPr>
          <w:ilvl w:val="0"/>
          <w:numId w:val="2"/>
        </w:numPr>
        <w:spacing w:before="40" w:after="80"/>
      </w:pPr>
      <w:r>
        <w:rPr>
          <w:rFonts w:ascii="Arial" w:cs="Arial" w:eastAsia="Arial" w:hAnsi="Arial"/>
          <w:color w:val="2C2C2C"/>
          <w:sz w:val="22"/>
          <w:szCs w:val="22"/>
        </w:rPr>
        <w:t xml:space="preserve">Acceptance criteria (existing, from WP-001)</w:t>
      </w:r>
    </w:p>
    <w:p>
      <w:pPr>
        <w:pStyle w:val="ListParagraph"/>
        <w:numPr>
          <w:ilvl w:val="0"/>
          <w:numId w:val="2"/>
        </w:numPr>
        <w:spacing w:before="40" w:after="80"/>
      </w:pPr>
      <w:r>
        <w:rPr>
          <w:rFonts w:ascii="Arial" w:cs="Arial" w:eastAsia="Arial" w:hAnsi="Arial"/>
          <w:color w:val="2C2C2C"/>
          <w:sz w:val="22"/>
          <w:szCs w:val="22"/>
        </w:rPr>
        <w:t xml:space="preserve">Constraints (existing, from WP-001)</w:t>
      </w:r>
    </w:p>
    <w:p>
      <w:pPr>
        <w:pStyle w:val="ListParagraph"/>
        <w:numPr>
          <w:ilvl w:val="0"/>
          <w:numId w:val="2"/>
        </w:numPr>
        <w:spacing w:before="40" w:after="80"/>
      </w:pPr>
      <w:r>
        <w:rPr>
          <w:rFonts w:ascii="Arial" w:cs="Arial" w:eastAsia="Arial" w:hAnsi="Arial"/>
          <w:color w:val="2C2C2C"/>
          <w:sz w:val="22"/>
          <w:szCs w:val="22"/>
        </w:rPr>
        <w:t xml:space="preserve">Attached files: current production source for all files to be modified or integrated with (existing in WP-001, now mandatory per Source Truth Guarantee)</w:t>
      </w:r>
    </w:p>
    <w:p>
      <w:pPr>
        <w:pStyle w:val="ListParagraph"/>
        <w:numPr>
          <w:ilvl w:val="0"/>
          <w:numId w:val="2"/>
        </w:numPr>
        <w:spacing w:before="40" w:after="80"/>
      </w:pPr>
      <w:r>
        <w:rPr>
          <w:rFonts w:ascii="Arial" w:cs="Arial" w:eastAsia="Arial" w:hAnsi="Arial"/>
          <w:color w:val="2C2C2C"/>
          <w:sz w:val="22"/>
          <w:szCs w:val="22"/>
        </w:rPr>
        <w:t xml:space="preserve">Enterprise Delivery Contract: all ten fields populated (new, mandatory)</w:t>
      </w:r>
    </w:p>
    <w:p>
      <w:pPr>
        <w:pStyle w:val="ListParagraph"/>
        <w:numPr>
          <w:ilvl w:val="0"/>
          <w:numId w:val="2"/>
        </w:numPr>
        <w:spacing w:before="40" w:after="80"/>
      </w:pPr>
      <w:r>
        <w:rPr>
          <w:rFonts w:ascii="Arial" w:cs="Arial" w:eastAsia="Arial" w:hAnsi="Arial"/>
          <w:color w:val="2C2C2C"/>
          <w:sz w:val="22"/>
          <w:szCs w:val="22"/>
        </w:rPr>
        <w:t xml:space="preserve">Review failure criteria: explicit rejection conditions (new, mandatory)</w:t>
      </w:r>
    </w:p>
    <w:p>
      <w:pPr>
        <w:pStyle w:val="ListParagraph"/>
        <w:numPr>
          <w:ilvl w:val="0"/>
          <w:numId w:val="2"/>
        </w:numPr>
        <w:spacing w:before="40" w:after="80"/>
      </w:pPr>
      <w:r>
        <w:rPr>
          <w:rFonts w:ascii="Arial" w:cs="Arial" w:eastAsia="Arial" w:hAnsi="Arial"/>
          <w:color w:val="2C2C2C"/>
          <w:sz w:val="22"/>
          <w:szCs w:val="22"/>
        </w:rPr>
        <w:t xml:space="preserve">Consensus requirement: whether multi-model consensus is required for this task (new, conditional on task governance metadata)</w:t>
      </w:r>
    </w:p>
    <w:p>
      <w:pPr>
        <w:pStyle w:val="Heading2"/>
        <w:spacing w:before="240" w:after="80" w:line="276" w:lineRule="auto"/>
      </w:pPr>
      <w:r>
        <w:rPr>
          <w:rFonts w:ascii="Arial" w:cs="Arial" w:eastAsia="Arial" w:hAnsi="Arial"/>
          <w:b/>
          <w:bCs/>
          <w:color w:val="2E75B6"/>
          <w:sz w:val="28"/>
          <w:szCs w:val="28"/>
        </w:rPr>
        <w:t xml:space="preserve">8.2 Extended Handback Template</w:t>
      </w:r>
    </w:p>
    <w:p>
      <w:pPr>
        <w:spacing w:before="0" w:after="200" w:line="276" w:lineRule="auto"/>
      </w:pPr>
      <w:r>
        <w:rPr>
          <w:rFonts w:ascii="Arial" w:cs="Arial" w:eastAsia="Arial" w:hAnsi="Arial"/>
          <w:color w:val="2C2C2C"/>
          <w:sz w:val="22"/>
          <w:szCs w:val="22"/>
        </w:rPr>
        <w:t xml:space="preserve">The extended handback template retains all fields from the base DEL-v2 handback template and adds three mandatory sections:</w:t>
      </w:r>
    </w:p>
    <w:p>
      <w:pPr>
        <w:pStyle w:val="ListParagraph"/>
        <w:numPr>
          <w:ilvl w:val="0"/>
          <w:numId w:val="2"/>
        </w:numPr>
        <w:spacing w:before="40" w:after="80"/>
      </w:pPr>
      <w:r>
        <w:rPr>
          <w:rFonts w:ascii="Arial" w:cs="Arial" w:eastAsia="Arial" w:hAnsi="Arial"/>
          <w:color w:val="2C2C2C"/>
          <w:sz w:val="22"/>
          <w:szCs w:val="22"/>
        </w:rPr>
        <w:t xml:space="preserve">Delivered files (existing, from WP-001)</w:t>
      </w:r>
    </w:p>
    <w:p>
      <w:pPr>
        <w:pStyle w:val="ListParagraph"/>
        <w:numPr>
          <w:ilvl w:val="0"/>
          <w:numId w:val="2"/>
        </w:numPr>
        <w:spacing w:before="40" w:after="80"/>
      </w:pPr>
      <w:r>
        <w:rPr>
          <w:rFonts w:ascii="Arial" w:cs="Arial" w:eastAsia="Arial" w:hAnsi="Arial"/>
          <w:color w:val="2C2C2C"/>
          <w:sz w:val="22"/>
          <w:szCs w:val="22"/>
        </w:rPr>
        <w:t xml:space="preserve">Deployment steps (existing, from WP-001)</w:t>
      </w:r>
    </w:p>
    <w:p>
      <w:pPr>
        <w:pStyle w:val="ListParagraph"/>
        <w:numPr>
          <w:ilvl w:val="0"/>
          <w:numId w:val="2"/>
        </w:numPr>
        <w:spacing w:before="40" w:after="80"/>
      </w:pPr>
      <w:r>
        <w:rPr>
          <w:rFonts w:ascii="Arial" w:cs="Arial" w:eastAsia="Arial" w:hAnsi="Arial"/>
          <w:color w:val="2C2C2C"/>
          <w:sz w:val="22"/>
          <w:szCs w:val="22"/>
        </w:rPr>
        <w:t xml:space="preserve">Verification results with mandatory evidence per contract criterion (existing in WP-001, strengthened to require concrete evidence)</w:t>
      </w:r>
    </w:p>
    <w:p>
      <w:pPr>
        <w:pStyle w:val="ListParagraph"/>
        <w:numPr>
          <w:ilvl w:val="0"/>
          <w:numId w:val="2"/>
        </w:numPr>
        <w:spacing w:before="40" w:after="80"/>
      </w:pPr>
      <w:r>
        <w:rPr>
          <w:rFonts w:ascii="Arial" w:cs="Arial" w:eastAsia="Arial" w:hAnsi="Arial"/>
          <w:color w:val="2C2C2C"/>
          <w:sz w:val="22"/>
          <w:szCs w:val="22"/>
        </w:rPr>
        <w:t xml:space="preserve">Issues (existing, from WP-001)</w:t>
      </w:r>
    </w:p>
    <w:p>
      <w:pPr>
        <w:pStyle w:val="ListParagraph"/>
        <w:numPr>
          <w:ilvl w:val="0"/>
          <w:numId w:val="2"/>
        </w:numPr>
        <w:spacing w:before="40" w:after="80"/>
      </w:pPr>
      <w:r>
        <w:rPr>
          <w:rFonts w:ascii="Arial" w:cs="Arial" w:eastAsia="Arial" w:hAnsi="Arial"/>
          <w:color w:val="2C2C2C"/>
          <w:sz w:val="22"/>
          <w:szCs w:val="22"/>
        </w:rPr>
        <w:t xml:space="preserve">Quality Gate Results: PASS or FAIL with evidence for all four gates (new, mandatory)</w:t>
      </w:r>
    </w:p>
    <w:p>
      <w:pPr>
        <w:pStyle w:val="ListParagraph"/>
        <w:numPr>
          <w:ilvl w:val="0"/>
          <w:numId w:val="2"/>
        </w:numPr>
        <w:spacing w:before="40" w:after="80"/>
      </w:pPr>
      <w:r>
        <w:rPr>
          <w:rFonts w:ascii="Arial" w:cs="Arial" w:eastAsia="Arial" w:hAnsi="Arial"/>
          <w:color w:val="2C2C2C"/>
          <w:sz w:val="22"/>
          <w:szCs w:val="22"/>
        </w:rPr>
        <w:t xml:space="preserve">Delivery Contract Compliance: response to each of the ten contract fields (new, mandatory)</w:t>
      </w:r>
    </w:p>
    <w:p>
      <w:pPr>
        <w:pStyle w:val="ListParagraph"/>
        <w:numPr>
          <w:ilvl w:val="0"/>
          <w:numId w:val="2"/>
        </w:numPr>
        <w:spacing w:before="40" w:after="80"/>
      </w:pPr>
      <w:r>
        <w:rPr>
          <w:rFonts w:ascii="Arial" w:cs="Arial" w:eastAsia="Arial" w:hAnsi="Arial"/>
          <w:color w:val="2C2C2C"/>
          <w:sz w:val="22"/>
          <w:szCs w:val="22"/>
        </w:rPr>
        <w:t xml:space="preserve">Consensus Position: structured position per Section 6.3 if consensus was required (new, conditional)</w:t>
      </w:r>
    </w:p>
    <w:p>
      <w:pPr>
        <w:pStyle w:val="ListParagraph"/>
        <w:numPr>
          <w:ilvl w:val="0"/>
          <w:numId w:val="2"/>
        </w:numPr>
        <w:spacing w:before="40" w:after="80"/>
      </w:pPr>
      <w:r>
        <w:rPr>
          <w:rFonts w:ascii="Arial" w:cs="Arial" w:eastAsia="Arial" w:hAnsi="Arial"/>
          <w:color w:val="2C2C2C"/>
          <w:sz w:val="22"/>
          <w:szCs w:val="22"/>
        </w:rPr>
        <w:t xml:space="preserve">Orchestrator State Update (existing, from WP-001)</w:t>
      </w:r>
    </w:p>
    <w:p>
      <w:pPr>
        <w:pStyle w:val="Heading2"/>
        <w:spacing w:before="240" w:after="80" w:line="276" w:lineRule="auto"/>
      </w:pPr>
      <w:r>
        <w:rPr>
          <w:rFonts w:ascii="Arial" w:cs="Arial" w:eastAsia="Arial" w:hAnsi="Arial"/>
          <w:b/>
          <w:bCs/>
          <w:color w:val="2E75B6"/>
          <w:sz w:val="28"/>
          <w:szCs w:val="28"/>
        </w:rPr>
        <w:t xml:space="preserve">8.3 Orchestrator Review Checklist</w:t>
      </w:r>
    </w:p>
    <w:p>
      <w:pPr>
        <w:spacing w:before="0" w:after="200" w:line="276" w:lineRule="auto"/>
      </w:pPr>
      <w:r>
        <w:rPr>
          <w:rFonts w:ascii="Arial" w:cs="Arial" w:eastAsia="Arial" w:hAnsi="Arial"/>
          <w:color w:val="2C2C2C"/>
          <w:sz w:val="22"/>
          <w:szCs w:val="22"/>
        </w:rPr>
        <w:t xml:space="preserve">The orchestrator applies this checklist to every handback before acceptance:</w:t>
      </w:r>
    </w:p>
    <w:p>
      <w:pPr>
        <w:pStyle w:val="ListParagraph"/>
        <w:numPr>
          <w:ilvl w:val="0"/>
          <w:numId w:val="2"/>
        </w:numPr>
        <w:spacing w:before="40" w:after="80"/>
      </w:pPr>
      <w:r>
        <w:rPr>
          <w:rFonts w:ascii="Arial" w:cs="Arial" w:eastAsia="Arial" w:hAnsi="Arial"/>
          <w:color w:val="2C2C2C"/>
          <w:sz w:val="22"/>
          <w:szCs w:val="22"/>
        </w:rPr>
        <w:t xml:space="preserve">All four quality gates are addressed with evidence, not claims.</w:t>
      </w:r>
    </w:p>
    <w:p>
      <w:pPr>
        <w:pStyle w:val="ListParagraph"/>
        <w:numPr>
          <w:ilvl w:val="0"/>
          <w:numId w:val="2"/>
        </w:numPr>
        <w:spacing w:before="40" w:after="80"/>
      </w:pPr>
      <w:r>
        <w:rPr>
          <w:rFonts w:ascii="Arial" w:cs="Arial" w:eastAsia="Arial" w:hAnsi="Arial"/>
          <w:color w:val="2C2C2C"/>
          <w:sz w:val="22"/>
          <w:szCs w:val="22"/>
        </w:rPr>
        <w:t xml:space="preserve">Every delivery contract field has a compliance response with concrete evidence.</w:t>
      </w:r>
    </w:p>
    <w:p>
      <w:pPr>
        <w:pStyle w:val="ListParagraph"/>
        <w:numPr>
          <w:ilvl w:val="0"/>
          <w:numId w:val="2"/>
        </w:numPr>
        <w:spacing w:before="40" w:after="80"/>
      </w:pPr>
      <w:r>
        <w:rPr>
          <w:rFonts w:ascii="Arial" w:cs="Arial" w:eastAsia="Arial" w:hAnsi="Arial"/>
          <w:color w:val="2C2C2C"/>
          <w:sz w:val="22"/>
          <w:szCs w:val="22"/>
        </w:rPr>
        <w:t xml:space="preserve">No files were written speculatively; all require paths reference attached source.</w:t>
      </w:r>
    </w:p>
    <w:p>
      <w:pPr>
        <w:pStyle w:val="ListParagraph"/>
        <w:numPr>
          <w:ilvl w:val="0"/>
          <w:numId w:val="2"/>
        </w:numPr>
        <w:spacing w:before="40" w:after="80"/>
      </w:pPr>
      <w:r>
        <w:rPr>
          <w:rFonts w:ascii="Arial" w:cs="Arial" w:eastAsia="Arial" w:hAnsi="Arial"/>
          <w:color w:val="2C2C2C"/>
          <w:sz w:val="22"/>
          <w:szCs w:val="22"/>
        </w:rPr>
        <w:t xml:space="preserve">The deployment artifact extracts flat with no intermediate directories.</w:t>
      </w:r>
    </w:p>
    <w:p>
      <w:pPr>
        <w:pStyle w:val="ListParagraph"/>
        <w:numPr>
          <w:ilvl w:val="0"/>
          <w:numId w:val="2"/>
        </w:numPr>
        <w:spacing w:before="40" w:after="80"/>
      </w:pPr>
      <w:r>
        <w:rPr>
          <w:rFonts w:ascii="Arial" w:cs="Arial" w:eastAsia="Arial" w:hAnsi="Arial"/>
          <w:color w:val="2C2C2C"/>
          <w:sz w:val="22"/>
          <w:szCs w:val="22"/>
        </w:rPr>
        <w:t xml:space="preserve">No prohibited practices (Sections 4.1 through 4.6) are present in the delivered code.</w:t>
      </w:r>
    </w:p>
    <w:p>
      <w:pPr>
        <w:pStyle w:val="ListParagraph"/>
        <w:numPr>
          <w:ilvl w:val="0"/>
          <w:numId w:val="2"/>
        </w:numPr>
        <w:spacing w:before="40" w:after="80"/>
      </w:pPr>
      <w:r>
        <w:rPr>
          <w:rFonts w:ascii="Arial" w:cs="Arial" w:eastAsia="Arial" w:hAnsi="Arial"/>
          <w:color w:val="2C2C2C"/>
          <w:sz w:val="22"/>
          <w:szCs w:val="22"/>
        </w:rPr>
        <w:t xml:space="preserve">The architecture assessment addresses future rebuild risk explicitly, not generically.</w:t>
      </w:r>
    </w:p>
    <w:p>
      <w:pPr>
        <w:pStyle w:val="ListParagraph"/>
        <w:numPr>
          <w:ilvl w:val="0"/>
          <w:numId w:val="2"/>
        </w:numPr>
        <w:spacing w:before="40" w:after="80"/>
      </w:pPr>
      <w:r>
        <w:rPr>
          <w:rFonts w:ascii="Arial" w:cs="Arial" w:eastAsia="Arial" w:hAnsi="Arial"/>
          <w:color w:val="2C2C2C"/>
          <w:sz w:val="22"/>
          <w:szCs w:val="22"/>
        </w:rPr>
        <w:t xml:space="preserve">If consensus was required, the consensus record includes agreement_score, conflict classifications, and resolution documentation.</w:t>
      </w:r>
    </w:p>
    <w:p>
      <w:pPr>
        <w:pStyle w:val="Heading1"/>
        <w:pageBreakBefore/>
        <w:spacing w:before="360" w:after="120" w:line="276" w:lineRule="auto"/>
      </w:pPr>
      <w:r>
        <w:rPr>
          <w:rFonts w:ascii="Arial" w:cs="Arial" w:eastAsia="Arial" w:hAnsi="Arial"/>
          <w:b/>
          <w:bCs/>
          <w:color w:val="1B2A4A"/>
          <w:sz w:val="36"/>
          <w:szCs w:val="36"/>
        </w:rPr>
        <w:t xml:space="preserve">9. Product Feature Roadmap</w:t>
      </w:r>
    </w:p>
    <w:p>
      <w:pPr>
        <w:spacing w:before="0" w:after="200" w:line="276" w:lineRule="auto"/>
      </w:pPr>
      <w:r>
        <w:rPr>
          <w:rFonts w:ascii="Arial" w:cs="Arial" w:eastAsia="Arial" w:hAnsi="Arial"/>
          <w:color w:val="2C2C2C"/>
          <w:sz w:val="22"/>
          <w:szCs w:val="22"/>
        </w:rPr>
        <w:t xml:space="preserve">The governance mechanisms defined in this paper translate directly into ContextKeeper platform features. The following tables enumerate the planned product features corresponding to the Model Intelligence Layer and the Multi-Model Consensus Engine. Priority ratings reflect commercial dependency ordering: P1 features are required for the system to function at any enterprise level; P2 features add measurable quality improvement; P3 features extend capability to advanced use cases.</w:t>
      </w:r>
    </w:p>
    <w:p>
      <w:pPr>
        <w:pStyle w:val="Heading2"/>
        <w:spacing w:before="240" w:after="80" w:line="276" w:lineRule="auto"/>
      </w:pPr>
      <w:r>
        <w:rPr>
          <w:rFonts w:ascii="Arial" w:cs="Arial" w:eastAsia="Arial" w:hAnsi="Arial"/>
          <w:b/>
          <w:bCs/>
          <w:color w:val="2E75B6"/>
          <w:sz w:val="28"/>
          <w:szCs w:val="28"/>
        </w:rPr>
        <w:t xml:space="preserve">9.1 Model Intelligence Layer Features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Capability Registry</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Normalized catalog of models with context windows, pricing, strengths, weaknesses, and tool support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Complexity Estimator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Analyze repository structure and task type to recommend optimal model for each task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Task-to-Model Recommender</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Per-task model recommendation with confidence score and rationale, queryable by the orchestrator</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Switch Advisor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Live recommendations based on token trajectory, cost signals, and quality indicators from current session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P2</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Benchmark Framework</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Standardized evaluation pipeline for assessing model capability on platform-specific task types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P3</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9.2 Multi-Model Consensus Engine Features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Data Model</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Database tables and structures for proposals, disagreements, reconciliations, and verdicts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Audit Trail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Preserve model positions, reconciled result, agreement metrics, and final human choice with full provenance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Protocol Engine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 contracts governing how models compare outputs and iterate toward convergence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 Comparison Interface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User-facing agreement and disagreement panel with expandable detail per position field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P2</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Resolution Rules Engine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Automated resolution for factual, architectural, and strategic conflict types with configurable thresholds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Agreement Scoring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Quantitative consensus metrics and divergence tracking across task types and model pairings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P2</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Role Registry</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Empirically derived registry of which model is best suited for proposer, auditor, and reconciler roles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P2</w:t>
            </w:r>
          </w:p>
        </w:tc>
      </w:tr>
    </w:tbl>
    <w:p>
      <w:pPr>
        <w:pStyle w:val="Heading1"/>
        <w:pageBreakBefore/>
        <w:spacing w:before="360" w:after="120" w:line="276" w:lineRule="auto"/>
      </w:pPr>
      <w:r>
        <w:rPr>
          <w:rFonts w:ascii="Arial" w:cs="Arial" w:eastAsia="Arial" w:hAnsi="Arial"/>
          <w:b/>
          <w:bCs/>
          <w:color w:val="1B2A4A"/>
          <w:sz w:val="36"/>
          <w:szCs w:val="36"/>
        </w:rPr>
        <w:t xml:space="preserve">10. Staff Engineer Review Rubric</w:t>
      </w:r>
    </w:p>
    <w:p>
      <w:pPr>
        <w:spacing w:before="0" w:after="200" w:line="276" w:lineRule="auto"/>
      </w:pPr>
      <w:r>
        <w:rPr>
          <w:rFonts w:ascii="Arial" w:cs="Arial" w:eastAsia="Arial" w:hAnsi="Arial"/>
          <w:color w:val="2C2C2C"/>
          <w:sz w:val="22"/>
          <w:szCs w:val="22"/>
        </w:rPr>
        <w:t xml:space="preserve">The Staff Engineer Review Rubric encodes the questions a staff-level engineer would ask when reviewing a pull request for a production enterprise system. It operationalizes the Architecture Gate (Section 3.2.4) by providing concrete pass and fail conditions. Table 17 presents the complete rubric.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Review Question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PASS Condition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 Condition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Final-grade architecture?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Handles current and known future requirements without structural changes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Works today but requires schema migration or interface changes for roadmap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Avoided local optimization causing rebuild?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Component boundaries align with domain boundaries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Convenience shortcut creating rebuild debt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model extensible?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accommodates new fields and entity types without migration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Hardcoded enums, missing indexes, tight coupling between independent tables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Interfaces stable and versionable?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Public interfaces use explicit contracts; internal changes do not break consumers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Consumers depend on implementation details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modes explicit?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Every external call has error handling; failures logged; graceful degradation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Happy path works; error paths throw generic exceptions or fail silently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Observable and testable?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Significant operations logged; state changes auditable; test endpoints exist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logging; verification requires manual database inspection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Idempotent where required?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Re-running produces same result; deduplication in place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Repeated operations create duplicates or mutate accumulating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Proof strong enough for enterprise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Concrete evidence: API responses, database state, behavioral verification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Claims without evidence; UNTESTED without alternatives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Security built in?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 on every endpoint; validation on every parameter; ownership verification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Security deferred to a subsequent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Reproducible and operable by another engineer?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deployment; actionable errors; no tribal knowledge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Requires original author to interpret steps or explain context</w:t>
            </w:r>
          </w:p>
        </w:tc>
      </w:tr>
    </w:tbl>
    <w:p>
      <w:pPr>
        <w:spacing w:before="120" w:after="0"/>
      </w:pPr>
    </w:p>
    <w:p>
      <w:pPr>
        <w:spacing w:before="0" w:after="200" w:line="276" w:lineRule="auto"/>
      </w:pPr>
      <w:r>
        <w:rPr>
          <w:rFonts w:ascii="Arial" w:cs="Arial" w:eastAsia="Arial" w:hAnsi="Arial"/>
          <w:color w:val="2C2C2C"/>
          <w:sz w:val="22"/>
          <w:szCs w:val="22"/>
        </w:rPr>
        <w:t xml:space="preserve">The rubric is applied by the orchestrator during handback review. A single FAIL condition on any rubric item is sufficient to trigger rejection and initiate a correction cycle. The rubric does not replace the four quality gates; it augments the Architecture Gate with concrete, actionable criteria that reduce the subjectivity of architectural review.</w:t>
      </w:r>
    </w:p>
    <w:p>
      <w:pPr>
        <w:pStyle w:val="Heading1"/>
        <w:pageBreakBefore/>
        <w:spacing w:before="360" w:after="120" w:line="276" w:lineRule="auto"/>
      </w:pPr>
      <w:r>
        <w:rPr>
          <w:rFonts w:ascii="Arial" w:cs="Arial" w:eastAsia="Arial" w:hAnsi="Arial"/>
          <w:b/>
          <w:bCs/>
          <w:color w:val="1B2A4A"/>
          <w:sz w:val="36"/>
          <w:szCs w:val="36"/>
        </w:rPr>
        <w:t xml:space="preserve">11. Extended Assurance Layers</w:t>
      </w:r>
    </w:p>
    <w:p>
      <w:pPr>
        <w:spacing w:before="0" w:after="200" w:line="276" w:lineRule="auto"/>
      </w:pPr>
      <w:r>
        <w:rPr>
          <w:rFonts w:ascii="Arial" w:cs="Arial" w:eastAsia="Arial" w:hAnsi="Arial"/>
          <w:color w:val="2C2C2C"/>
          <w:sz w:val="22"/>
          <w:szCs w:val="22"/>
        </w:rPr>
        <w:t xml:space="preserve">The six mechanisms defined in Sections 3 through 6 govern the execution boundary. Enterprise systems operating at scale require assurance beyond the execution boundary. This section defines six additional layers extending governance into verification, monitoring, adaptive learning, risk quantification, traceability, and reproducibility. Together with the core framework, these layers form a complete assurance architecture.</w:t>
      </w:r>
    </w:p>
    <w:p>
      <w:pPr>
        <w:pStyle w:val="Heading2"/>
        <w:spacing w:before="240" w:after="80" w:line="276" w:lineRule="auto"/>
      </w:pPr>
      <w:r>
        <w:rPr>
          <w:rFonts w:ascii="Arial" w:cs="Arial" w:eastAsia="Arial" w:hAnsi="Arial"/>
          <w:b/>
          <w:bCs/>
          <w:color w:val="2E75B6"/>
          <w:sz w:val="28"/>
          <w:szCs w:val="28"/>
        </w:rPr>
        <w:t xml:space="preserve">11.1 Formal Invariant Enforcement Layer</w:t>
      </w:r>
    </w:p>
    <w:p>
      <w:pPr>
        <w:spacing w:before="0" w:after="200" w:line="276" w:lineRule="auto"/>
      </w:pPr>
      <w:r>
        <w:rPr>
          <w:rFonts w:ascii="Arial" w:cs="Arial" w:eastAsia="Arial" w:hAnsi="Arial"/>
          <w:color w:val="2C2C2C"/>
          <w:sz w:val="22"/>
          <w:szCs w:val="22"/>
        </w:rPr>
        <w:t xml:space="preserve">The Enterprise Delivery Contract (Section 3.1) requires that system invariants be declared and that the executor report HELD or VIOLATED status in the handback. This is a claim-based assurance model: the executor asserts that invariants hold, and the orchestrator evaluates the assertion. Claim-based assurance is necessary but not sufficient for enterprise systems where invariant violations can corrupt data, breach security boundaries, or cause cascading failures.</w:t>
      </w:r>
    </w:p>
    <w:p>
      <w:pPr>
        <w:spacing w:before="0" w:after="200" w:line="276" w:lineRule="auto"/>
      </w:pPr>
      <w:r>
        <w:rPr>
          <w:rFonts w:ascii="Arial" w:cs="Arial" w:eastAsia="Arial" w:hAnsi="Arial"/>
          <w:color w:val="2C2C2C"/>
          <w:sz w:val="22"/>
          <w:szCs w:val="22"/>
        </w:rPr>
        <w:t xml:space="preserve">The Formal Invariant Enforcement Layer elevates assurance from claim-based to proof-based. Invariants are expressed not only as natural-language assertions but as executable checks that the system validates automatically, either pre-deploy (before deployment) or post-deploy (as runtime monitors). LLM-generated invariant synthesis is now reaching practical viability: Ma et al. (SpecGen, ICSE 2025) generated verifiable formal specifications for 279 of 385 programs (72.5%); Sun et al. (ClassInvGen, 2025) improved class invariant correctness from 77% to 100% through invariant-test co-generation; Wu et al. (LaM4Inv, ASE 2024) generated correct loop invariants for 309 of 316 benchmark problems. These results establish LLM-generated invariants as a deployable, not just theoretical, capability. Table 18 defines the invariant classes, formalization approaches, and verification methods.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Invariant Class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Formalization Approach</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Verification Method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Database constraints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CHECK constraints, UNIQUE indexes, foreign key relationships, trigger-based assertions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at schema level; violations produce database errors rather than silent corruption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API contracts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Input schema validation, output schema validation, status code assertions, header requirements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at the API gateway or middleware layer; contract violations return structured errors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transitions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Finite state machine definitions with explicit valid transitions; invalid transitions rejected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in application logic; transition attempts outside the defined FSM are blocked and logged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Idempotency guarantees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 all pairs of identical inputs: if input_set_i equals input_set_j then state after run_i equals state after run_j</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by deduplication mechanisms and verified by re-execution tests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integrity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Referential integrity assertions, value range constraints, format validations, consistency checks across related tables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by database constraints and application-level validation layers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Security boundaries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Authentication required on all non-public endpoints; authorization checked for all resource access; input sanitized against injection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by middleware enforcement and automated security scanning</w:t>
            </w:r>
          </w:p>
        </w:tc>
      </w:tr>
    </w:tbl>
    <w:p>
      <w:pPr>
        <w:spacing w:before="120" w:after="0"/>
      </w:pPr>
    </w:p>
    <w:p>
      <w:pPr>
        <w:spacing w:before="0" w:after="200" w:line="276" w:lineRule="auto"/>
      </w:pPr>
      <w:r>
        <w:rPr>
          <w:rFonts w:ascii="Arial" w:cs="Arial" w:eastAsia="Arial" w:hAnsi="Arial"/>
          <w:color w:val="2C2C2C"/>
          <w:sz w:val="22"/>
          <w:szCs w:val="22"/>
        </w:rPr>
        <w:t xml:space="preserve">11.1.2 Verification Modes. Formal verification operates in two modes. Pre-deploy verification validates invariants against the deliverable before it reaches production: schema constraints are checked against migration scripts, API contracts are validated against endpoint implementations, and state transition logic is reviewed against the defined finite state machine. Post-deploy verification validates invariants in the running system: runtime monitors check that database constraints hold, API responses conform to contracts, and state transitions follow the defined paths. Violations trigger alerts, not silent degradation.</w:t>
      </w:r>
    </w:p>
    <w:p>
      <w:pPr>
        <w:pBdr>
          <w:left w:val="single" w:color="2E75B6" w:sz="6" w:space="8"/>
        </w:pBdr>
        <w:spacing w:before="120" w:after="200"/>
        <w:ind w:left="720"/>
      </w:pPr>
      <w:r>
        <w:rPr>
          <w:rFonts w:ascii="Arial" w:cs="Arial" w:eastAsia="Arial" w:hAnsi="Arial"/>
          <w:i/>
          <w:iCs/>
          <w:color w:val="555555"/>
          <w:sz w:val="22"/>
          <w:szCs w:val="22"/>
        </w:rPr>
        <w:t xml:space="preserve">The goal is to transition from a model claiming an invariant holds to the system proving an invariant holds. This distinction is the difference between auditable governance and auditable compliance.</w:t>
      </w:r>
    </w:p>
    <w:p>
      <w:pPr>
        <w:pStyle w:val="Heading2"/>
        <w:spacing w:before="240" w:after="80" w:line="276" w:lineRule="auto"/>
      </w:pPr>
      <w:r>
        <w:rPr>
          <w:rFonts w:ascii="Arial" w:cs="Arial" w:eastAsia="Arial" w:hAnsi="Arial"/>
          <w:b/>
          <w:bCs/>
          <w:color w:val="2E75B6"/>
          <w:sz w:val="28"/>
          <w:szCs w:val="28"/>
        </w:rPr>
        <w:t xml:space="preserve">11.2 System Drift Monitoring</w:t>
      </w:r>
    </w:p>
    <w:p>
      <w:pPr>
        <w:spacing w:before="0" w:after="200" w:line="276" w:lineRule="auto"/>
      </w:pPr>
      <w:r>
        <w:rPr>
          <w:rFonts w:ascii="Arial" w:cs="Arial" w:eastAsia="Arial" w:hAnsi="Arial"/>
          <w:color w:val="2C2C2C"/>
          <w:sz w:val="22"/>
          <w:szCs w:val="22"/>
        </w:rPr>
        <w:t xml:space="preserve">Context drift (Section 2.4, the accumulation problem) occurs at the process level when orchestration state is lost between sessions. System drift is the broader phenomenon: any gradual, undetected divergence between the system's actual behavior and its intended behavior. Enterprise systems are particularly vulnerable to drift because they operate continuously, are modified incrementally, and depend on external services that evolve independently.</w:t>
      </w:r>
    </w:p>
    <w:p>
      <w:pPr>
        <w:spacing w:before="0" w:after="200" w:line="276" w:lineRule="auto"/>
      </w:pPr>
      <w:r>
        <w:rPr>
          <w:rFonts w:ascii="Arial" w:cs="Arial" w:eastAsia="Arial" w:hAnsi="Arial"/>
          <w:color w:val="2C2C2C"/>
          <w:sz w:val="22"/>
          <w:szCs w:val="22"/>
        </w:rPr>
        <w:t xml:space="preserve">The operational risk of model drift is not theoretical. Chen, Zaharia and Zou (Harvard Data Science Review, 2023) documented GPT-4's directly executable code generation dropping from 52.0% to 10.0% between March and June 2023 -- a 42-percentage-point decline over three months with no external notification. For an AI-orchestrated development pipeline, this kind of silent model behavior change produces governance failures that are indistinguishable from executor errors until retrospective analysis. The Model Capability Registry's deprecation_status field and the System Drift Monitoring layer exist specifically to detect and surface this class of failure. Table 19 defines the drift taxonomy.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Drift Type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Detection Method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 drift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Interface mismatches introduced by incremental modifications; methods added, renamed, or removed without updating all consumers</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Baseline interface snapshots compared against current codebase; automated contract 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Behavioral drift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outputs change over time for identical inputs, due to data accumulation, configuration changes, or dependency updates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Golden-set regression tests: store known input-output pairs and verify periodically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drift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Language model updates change reasoning patterns, instruction-following fidelity, or output formatting without notification</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version tracking in the capability registry; periodic re-evaluation against benchmark tasks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drift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Database schema evolves in ways that break assumptions embedded in application code or prior architectural decisions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version tracking; automated comparison of expected schema against actual production schema</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 drift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consumption, API call volume, or infrastructure costs increase gradually beyond budget parameters</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 baseline tracking; anomaly detection on per-task and per-iteration cost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Scoring drift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Ranking or matching algorithm outputs shift due to data volume changes, distribution changes, or accumulated test artifacts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Distribution monitoring on scoring outputs; statistical comparison against baseline score distributions</w:t>
            </w:r>
          </w:p>
        </w:tc>
      </w:tr>
    </w:tbl>
    <w:p>
      <w:pPr>
        <w:spacing w:before="120" w:after="0"/>
      </w:pPr>
    </w:p>
    <w:p>
      <w:pPr>
        <w:spacing w:before="0" w:after="200" w:line="276" w:lineRule="auto"/>
      </w:pPr>
      <w:r>
        <w:rPr>
          <w:rFonts w:ascii="Arial" w:cs="Arial" w:eastAsia="Arial" w:hAnsi="Arial"/>
          <w:color w:val="2C2C2C"/>
          <w:sz w:val="22"/>
          <w:szCs w:val="22"/>
        </w:rPr>
        <w:t xml:space="preserve">Drift monitoring requires three components: baseline snapshots (the known-good state against which drift is measured), delta tracking (continuous comparison of current state against baselines), and anomaly detection (statistical methods that distinguish normal variation from meaningful drift). Baselines are captured at deployment boundaries. Deltas are computed continuously or on a defined schedule. Anomalies trigger alerts when deltas exceed configurable thresholds.</w:t>
      </w:r>
    </w:p>
    <w:p>
      <w:pPr>
        <w:pStyle w:val="Heading2"/>
        <w:spacing w:before="240" w:after="80" w:line="276" w:lineRule="auto"/>
      </w:pPr>
      <w:r>
        <w:rPr>
          <w:rFonts w:ascii="Arial" w:cs="Arial" w:eastAsia="Arial" w:hAnsi="Arial"/>
          <w:b/>
          <w:bCs/>
          <w:color w:val="2E75B6"/>
          <w:sz w:val="28"/>
          <w:szCs w:val="28"/>
        </w:rPr>
        <w:t xml:space="preserve">11.3 Outcome-Based Reinforcement Layer</w:t>
      </w:r>
    </w:p>
    <w:p>
      <w:pPr>
        <w:spacing w:before="0" w:after="200" w:line="276" w:lineRule="auto"/>
      </w:pPr>
      <w:r>
        <w:rPr>
          <w:rFonts w:ascii="Arial" w:cs="Arial" w:eastAsia="Arial" w:hAnsi="Arial"/>
          <w:color w:val="2C2C2C"/>
          <w:sz w:val="22"/>
          <w:szCs w:val="22"/>
        </w:rPr>
        <w:t xml:space="preserve">The core governance framework is static: rules are defined, gates are evaluated, consensus is reached, and decisions are recorded. It does not learn from outcomes. A model that consistently produces handbacks requiring correction cycles is treated identically to a model that consistently produces deployable-on-first-attempt output. The Outcome-Based Reinforcement Layer closes this gap by tracking the downstream consequences of model decisions and feeding those outcomes back into the governance system's operating parameters. Table 20 defines the reinforcement mechanisms.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Outcome Signal</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Reinforcement Action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Effect on Governance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Repeated first-attempt gate failures by a specific model on a task type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Reduce that model's recommendation score for that task type in the capability registry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routes fewer tasks of that type to the underperforming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Consistent first-attempt success by a specific model on a task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Increase that model's recommendation score for that task type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preferentially routes matching tasks to the high-performing model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Architectural decisions that required rebuild within the observation period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Flag the decision pattern; increase Architecture Gate scrutiny for similar future decisions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applies higher scrutiny to architecturally similar future tasks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 correction-cycle count on tasks with low consensus agreement scores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Lower the consensus threshold required to trigger escalation for similar task profiles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escalates to human arbitration earlier for task types that historically produce low-quality automated consensus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Cost overruns on specific task types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Update the cost estimation model for that task type; flag for human budget review</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produces more accurate cost estimates and triggers budget alerts earlier</w:t>
            </w:r>
          </w:p>
        </w:tc>
      </w:tr>
    </w:tbl>
    <w:p>
      <w:pPr>
        <w:spacing w:before="120" w:after="0"/>
      </w:pPr>
    </w:p>
    <w:p>
      <w:pPr>
        <w:pBdr>
          <w:left w:val="single" w:color="2E75B6" w:sz="6" w:space="8"/>
        </w:pBdr>
        <w:spacing w:before="120" w:after="200"/>
        <w:ind w:left="720"/>
      </w:pPr>
      <w:r>
        <w:rPr>
          <w:rFonts w:ascii="Arial" w:cs="Arial" w:eastAsia="Arial" w:hAnsi="Arial"/>
          <w:i/>
          <w:iCs/>
          <w:color w:val="555555"/>
          <w:sz w:val="22"/>
          <w:szCs w:val="22"/>
        </w:rPr>
        <w:t xml:space="preserve">This transforms the governance framework from static governance into adaptive intelligence: a system that becomes more effective over time by learning which models, which consensus patterns, and which architectural approaches produce the best outcomes for each class of engineering task.</w:t>
      </w:r>
    </w:p>
    <w:p>
      <w:pPr>
        <w:pStyle w:val="Heading2"/>
        <w:spacing w:before="240" w:after="80" w:line="276" w:lineRule="auto"/>
      </w:pPr>
      <w:r>
        <w:rPr>
          <w:rFonts w:ascii="Arial" w:cs="Arial" w:eastAsia="Arial" w:hAnsi="Arial"/>
          <w:b/>
          <w:bCs/>
          <w:color w:val="2E75B6"/>
          <w:sz w:val="28"/>
          <w:szCs w:val="28"/>
        </w:rPr>
        <w:t xml:space="preserve">11.4 Quantified Risk Model</w:t>
      </w:r>
    </w:p>
    <w:p>
      <w:pPr>
        <w:spacing w:before="0" w:after="200" w:line="276" w:lineRule="auto"/>
      </w:pPr>
      <w:r>
        <w:rPr>
          <w:rFonts w:ascii="Arial" w:cs="Arial" w:eastAsia="Arial" w:hAnsi="Arial"/>
          <w:color w:val="2C2C2C"/>
          <w:sz w:val="22"/>
          <w:szCs w:val="22"/>
        </w:rPr>
        <w:t xml:space="preserve">The Task Governance Schema (Section 3.4) classifies risk qualitatively: enterprise_criticality is an enumerated value, and future_rebuild_risk is a similar qualitative assessment. Qualitative risk classification is sufficient for task routing and gate selection but insufficient for cost-benefit analysis, resource allocation, and automated escalation decisions. Enterprise systems require quantified risk.</w:t>
      </w:r>
    </w:p>
    <w:p>
      <w:pPr>
        <w:spacing w:before="0" w:after="200" w:line="276" w:lineRule="auto"/>
      </w:pPr>
      <w:r>
        <w:rPr>
          <w:rFonts w:ascii="Arial" w:cs="Arial" w:eastAsia="Arial" w:hAnsi="Arial"/>
          <w:color w:val="2C2C2C"/>
          <w:sz w:val="22"/>
          <w:szCs w:val="22"/>
        </w:rPr>
        <w:t xml:space="preserve">11.4.1 Risk Quantification Formula. Each task produces three quantitative risk metrics: the probability of failure (estimated from historical outcome data for similar task types, adjusted by model capability and consensus agreement score); the impact score (estimated from the task's enterprise_criticality, the number of dependent systems, and the blast radius of a failure); and the expected cost of failure (estimated from historical correction cycle costs for similar failures). These combine into a single expected risk value:</w:t>
      </w:r>
    </w:p>
    <w:p>
      <w:pPr>
        <w:pBdr>
          <w:left w:val="single" w:color="2E75B6" w:sz="6" w:space="8"/>
        </w:pBdr>
        <w:spacing w:before="120" w:after="200"/>
        <w:ind w:left="720"/>
      </w:pPr>
      <w:r>
        <w:rPr>
          <w:rFonts w:ascii="Arial" w:cs="Arial" w:eastAsia="Arial" w:hAnsi="Arial"/>
          <w:i/>
          <w:iCs/>
          <w:color w:val="555555"/>
          <w:sz w:val="22"/>
          <w:szCs w:val="22"/>
        </w:rPr>
        <w:t xml:space="preserve">Expected Risk = P(failure) x Cost(failure)</w:t>
      </w:r>
    </w:p>
    <w:p>
      <w:pPr>
        <w:spacing w:before="0" w:after="200" w:line="276" w:lineRule="auto"/>
      </w:pPr>
      <w:r>
        <w:rPr>
          <w:rFonts w:ascii="Arial" w:cs="Arial" w:eastAsia="Arial" w:hAnsi="Arial"/>
          <w:color w:val="2C2C2C"/>
          <w:sz w:val="22"/>
          <w:szCs w:val="22"/>
        </w:rPr>
        <w:t xml:space="preserve">where P(failure) is derived from the Outcome-Based Reinforcement Layer's historical data for the specific combination of task type, assigned model, and consensus configuration, and Cost(failure) is derived from historical correction cycle durations, deployment rollback costs, and downstream impact assessments. P(failure) is an estimated decision heuristic derived from historical outcomes -- not a statistical guarantee. The formula provides a consistent basis for automation decisions while acknowledging that estimation uncertainty increases for novel task types without historical data.</w:t>
      </w:r>
    </w:p>
    <w:p>
      <w:pPr>
        <w:spacing w:before="0" w:after="200" w:line="276" w:lineRule="auto"/>
      </w:pPr>
      <w:r>
        <w:rPr>
          <w:rFonts w:ascii="Arial" w:cs="Arial" w:eastAsia="Arial" w:hAnsi="Arial"/>
          <w:color w:val="2C2C2C"/>
          <w:sz w:val="22"/>
          <w:szCs w:val="22"/>
        </w:rPr>
        <w:t xml:space="preserve">11.4.2 Risk-Driven Automation. Table 21 maps risk threshold levels to automated governance actions.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Risk Threshold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Automated Action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Expected Risk below low threshold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Single-model execution, standard quality gates, no consensus required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Low-risk tasks do not justify the overhead of multi-model consensus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Expected Risk between low and medium thresholds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Single-model execution with post-hoc cross-model audit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Moderate risk warrants independent verification but not full deliberation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Expected Risk between medium and high thresholds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multi-model consensus required before execution proceeds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 risk justifies the cost of multi-model deliberation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Expected Risk above high 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Human approval required regardless of consensus outcome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Very high risk requires human judgment; automated systems provide analysis but not authorization</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11.5 Execution Trace Graph</w:t>
      </w:r>
    </w:p>
    <w:p>
      <w:pPr>
        <w:spacing w:before="0" w:after="200" w:line="276" w:lineRule="auto"/>
      </w:pPr>
      <w:r>
        <w:rPr>
          <w:rFonts w:ascii="Arial" w:cs="Arial" w:eastAsia="Arial" w:hAnsi="Arial"/>
          <w:color w:val="2C2C2C"/>
          <w:sz w:val="22"/>
          <w:szCs w:val="22"/>
        </w:rPr>
        <w:t xml:space="preserve">The governance framework produces a rich set of artifacts: task specifications, delivery contracts, handback reports, quality gate evaluations, consensus records, outcome measurements, and drift signals. In isolation, each artifact serves its immediate purpose. Connected into a graph structure, they enable capabilities that no single artifact can provide. Table 22 defines the graph node types and their relationships.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Node Type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Relationships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Specification, delivery contract, governance metadata</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Depends-on (other tasks), parent-of (child tasks), assigned-to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record, structured positions, resolution outcome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Made-for (task), informed-by (evidence), resolved-by (operator or model)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Output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Handback content, quality gate results, verification evidence</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Produced-by (model), satisfies (task), evaluated-by (auditor)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Event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Proposer positions, reconciliation record, agreement metrics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Part-of (decision), involved (models), escalated-to (operator if applicable)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Deployment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 manifest, deployment steps, verification results</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Deploys (model output), affects (system components), rollback-to (previous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Outcome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pass or fail, correction cycles, runtime errors, rebuild events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Measures (deployment), feeds-back-to (model registry, risk model, consensus weights)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Drift Signal</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Detected anomaly, baseline comparison, threshold breach</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Detected-in (system component), traced-to (deployment or decision)</w:t>
            </w:r>
          </w:p>
        </w:tc>
      </w:tr>
    </w:tbl>
    <w:p>
      <w:pPr>
        <w:spacing w:before="120" w:after="0"/>
      </w:pPr>
    </w:p>
    <w:p>
      <w:pPr>
        <w:spacing w:before="0" w:after="200" w:line="276" w:lineRule="auto"/>
      </w:pPr>
      <w:r>
        <w:rPr>
          <w:rFonts w:ascii="Arial" w:cs="Arial" w:eastAsia="Arial" w:hAnsi="Arial"/>
          <w:color w:val="2C2C2C"/>
          <w:sz w:val="22"/>
          <w:szCs w:val="22"/>
        </w:rPr>
        <w:t xml:space="preserve">The graph enables three operational capabilities: audit replay (traverse the graph backward from any production incident to reconstruct the full chain of reasoning), root cause tracing (identify not only the proximate cause of a failure but the systemic cause: which decision, which model, which consensus gap, or which missing delivery contract field enabled it), and compliance reporting (produce a complete, machine-readable record of every decision, every model involved, every human approval, and every outcome measurement for regulatory frameworks that require audit trails).</w:t>
      </w:r>
    </w:p>
    <w:p>
      <w:pPr>
        <w:pStyle w:val="Heading2"/>
        <w:spacing w:before="240" w:after="80" w:line="276" w:lineRule="auto"/>
      </w:pPr>
      <w:r>
        <w:rPr>
          <w:rFonts w:ascii="Arial" w:cs="Arial" w:eastAsia="Arial" w:hAnsi="Arial"/>
          <w:b/>
          <w:bCs/>
          <w:color w:val="2E75B6"/>
          <w:sz w:val="28"/>
          <w:szCs w:val="28"/>
        </w:rPr>
        <w:t xml:space="preserve">11.6 Reproducibility Contract</w:t>
      </w:r>
    </w:p>
    <w:p>
      <w:pPr>
        <w:spacing w:before="0" w:after="200" w:line="276" w:lineRule="auto"/>
      </w:pPr>
      <w:r>
        <w:rPr>
          <w:rFonts w:ascii="Arial" w:cs="Arial" w:eastAsia="Arial" w:hAnsi="Arial"/>
          <w:color w:val="2C2C2C"/>
          <w:sz w:val="22"/>
          <w:szCs w:val="22"/>
        </w:rPr>
        <w:t xml:space="preserve">Reproducibility is referenced throughout this framework as a desirable property. For enterprise systems, particularly in regulated industries, it is an enforceable requirement: any engineering decision, any model output, and any deployment must be reproducible. Given the same inputs, the same process must produce the same outputs, and this must be verifiable by an independent party. Table 23 defines the minimum required state capture.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Reproducibility Field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Content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Input manifest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 list of all inputs: attached source files with content hashes, execution prompt verbatim, delivery contract verbatim</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reconstruction of the exact input state for reproduction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identification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 model identifier, version string, and provider API endpoint used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Ensures the same model version can be targeted for reproduction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 version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Hash of the complete prompt including system instructions, execution prompt, and all attached content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Detects prompt modifications that could change model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Environment configuration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Runtime environment specification: language version, database version, hosting platform, dependency versions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Ensures environmental factors that affect output are captured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parameters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Temperature, max tokens, top-p, and any other model parameters that affect output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Ensures non-deterministic parameters are recorded for probabilistic reproduction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Output manifest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 deliverable with content hashes, handback report, quality gate results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Provides the target output for reproduction comparison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Timestamp and sequence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start time, completion time, and position in the task dependency graph</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Enables temporal ordering and dependency chain reconstruction</w:t>
            </w:r>
          </w:p>
        </w:tc>
      </w:tr>
    </w:tbl>
    <w:p>
      <w:pPr>
        <w:spacing w:before="120" w:after="0"/>
      </w:pPr>
    </w:p>
    <w:p>
      <w:pPr>
        <w:spacing w:before="0" w:after="200" w:line="276" w:lineRule="auto"/>
      </w:pPr>
      <w:r>
        <w:rPr>
          <w:rFonts w:ascii="Arial" w:cs="Arial" w:eastAsia="Arial" w:hAnsi="Arial"/>
          <w:color w:val="2C2C2C"/>
          <w:sz w:val="22"/>
          <w:szCs w:val="22"/>
        </w:rPr>
        <w:t xml:space="preserve">11.6.2 Reproduction Protocol. Full reproduction (identical output) is achievable only when the model's execution is deterministic (temperature = 0 and the same model version is available). As documented in Section 2.6, temperature=0 does not guarantee deterministic outputs: Atil et al. (2025) found accuracy variations up to 15% across identical runs at temperature=0, with non-determinism rooted in batch-size-dependent GPU kernel computation that scales with server load. Statistical reproduction (output within acceptable variance) is therefore the standard: the reproduction is considered successful if the output satisfies all quality gates and the delivery contract, even if the specific tokens differ. The reproduction protocol specifies: any task marked enterprise_criticality = platform-critical must achieve statistical reproduction; any task marked quality_tier = regulated-enterprise must include a reproduction verification as part of its acceptance criteria; and the reproducibility state capture must be stored in the execution trace graph for audit access.</w:t>
      </w:r>
    </w:p>
    <w:p>
      <w:pPr>
        <w:pStyle w:val="Heading1"/>
        <w:pageBreakBefore/>
        <w:spacing w:before="360" w:after="120" w:line="276" w:lineRule="auto"/>
      </w:pPr>
      <w:r>
        <w:rPr>
          <w:rFonts w:ascii="Arial" w:cs="Arial" w:eastAsia="Arial" w:hAnsi="Arial"/>
          <w:b/>
          <w:bCs/>
          <w:color w:val="1B2A4A"/>
          <w:sz w:val="36"/>
          <w:szCs w:val="36"/>
        </w:rPr>
        <w:t xml:space="preserve">12. Benchmark Comparison and KPI Framework</w:t>
      </w:r>
    </w:p>
    <w:p>
      <w:pPr>
        <w:spacing w:before="0" w:after="200" w:line="276" w:lineRule="auto"/>
      </w:pPr>
      <w:r>
        <w:rPr>
          <w:rFonts w:ascii="Arial" w:cs="Arial" w:eastAsia="Arial" w:hAnsi="Arial"/>
          <w:color w:val="2C2C2C"/>
          <w:sz w:val="22"/>
          <w:szCs w:val="22"/>
        </w:rPr>
        <w:t xml:space="preserve">This section provides the quantitative framework for measuring the governance framework's performance in production, comparing it to published benchmarks, and defining the KPIs operators should track.</w:t>
      </w:r>
    </w:p>
    <w:p>
      <w:pPr>
        <w:pStyle w:val="Heading2"/>
        <w:spacing w:before="240" w:after="80" w:line="276" w:lineRule="auto"/>
      </w:pPr>
      <w:r>
        <w:rPr>
          <w:rFonts w:ascii="Arial" w:cs="Arial" w:eastAsia="Arial" w:hAnsi="Arial"/>
          <w:b/>
          <w:bCs/>
          <w:color w:val="2E75B6"/>
          <w:sz w:val="28"/>
          <w:szCs w:val="28"/>
        </w:rPr>
        <w:t xml:space="preserve">12.1 Production Case Study Metrics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Observed Value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documented production failures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Each has direct one-to-one mapping to a governance mechanism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correction cycles incurred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Across two consecutive development iterations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Engineering time spent on rework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~60%</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Across two consecutive development iterations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Speculative implementation correction cost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Consistent with Boehm &amp; Basili (2001) and Menzies et al. (2017) empirical ranges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categories: information boundary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 of 7</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Speculative require, interface rewrite, silent overwrite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categories: contract 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 of 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Test pollution, unbounded scoring, live API calls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categories: deployment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 of 7</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Nested deployment directory</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12.2 KPI Definitions and Targets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Formula</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Deviation Meaning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First-Attempt Gate Pass Rate (FAGPR)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passing all 4 gates on first submission / total tasks x 100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80%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80%: governance is catching frequent defects -- examine which gate fails most and whether Delivery Contract completeness can be improved upstream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Speculative Implementation Rate (SIR)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triggering Source Truth stop-work / total tasks x 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Above 5%: orchestrators are issuing prompts without attached source; enforcement and training needed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Agreement Score (CAS)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Mean agreement_score across all consensus decisions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0.75</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0.75: models are systematically disagreeing; review Delivery Contract ambiguity and model pair correlation per Kim et al. (ICML 2025) guidance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Correction Cycle Ratio (CCR)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correction cycles / total tasks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0.25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Above 0.25: rework exceeds 25% of task throughput; review which failure modes are recurring and whether gate strictness needs adjustment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Drift Detection Latency (DDL)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Mean hours from drift onset to alert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24h</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Above 24h: monitoring baselines or thresholds need tightening; model behavior changes may be going undetected for extended periods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Reproducibility Compliance Rate (RCR)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Platform-critical tasks with complete reproducibility state capture / total platform-critical tasks x 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platform-critical tasks are being closed without the state capture required for regulated-enterprise compliance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Replay Success Rate (DRSR)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Successful replays satisfying all quality gates from the same sealed reproducibility record / total replay attempts x 100</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reproducibility records are incomplete or environment capture is insufficient; review input manifest completeness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Zero-Regression Rate (ZRR)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sealed with zero CI regressions introduced across the full task lifecycle / total sealed tasks x 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90%: agent-generated changes are accumulating regressions; strengthen pre-seal CI gates and invariant coverage for high-impact modules. Mirrors the SWE-CI zero-regression rate construct (Chen et al., arXiv:2603.03823, 2026)</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12.3 Industry Benchmark Comparisons</w:t>
      </w:r>
    </w:p>
    <w:p>
      <w:pPr>
        <w:spacing w:before="0" w:after="200" w:line="276" w:lineRule="auto"/>
      </w:pPr>
      <w:r>
        <w:rPr>
          <w:rFonts w:ascii="Arial" w:cs="Arial" w:eastAsia="Arial" w:hAnsi="Arial"/>
          <w:color w:val="2C2C2C"/>
          <w:sz w:val="22"/>
          <w:szCs w:val="22"/>
        </w:rPr>
        <w:t xml:space="preserve">The following comparisons situate the framework's mechanisms against published benchmarks from independent research.</w:t>
      </w:r>
    </w:p>
    <w:p>
      <w:pPr>
        <w:spacing w:before="0" w:after="200" w:line="276" w:lineRule="auto"/>
      </w:pPr>
      <w:r>
        <w:rPr>
          <w:rFonts w:ascii="Arial" w:cs="Arial" w:eastAsia="Arial" w:hAnsi="Arial"/>
          <w:color w:val="2C2C2C"/>
          <w:sz w:val="22"/>
          <w:szCs w:val="22"/>
        </w:rPr>
        <w:t xml:space="preserve">AI coding agent quality without governance frameworks. SWE-CI (Chen et al., arXiv:2603.03823, Alibaba Research, March 2026) is the first repository-level benchmark built on the Continuous Integration loop, covering 100 tasks across 68 repositories with an average evolution history of 233 days and 71 consecutive commits. SWE-CI reports a zero-regression rate metric -- the proportion of benchmark samples in which no regression occurs across the entire maintenance trajectory. Most evaluated models achieve a zero-regression rate below 0.25, with only two Claude-opus models exceeding 0.5. This matters for WP-002 because SWE-CI explicitly evaluates sustained maintainability over realistic evolutionary histories: the correct governance target is not 'passes the current test suite' but 'minimizes regressions across sequential modifications,' which is exactly what DEL-v2's fail-closed sealing discipline and WP-002's Architecture Gate are designed to enforce.</w:t>
      </w:r>
    </w:p>
    <w:p>
      <w:pPr>
        <w:spacing w:before="0" w:after="200" w:line="276" w:lineRule="auto"/>
      </w:pPr>
      <w:r>
        <w:rPr>
          <w:rFonts w:ascii="Arial" w:cs="Arial" w:eastAsia="Arial" w:hAnsi="Arial"/>
          <w:color w:val="2C2C2C"/>
          <w:sz w:val="22"/>
          <w:szCs w:val="22"/>
        </w:rPr>
        <w:t xml:space="preserve">SWE-CI's headline result is best interpreted through its own regression metric rather than as an agent breakage rate. Chen et al. define and report the zero-regression rate operationally via CI test outcomes. For operators, DEL-v2's Architecture Gate and ZRR KPI should be evaluated against SWE-CI's concept of 'regression under evolution': the protocol prevents forward progress from an unverified state by requiring CI-pass gates before a seal and by forcing breach recovery to rewind to the last cryptographically verified milestone. SWE-Bench Verified (Jimenez et al., ICLR 2024) shows top agents achieve approximately 80% Pass@1 on verified bug fixes, while SWE-Bench Pro (Deng et al., 2025) shows only approximately 23% Pass@1 on real-world multi-file tasks without scaffolding.</w:t>
      </w:r>
    </w:p>
    <w:p>
      <w:pPr>
        <w:spacing w:before="0" w:after="200" w:line="276" w:lineRule="auto"/>
      </w:pPr>
      <w:r>
        <w:rPr>
          <w:rFonts w:ascii="Arial" w:cs="Arial" w:eastAsia="Arial" w:hAnsi="Arial"/>
          <w:color w:val="2C2C2C"/>
          <w:sz w:val="22"/>
          <w:szCs w:val="22"/>
        </w:rPr>
        <w:t xml:space="preserve">Context degradation without session governance. Laban, Hayashi, Zhou and Neville (arXiv:2505.06120, ICLR 2026) found an average performance drop of approximately 39% across six generation tasks when moving from single-turn to multi-turn underspecified interaction. The most actionable part of this finding separates the degradation into aptitude loss and unreliability increase: in the sharded multi-turn setting, unreliability increases sharply across all evaluated models even when aptitude changes are comparatively minor. For operators, this implies a governance KPI beyond mean gate pass rates: track the distributional spread of outcomes under replay-equivalent task specifications and controlled context exposure. DEL-v2's structured HANDOFF.md protocol and WP-002's Source Truth Guarantee together address this: the Source Truth Guarantee prevents the 'contaminated context' failure mode where wrong turns in session history propagate into subsequent execution.</w:t>
      </w:r>
    </w:p>
    <w:p>
      <w:pPr>
        <w:spacing w:before="0" w:after="200" w:line="276" w:lineRule="auto"/>
      </w:pPr>
      <w:r>
        <w:rPr>
          <w:rFonts w:ascii="Arial" w:cs="Arial" w:eastAsia="Arial" w:hAnsi="Arial"/>
          <w:color w:val="2C2C2C"/>
          <w:sz w:val="22"/>
          <w:szCs w:val="22"/>
        </w:rPr>
        <w:t xml:space="preserve">Governance as amplifier. The 2025 DORA report (approximately 5,000 respondents) found AI adoption acts as an amplifier -- teams with strong practices benefit, teams with weak practices deteriorate. The report added rework rate as a fifth core DORA metric and found 9% higher bug rates correlated with AI adoption. GitClear's 211 million line analysis found 4x duplication growth and refactoring collapse to under 10% of changes without governance. These findings establish the baseline against which WP-002's twelve mechanisms should be measured: the question is not whether AI coding tools create quality risks (the evidence is clear that they do), but whether formal governance can convert those risks into measurable quality improvements.</w:t>
      </w:r>
    </w:p>
    <w:p>
      <w:pPr>
        <w:spacing w:before="0" w:after="200" w:line="276" w:lineRule="auto"/>
      </w:pPr>
      <w:r>
        <w:rPr>
          <w:rFonts w:ascii="Arial" w:cs="Arial" w:eastAsia="Arial" w:hAnsi="Arial"/>
          <w:color w:val="2C2C2C"/>
          <w:sz w:val="22"/>
          <w:szCs w:val="22"/>
        </w:rPr>
        <w:t xml:space="preserve">Structured specification impact. Li et al. (ACM TOSEM 2024) found structured Chain-of-Thought prompting improved code generation by up to 13.79% Pass@1 on HumanEval. McMillan (arXiv:2602.05447, 2026) found file-based context retrieval improved accuracy for frontier-tier models by +2.7% compared to unstructured dumps. These figures represent the lower bound of what the Enterprise Delivery Contract's ten fields -- which provide far more structure than a Chain-of-Thought template -- can be expected to contribute.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Benchmark / Evidence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Without WP-002 governance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WP-002 mechanism</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agent zero-regression rate (long-horizon)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Most models &lt;0.25 zero-regression rate across 233-day evolution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ZRR KPI + Architecture Gate + fail-closed sealing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Chen et al., arXiv:2603.03823,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Multi-turn performance degradation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~39% average performance drop; unreliability increases sharply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 + structured HANDOFF.md prevent contaminated context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Laban et al., arXiv:2505.06120, ICLR 2026</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code issue rate vs human code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1.7x more issues; 8x more performance inefficiencies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Delivery Contract + Quality Gate Protocol catch issues before acceptance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CodeRabbit, 470 PR analysis,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Structured prompt improvement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+13.79% Pass@1 on HumanEval with structured CoT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Delivery Contract provides constraint structure beyond CoT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 et al., ACM TOSEM 2024</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behavioral drift risk</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GPT-4 code executability 52%-&gt;10% in 3 months undetected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Capability Registry + System Drift Monitoring detect and flag drift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Chen, Zaharia, Zou, Harvard DSR 2023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Multi-model consensus benefit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MoA achieves 65.1% vs 57.5% for single model (AlpacaEval 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Multi-Model Consensus Protocol with independence requirement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Wang et al., ICLR 2025</w:t>
            </w:r>
          </w:p>
        </w:tc>
      </w:tr>
    </w:tbl>
    <w:p>
      <w:pPr>
        <w:pStyle w:val="Heading1"/>
        <w:pageBreakBefore/>
        <w:spacing w:before="360" w:after="120" w:line="276" w:lineRule="auto"/>
      </w:pPr>
      <w:r>
        <w:rPr>
          <w:rFonts w:ascii="Arial" w:cs="Arial" w:eastAsia="Arial" w:hAnsi="Arial"/>
          <w:b/>
          <w:bCs/>
          <w:color w:val="1B2A4A"/>
          <w:sz w:val="36"/>
          <w:szCs w:val="36"/>
        </w:rPr>
        <w:t xml:space="preserve">13. Regulatory Alignment</w:t>
      </w:r>
    </w:p>
    <w:p>
      <w:pPr>
        <w:spacing w:before="0" w:after="200" w:line="276" w:lineRule="auto"/>
      </w:pPr>
      <w:r>
        <w:rPr>
          <w:rFonts w:ascii="Arial" w:cs="Arial" w:eastAsia="Arial" w:hAnsi="Arial"/>
          <w:color w:val="2C2C2C"/>
          <w:sz w:val="22"/>
          <w:szCs w:val="22"/>
        </w:rPr>
        <w:t xml:space="preserve">The governance mechanisms defined in this paper align with emerging regulatory requirements for AI systems deployed in enterprise and regulated environments. This section maps the framework's components to applicable standards.</w:t>
      </w:r>
    </w:p>
    <w:p>
      <w:pPr>
        <w:spacing w:before="0" w:after="200" w:line="276" w:lineRule="auto"/>
      </w:pPr>
      <w:r>
        <w:rPr>
          <w:rFonts w:ascii="Arial" w:cs="Arial" w:eastAsia="Arial" w:hAnsi="Arial"/>
          <w:color w:val="2C2C2C"/>
          <w:sz w:val="22"/>
          <w:szCs w:val="22"/>
        </w:rPr>
        <w:t xml:space="preserve">EU AI Act Articles 12, 19, and 26(6) (Regulation 2024/1689) impose layered logging obligations for high-risk AI systems. Article 12 establishes the design and development obligation: high-risk systems must technically enable automatic recording of events. Article 19 and Article 26(6) impose the retention obligation: providers and deployers must keep automatically generated logs for a period appropriate to the intended purpose and at least six months in specified cases. The EU AI Act has staggered application dates: many obligations begin applying from August 2, 2026, while certain high-risk AI systems embedded in regulated products may have later applicability dates such as August 2, 2027. Operators should consult the European Commission AI Act Service Desk timeline for their specific category. 'Tamper-evident design' is a defensible implementation strategy that supports the Act's intent but is not a verbatim textual requirement of Articles 12, 19, or 26(6); DEL-v2's governance artifacts should be characterized as satisfying the integrity and auditability implementation objectives of those articles.</w:t>
      </w:r>
    </w:p>
    <w:p>
      <w:pPr>
        <w:spacing w:before="0" w:after="200" w:line="276" w:lineRule="auto"/>
      </w:pPr>
      <w:r>
        <w:rPr>
          <w:rFonts w:ascii="Arial" w:cs="Arial" w:eastAsia="Arial" w:hAnsi="Arial"/>
          <w:color w:val="2C2C2C"/>
          <w:sz w:val="22"/>
          <w:szCs w:val="22"/>
        </w:rPr>
        <w:t xml:space="preserve">AI Act timing should be treated as an operational dependency. The practical guidance for EU-facing operators is: implement DEL-v2 evidence collection and retention policies before August 2, 2026 for high-risk deployments where Article 12 logging is relevant; ensure that retention settings are explicitly parameterized so they can be tuned to the 'at least six months' obligations in Articles 19 and 26(6); and treat hash-anchored artifact integrity as a control that supports auditability even when the regulation does not prescribe a specific cryptographic mechanism. The Execution Trace Graph (Section 11.5) satisfies Article 12's automatic event logging requirement. The Reproducibility Contract (Section 11.6) satisfies Article 9's requirement for testing procedures. The Formal Invariant Enforcement Layer (Section 11.1) satisfies Article 17's quality management system requirement.</w:t>
      </w:r>
    </w:p>
    <w:p>
      <w:pPr>
        <w:spacing w:before="0" w:after="200" w:line="276" w:lineRule="auto"/>
      </w:pPr>
      <w:r>
        <w:rPr>
          <w:rFonts w:ascii="Arial" w:cs="Arial" w:eastAsia="Arial" w:hAnsi="Arial"/>
          <w:color w:val="2C2C2C"/>
          <w:sz w:val="22"/>
          <w:szCs w:val="22"/>
        </w:rPr>
        <w:t xml:space="preserve">ISO/IEC 42001:2023 Control A.6.2.8 (AI System Recording of Event Logs) requires organizations to determine at which phases of the AI system lifecycle event log recording is enabled and to implement that recording. The normative ISO text is paywalled; secondary sources describe A.6.2.8 in lifecycle-scoping terms. WP-002's implementation satisfies A.6.2.8 as an implementation objective: the append-only audit trail in the Execution Trace Graph satisfies traceability; hash-anchored governance artifacts satisfy integrity; and bundle-based exportability satisfies retrievability. These are implementation-level design choices aligned with the control's intent, not direct quotations from the normative standard.</w:t>
      </w:r>
    </w:p>
    <w:p>
      <w:pPr>
        <w:spacing w:before="0" w:after="200" w:line="276" w:lineRule="auto"/>
      </w:pPr>
      <w:r>
        <w:rPr>
          <w:rFonts w:ascii="Arial" w:cs="Arial" w:eastAsia="Arial" w:hAnsi="Arial"/>
          <w:color w:val="2C2C2C"/>
          <w:sz w:val="22"/>
          <w:szCs w:val="22"/>
        </w:rPr>
        <w:t xml:space="preserve">ISO/IEC 42001 has moved from new standard to audited reality, and this changes how enterprise buyers interpret governance evidence. UKAS announced in 2026 the first accreditation for certification of AI management systems to ISO/IEC 42001:2023, signaling that accredited certification is scaling into the mainstream conformity-assessment ecosystem. Large enterprises including Boston Consulting Group (January 2026), KPMG U.S. (November 2025), and Cognizant (December 2024) have publicly reported achieving ISO/IEC 42001 certification. Because certification evidence is now being generated in real audits, WP-002's strongest positioning is not 'we map to ISO text' but 'we produce audit-ready operational evidence artifacts by default': immutable-by-process task history, machine-checked integrity manifests, and CI-verifiable governance enforcement logs that can be exported as a bounded bundle for audit sampling.</w:t>
      </w:r>
    </w:p>
    <w:p>
      <w:pPr>
        <w:spacing w:before="0" w:after="200" w:line="276" w:lineRule="auto"/>
      </w:pPr>
      <w:r>
        <w:rPr>
          <w:rFonts w:ascii="Arial" w:cs="Arial" w:eastAsia="Arial" w:hAnsi="Arial"/>
          <w:color w:val="2C2C2C"/>
          <w:sz w:val="22"/>
          <w:szCs w:val="22"/>
        </w:rPr>
        <w:t xml:space="preserve">NIST AI 600-1 (Generative Artificial Intelligence Profile, 2024, doi:10.6028/NIST.AI.600-1) is positioned as a cross-sectoral companion to AI RMF 1.0 (NIST AI 100-1). NIST AI 600-1 emphasizes governance, content provenance, pre-deployment testing, and incident disclosure organized around the Govern-Map-Measure-Manage functions. WP-002's architecture is directly congruent: governance is imposed by the 10-field Delivery Contract, role-separated review, and four sequential quality gates; content provenance is operationalized by the Reproducibility Contract's input manifest and hash-anchored model identification; pre-deployment testing is required through deterministic gates and invariants; and incident disclosure is structurally supported by the Execution Trace Graph enabling post-incident reconstruction of the governance state that preceded any failure.</w:t>
      </w:r>
    </w:p>
    <w:p>
      <w:pPr>
        <w:spacing w:before="0" w:after="200" w:line="276" w:lineRule="auto"/>
      </w:pPr>
      <w:r>
        <w:rPr>
          <w:rFonts w:ascii="Arial" w:cs="Arial" w:eastAsia="Arial" w:hAnsi="Arial"/>
          <w:color w:val="2C2C2C"/>
          <w:sz w:val="22"/>
          <w:szCs w:val="22"/>
        </w:rPr>
        <w:t xml:space="preserve">NIST SP 800-92 (Guide to Computer Security Log Management) requires protecting the confidentiality, integrity, and availability of logs. The Execution Trace Graph's append-only architecture provides availability protection. Hash-anchored artifact integrity provides integrity protection. Confidentiality is out of scope for the reference implementation but can be added via access controls without modifying the governance architecture.</w:t>
      </w:r>
    </w:p>
    <w:p>
      <w:pPr>
        <w:spacing w:before="0" w:after="200" w:line="276" w:lineRule="auto"/>
      </w:pPr>
      <w:r>
        <w:rPr>
          <w:rFonts w:ascii="Arial" w:cs="Arial" w:eastAsia="Arial" w:hAnsi="Arial"/>
          <w:color w:val="2C2C2C"/>
          <w:sz w:val="22"/>
          <w:szCs w:val="22"/>
        </w:rPr>
        <w:t xml:space="preserve">OpenTelemetry (OTel) Generative AI (GenAI) Semantic Conventions (CNCF, current specification) define structured telemetry for AI operations including span attributes for agent name, agent ID, tool name, tool call parameters, and tool call result, with token usage as a first-class metric instrument. The conventions are currently in 'Development' stability status with an explicit transition mechanism (OTEL_SEMCONV_STABILITY_OPT_IN) enabling emission of the latest experimental GenAI conventions. This provides a concrete integration target for WP-002 operators: emit state transitions, gate executions, bundle generation, and integrity verification as OTel spans and events keyed to the GenAI conventions, making the governance system queryable in the same observability fabric as latency, errors, and infrastructure health. The immediate KPI benefit is comparability: token cost, latency, and failure patterns can be correlated with gate outcomes using standardized attributes instead of local log parsing.</w:t>
      </w:r>
    </w:p>
    <w:p>
      <w:pPr>
        <w:spacing w:before="0" w:after="200" w:line="276" w:lineRule="auto"/>
      </w:pPr>
      <w:r>
        <w:rPr>
          <w:rFonts w:ascii="Arial" w:cs="Arial" w:eastAsia="Arial" w:hAnsi="Arial"/>
          <w:color w:val="2C2C2C"/>
          <w:sz w:val="22"/>
          <w:szCs w:val="22"/>
        </w:rPr>
        <w:t xml:space="preserve">SLSA v1.1 (OpenSSF, April 2025) defines four progressive security levels for software artifact provenance using in-toto attestation format with cryptographic signatures. WP-002's Reproducibility Contract achieves the equivalent of SLSA Level 2 for governance artifacts by default. Achieving SLSA Level 3 would require moving bundle generation to a CI/CD pipeline with tamper-resistant logging -- a practical extension for teams with security compliance requirements. The Federal Reserve's SR 11-7 model risk management guidance (2011) and the FDA's Good Machine Learning Practice principles (2021) both create implicit reproducibility obligations for AI systems in financial services and healthcare respectively, reinforcing the Reproducibility Contract's value in regulated industry deployments.</w:t>
      </w:r>
    </w:p>
    <w:p>
      <w:pPr>
        <w:pStyle w:val="Heading1"/>
        <w:pageBreakBefore/>
        <w:spacing w:before="360" w:after="120" w:line="276" w:lineRule="auto"/>
      </w:pPr>
      <w:r>
        <w:rPr>
          <w:rFonts w:ascii="Arial" w:cs="Arial" w:eastAsia="Arial" w:hAnsi="Arial"/>
          <w:b/>
          <w:bCs/>
          <w:color w:val="1B2A4A"/>
          <w:sz w:val="36"/>
          <w:szCs w:val="36"/>
        </w:rPr>
        <w:t xml:space="preserve">14. Conclusion</w:t>
      </w:r>
    </w:p>
    <w:p>
      <w:pPr>
        <w:spacing w:before="0" w:after="200" w:line="276" w:lineRule="auto"/>
      </w:pPr>
      <w:r>
        <w:rPr>
          <w:rFonts w:ascii="Arial" w:cs="Arial" w:eastAsia="Arial" w:hAnsi="Arial"/>
          <w:color w:val="2C2C2C"/>
          <w:sz w:val="22"/>
          <w:szCs w:val="22"/>
        </w:rPr>
        <w:t xml:space="preserve">This framework exists because of a precise observation: AI-assisted engineering fails not when the model is incapable, but when the process fails to communicate constraints, verify evidence, maintain information integrity, detect confident-but-wrong outputs, monitor for drift, learn from outcomes, and ensure that every decision is reproducible and traceable. The model will build what you ask for. The question is whether what you ask for is specified at the level of precision that leaves no room for invention, verified by independent reasoning that catches what a single model misses, and embedded in a system that proves compliance rather than merely claiming it.</w:t>
      </w:r>
    </w:p>
    <w:p>
      <w:pPr>
        <w:spacing w:before="0" w:after="200" w:line="276" w:lineRule="auto"/>
      </w:pPr>
      <w:r>
        <w:rPr>
          <w:rFonts w:ascii="Arial" w:cs="Arial" w:eastAsia="Arial" w:hAnsi="Arial"/>
          <w:color w:val="2C2C2C"/>
          <w:sz w:val="22"/>
          <w:szCs w:val="22"/>
        </w:rPr>
        <w:t xml:space="preserve">The twelve mechanisms defined in this paper address twelve distinct failure modes. Each mechanism has a direct causal connection to a documented production failure or to a failure mode that is structurally inevitable at enterprise scale without formal prevention:</w:t>
      </w:r>
    </w:p>
    <w:p>
      <w:pPr>
        <w:pStyle w:val="ListParagraph"/>
        <w:numPr>
          <w:ilvl w:val="0"/>
          <w:numId w:val="2"/>
        </w:numPr>
        <w:spacing w:before="40" w:after="80"/>
      </w:pPr>
      <w:r>
        <w:rPr>
          <w:rFonts w:ascii="Arial" w:cs="Arial" w:eastAsia="Arial" w:hAnsi="Arial"/>
          <w:color w:val="2C2C2C"/>
          <w:sz w:val="22"/>
          <w:szCs w:val="22"/>
        </w:rPr>
        <w:t xml:space="preserve">The Enterprise Delivery Contract: addresses missing constraints in execution prompts.</w:t>
      </w:r>
    </w:p>
    <w:p>
      <w:pPr>
        <w:pStyle w:val="ListParagraph"/>
        <w:numPr>
          <w:ilvl w:val="0"/>
          <w:numId w:val="2"/>
        </w:numPr>
        <w:spacing w:before="40" w:after="80"/>
      </w:pPr>
      <w:r>
        <w:rPr>
          <w:rFonts w:ascii="Arial" w:cs="Arial" w:eastAsia="Arial" w:hAnsi="Arial"/>
          <w:color w:val="2C2C2C"/>
          <w:sz w:val="22"/>
          <w:szCs w:val="22"/>
        </w:rPr>
        <w:t xml:space="preserve">The Quality Gate Protocol: addresses missing evidence in handback acceptance. Supported by Fagan (1976) and Capers Jones: the only path to defect removal efficiency above 95% is synergistic combination of multiple sequential detection techniques.</w:t>
      </w:r>
    </w:p>
    <w:p>
      <w:pPr>
        <w:pStyle w:val="ListParagraph"/>
        <w:numPr>
          <w:ilvl w:val="0"/>
          <w:numId w:val="2"/>
        </w:numPr>
        <w:spacing w:before="40" w:after="80"/>
      </w:pPr>
      <w:r>
        <w:rPr>
          <w:rFonts w:ascii="Arial" w:cs="Arial" w:eastAsia="Arial" w:hAnsi="Arial"/>
          <w:color w:val="2C2C2C"/>
          <w:sz w:val="22"/>
          <w:szCs w:val="22"/>
        </w:rPr>
        <w:t xml:space="preserve">The Source Truth Guarantee: addresses information boundary failures producing speculative implementation. The 4x correction cost ratio is consistent with Boehm and Basili (2001) and Menzies et al. (2017).</w:t>
      </w:r>
    </w:p>
    <w:p>
      <w:pPr>
        <w:pStyle w:val="ListParagraph"/>
        <w:numPr>
          <w:ilvl w:val="0"/>
          <w:numId w:val="2"/>
        </w:numPr>
        <w:spacing w:before="40" w:after="80"/>
      </w:pPr>
      <w:r>
        <w:rPr>
          <w:rFonts w:ascii="Arial" w:cs="Arial" w:eastAsia="Arial" w:hAnsi="Arial"/>
          <w:color w:val="2C2C2C"/>
          <w:sz w:val="22"/>
          <w:szCs w:val="22"/>
        </w:rPr>
        <w:t xml:space="preserve">The Task Governance Schema: addresses context loss between sessions and across model rotations.</w:t>
      </w:r>
    </w:p>
    <w:p>
      <w:pPr>
        <w:pStyle w:val="ListParagraph"/>
        <w:numPr>
          <w:ilvl w:val="0"/>
          <w:numId w:val="2"/>
        </w:numPr>
        <w:spacing w:before="40" w:after="80"/>
      </w:pPr>
      <w:r>
        <w:rPr>
          <w:rFonts w:ascii="Arial" w:cs="Arial" w:eastAsia="Arial" w:hAnsi="Arial"/>
          <w:color w:val="2C2C2C"/>
          <w:sz w:val="22"/>
          <w:szCs w:val="22"/>
        </w:rPr>
        <w:t xml:space="preserve">The Model Intelligence Layer: addresses capability mismatch between task requirements and assigned models. Supported by FrugalGPT (2023) and RouteLLM (2025) demonstrating 50-98% cost reduction through intelligent routing.</w:t>
      </w:r>
    </w:p>
    <w:p>
      <w:pPr>
        <w:pStyle w:val="ListParagraph"/>
        <w:numPr>
          <w:ilvl w:val="0"/>
          <w:numId w:val="2"/>
        </w:numPr>
        <w:spacing w:before="40" w:after="80"/>
      </w:pPr>
      <w:r>
        <w:rPr>
          <w:rFonts w:ascii="Arial" w:cs="Arial" w:eastAsia="Arial" w:hAnsi="Arial"/>
          <w:color w:val="2C2C2C"/>
          <w:sz w:val="22"/>
          <w:szCs w:val="22"/>
        </w:rPr>
        <w:t xml:space="preserve">The Multi-Model Consensus Protocol: addresses single-model blind spots in critical decisions. Grounded in Dietterich's three conditions for ensemble superiority and Kim et al.'s (ICML 2025) empirical finding of 60% error correlation among frontier models when both err.</w:t>
      </w:r>
    </w:p>
    <w:p>
      <w:pPr>
        <w:pStyle w:val="ListParagraph"/>
        <w:numPr>
          <w:ilvl w:val="0"/>
          <w:numId w:val="2"/>
        </w:numPr>
        <w:spacing w:before="40" w:after="80"/>
      </w:pPr>
      <w:r>
        <w:rPr>
          <w:rFonts w:ascii="Arial" w:cs="Arial" w:eastAsia="Arial" w:hAnsi="Arial"/>
          <w:color w:val="2C2C2C"/>
          <w:sz w:val="22"/>
          <w:szCs w:val="22"/>
        </w:rPr>
        <w:t xml:space="preserve">The Formal Invariant Enforcement Layer: addresses the gap between claimed compliance and verified compliance. LLM-generated invariant synthesis now achieves 72.5% verifiable specification coverage (SpecGen, ICSE 2025).</w:t>
      </w:r>
    </w:p>
    <w:p>
      <w:pPr>
        <w:pStyle w:val="ListParagraph"/>
        <w:numPr>
          <w:ilvl w:val="0"/>
          <w:numId w:val="2"/>
        </w:numPr>
        <w:spacing w:before="40" w:after="80"/>
      </w:pPr>
      <w:r>
        <w:rPr>
          <w:rFonts w:ascii="Arial" w:cs="Arial" w:eastAsia="Arial" w:hAnsi="Arial"/>
          <w:color w:val="2C2C2C"/>
          <w:sz w:val="22"/>
          <w:szCs w:val="22"/>
        </w:rPr>
        <w:t xml:space="preserve">System Drift Monitoring: addresses silent degradation. GPT-4 code executability dropped 42 percentage points in three months without external notification (Chen et al., 2023).</w:t>
      </w:r>
    </w:p>
    <w:p>
      <w:pPr>
        <w:pStyle w:val="ListParagraph"/>
        <w:numPr>
          <w:ilvl w:val="0"/>
          <w:numId w:val="2"/>
        </w:numPr>
        <w:spacing w:before="40" w:after="80"/>
      </w:pPr>
      <w:r>
        <w:rPr>
          <w:rFonts w:ascii="Arial" w:cs="Arial" w:eastAsia="Arial" w:hAnsi="Arial"/>
          <w:color w:val="2C2C2C"/>
          <w:sz w:val="22"/>
          <w:szCs w:val="22"/>
        </w:rPr>
        <w:t xml:space="preserve">The Outcome-Based Reinforcement Layer: addresses static governance that cannot improve from observed outcomes.</w:t>
      </w:r>
    </w:p>
    <w:p>
      <w:pPr>
        <w:pStyle w:val="ListParagraph"/>
        <w:numPr>
          <w:ilvl w:val="0"/>
          <w:numId w:val="2"/>
        </w:numPr>
        <w:spacing w:before="40" w:after="80"/>
      </w:pPr>
      <w:r>
        <w:rPr>
          <w:rFonts w:ascii="Arial" w:cs="Arial" w:eastAsia="Arial" w:hAnsi="Arial"/>
          <w:color w:val="2C2C2C"/>
          <w:sz w:val="22"/>
          <w:szCs w:val="22"/>
        </w:rPr>
        <w:t xml:space="preserve">The Quantified Risk Model: addresses qualitative risk assessment that cannot drive cost-benefit automation.</w:t>
      </w:r>
    </w:p>
    <w:p>
      <w:pPr>
        <w:pStyle w:val="ListParagraph"/>
        <w:numPr>
          <w:ilvl w:val="0"/>
          <w:numId w:val="2"/>
        </w:numPr>
        <w:spacing w:before="40" w:after="80"/>
      </w:pPr>
      <w:r>
        <w:rPr>
          <w:rFonts w:ascii="Arial" w:cs="Arial" w:eastAsia="Arial" w:hAnsi="Arial"/>
          <w:color w:val="2C2C2C"/>
          <w:sz w:val="22"/>
          <w:szCs w:val="22"/>
        </w:rPr>
        <w:t xml:space="preserve">The Execution Trace Graph: addresses untraceable decision chains that cannot be audited or replayed.</w:t>
      </w:r>
    </w:p>
    <w:p>
      <w:pPr>
        <w:pStyle w:val="ListParagraph"/>
        <w:numPr>
          <w:ilvl w:val="0"/>
          <w:numId w:val="2"/>
        </w:numPr>
        <w:spacing w:before="40" w:after="80"/>
      </w:pPr>
      <w:r>
        <w:rPr>
          <w:rFonts w:ascii="Arial" w:cs="Arial" w:eastAsia="Arial" w:hAnsi="Arial"/>
          <w:color w:val="2C2C2C"/>
          <w:sz w:val="22"/>
          <w:szCs w:val="22"/>
        </w:rPr>
        <w:t xml:space="preserve">The Reproducibility Contract: addresses irreproducible engineering decisions in regulated environments. Temperature=0 does not guarantee deterministic outputs; statistical reproduction is the achievable standard.</w:t>
      </w:r>
    </w:p>
    <w:p>
      <w:pPr>
        <w:spacing w:before="0" w:after="200" w:line="276" w:lineRule="auto"/>
      </w:pPr>
      <w:r>
        <w:rPr>
          <w:rFonts w:ascii="Arial" w:cs="Arial" w:eastAsia="Arial" w:hAnsi="Arial"/>
          <w:color w:val="2C2C2C"/>
          <w:sz w:val="22"/>
          <w:szCs w:val="22"/>
        </w:rPr>
        <w:t xml:space="preserve">Version 1.1 adds the research evidence base and benchmark framework that position WP-002 within the published state of the art. The 2025 DORA report's unifying insight -- AI tools act as amplifiers, making strong practices stronger and weak practices weaker -- defines the governance problem precisely. This framework is the structural countermeasure to the amplification of weakness.</w:t>
      </w:r>
    </w:p>
    <w:p>
      <w:pPr>
        <w:pBdr>
          <w:left w:val="single" w:color="2E75B6" w:sz="6" w:space="8"/>
        </w:pBdr>
        <w:spacing w:before="120" w:after="200"/>
        <w:ind w:left="720"/>
      </w:pPr>
      <w:r>
        <w:rPr>
          <w:rFonts w:ascii="Arial" w:cs="Arial" w:eastAsia="Arial" w:hAnsi="Arial"/>
          <w:i/>
          <w:iCs/>
          <w:color w:val="555555"/>
          <w:sz w:val="22"/>
          <w:szCs w:val="22"/>
        </w:rPr>
        <w:t xml:space="preserve">The competitive differentiation for any platform built on this framework is not that it uses AI. The differentiation is that it treats engineering quality as a governed system property: enforced by protocol, verified by formal methods, validated by independent models, monitored for drift, improved by outcome feedback, quantified by risk models, traced through execution graphs, and reproducible by contract. That is the standard that enterprise customers operating at scale, under regulatory scrutiny, and with zero tolerance for invisible failure require.</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Architecture Gate</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fourth and final quality gate. Evaluates whether the deliverable is extensible without forcing future rebuilds, with schema, interfaces, and data models designed for known future requirements.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Build 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first quality gate. Validates that the deliverable is complete, coherent, and deployable without modification: all files complete, all functions implemented, no placeholders.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Completion Bias</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tendency of language models to satisfy the stated request without independently verifying unstated quality constraints. The model builds what is asked for, not what a staff engineer would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Consensus Reached (state)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terminal state in the consensus protocol where all participating models and the reconciler agree on a decision. The decision is recorded with a full audit trail.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formal state machine and session handoff protocol defined in WP-001 that governs state transitions, gate enforcement, and cryptographic audit trail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Delivery Contract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mandatory section in every execution prompt specifying system invariants, security requirements, failure modes, observability, performance constraints, rollback plan, and rejection criteria. Absence is a protocol violation.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Disagreement Escalated (state)</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consensus protocol state in which automated reconciliation has failed and human operator arbitration is required. Transitions to USER_RESOLVED when the operator decides.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Drift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gradual, undetected divergence between a system's actual behavior and its intended behavior. Classified as code drift, behavioral drift, model drift, schema drift, cost drift, or scoring drift.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Criticality</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qualitative task classification (low, medium, high, platform-critical) that determines review depth, gate strictness, and consensus requirements. Platform-critical tasks always require multi-model consensus.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Ensemble Diversity (LLM)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degree to which two or more LLMs produce uncorrelated errors. Higher diversity yields greater consensus value. Kim et al. (ICML 2025) found frontier models agree 60% of the time when both err -- motivating selection of model pairs from distinct providers and training approaches.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Trace Graph</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directed graph connecting task, decision, model output, consensus event, deployment, outcome, and drift signal nodes. Enables audit replay, root cause tracing, compliance reporting, and pattern analysis.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Expected Risk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product of the probability of failure and the cost of failure: Expected Risk = P(failure) x Cost(failure). The quantitative basis for automated governance decisions including consensus requirements and escalation thresholds. P(failure) is an estimated heuristic, not a statistical guarantee.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Formal Invariant Enforcement</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extension of the delivery contract's claim-based invariant assertions to executable checks that the system validates automatically, either pre-deploy or post-deploy, transitioning from auditable governance to auditable compliance.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LLM (Large Language Model)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neural network trained on large text corpora, capable of generating and analyzing natural language and code. Examples: Claude Sonnet, GPT-4o, Gemini Pro. Used interchangeably with 'model' in this document.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Intelligence Layer</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model-aware execution system that maintains a normalized model capability registry, estimates project complexity, and recommends optimal model assignments based on task type, context requirements, and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Model Variance Problem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condition in which a single estimator's confidence tells you nothing about whether its answer is correct, only that it is internally consistent. The AI analogue of the bias-variance tradeoff in statistical learning. WP-002's Multi-Model Consensus Protocol is the structural response.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Multi-Model Consensus Protocol</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structured decision-making framework where multiple models independently analyze the same artifact, produce structured positions, and iterate toward convergence. Grounded in Breiman (2001) and Dietterich (2000) ensemble theory, with the independence requirement implementing Dietterich's third condition for ensemble superiority.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Operations 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third quality gate. Validates operational soundness: error handling on every I/O operation, logging of significant actions, idempotent behavior where required, graceful degradation, transaction management, and resource bounds.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Outcome-Based Reinforcement</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governance layer that tracks downstream consequences of model decisions and feeds outcomes back into the model capability registry, risk model, and consensus thresholds. Transforms static governance into adaptive intelligence.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Proof Gate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second quality gate. Validates that concrete verification evidence exists for every claim in the handback. 'Should work' is not evidence.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Quality Tier</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task classification (prototype, production, enterprise, regulated-enterprise) specifying the quality standard required for the deliverable. Regulated-enterprise tasks always require multi-model consensus and reproducibility contracts.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Reconciler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role in the consensus protocol responsible for comparing proposer positions, identifying overlap, conflict, and gaps, and synthesizing a reconciled recommendation. May be the orchestrator model or a designated third model.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Reproducibility Contract</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minimum state capture required to reproduce a task execution: input manifest, model identification, prompt version, environment configuration, execution parameters, output manifest, and timestamp. Full output determinism is not guaranteed at temperature=0; statistical reproduction (output satisfying all quality gates) is the achievable 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Source Truth Guarantee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process control requiring that all current production source files for any modified or integrated-with component must be attached to the execution prompt. Absence of required files triggers a hard stop-work condition. Economic basis: speculative implementation costs approximately 4x the original implementation to correct.</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Speculative Implementation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failure mode in which an executor writes code against an imagined interface rather than the real one. Produces internally consistent code that is incompatible with production. Correction cost approximately 4x original implementation cost, consistent with Boehm &amp; Basili (2001) and Menzies et al. (2017).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Statistical Reproduction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Reproduction in which the output satisfies all quality gates and the delivery contract, even if the specific tokens generated differ from the original. The achievable standard given LLM output non-determinism at temperature=0.</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Stop-Work Condition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mandatory halt triggered when required source files are missing from an execution prompt. The executor must not proceed; the orchestrator must treat it as a P0 blocker to be resolved immediately.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Zero-Regression Rate (ZRR)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WP-002 KPI measuring the proportion of sealed tasks with zero CI regressions introduced across the full task lifecycle. Mirrors the SWE-CI benchmark construct (Chen et al., arXiv:2603.03823, 2026) for operational governance measurement.</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v1.2. contextkeeper.org. [internal source] [DEL-v2 state machine, session handoff protocol, and cryptographic integrity mechanisms referenced throughout this paper.]</w:t>
      </w:r>
    </w:p>
    <w:p>
      <w:pPr>
        <w:spacing w:before="80" w:after="0"/>
      </w:pPr>
    </w:p>
    <w:p>
      <w:pPr>
        <w:spacing w:before="0" w:after="200" w:line="276" w:lineRule="auto"/>
      </w:pPr>
      <w:r>
        <w:rPr>
          <w:rFonts w:ascii="Arial" w:cs="Arial" w:eastAsia="Arial" w:hAnsi="Arial"/>
          <w:color w:val="2C2C2C"/>
          <w:sz w:val="22"/>
          <w:szCs w:val="22"/>
        </w:rPr>
        <w:t xml:space="preserve">Atil, B. et al. (2025). Non-Determinism of 'Deterministic' LLM Settings. arXiv:2408.04667v5. [peer-reviewed preprint] [Up to 15% accuracy variation at temperature=0 across 5 LLMs; referenced in Sections 2.6, 11.6.]</w:t>
      </w:r>
    </w:p>
    <w:p>
      <w:pPr>
        <w:spacing w:before="0" w:after="200" w:line="276" w:lineRule="auto"/>
      </w:pPr>
      <w:r>
        <w:rPr>
          <w:rFonts w:ascii="Arial" w:cs="Arial" w:eastAsia="Arial" w:hAnsi="Arial"/>
          <w:color w:val="2C2C2C"/>
          <w:sz w:val="22"/>
          <w:szCs w:val="22"/>
        </w:rPr>
        <w:t xml:space="preserve">Boehm, B.W. and Basili, V.R. (2001). Software Defect Reduction Top 10 List. IEEE Computer 34(1):135-137. DOI: 10.1109/2.962984. [peer-reviewed] [40-50% effort on avoidable rework; 1:4 to 1:5 cost ratio for small projects; referenced in Sections 2.2, 3.3, 12.1.]</w:t>
      </w:r>
    </w:p>
    <w:p>
      <w:pPr>
        <w:spacing w:before="0" w:after="200" w:line="276" w:lineRule="auto"/>
      </w:pPr>
      <w:r>
        <w:rPr>
          <w:rFonts w:ascii="Arial" w:cs="Arial" w:eastAsia="Arial" w:hAnsi="Arial"/>
          <w:color w:val="2C2C2C"/>
          <w:sz w:val="22"/>
          <w:szCs w:val="22"/>
        </w:rPr>
        <w:t xml:space="preserve">Breiman, L. (2001). Random Forests. Machine Learning 45(1):5-32. DOI: 10.1023/A:1010933404324. [peer-reviewed] [Ensemble error bound PE* &lt;= rho-bar(1-s^2)/s^2; lower inter-estimator correlation yields lower error; referenced in Sections 6, 14.]</w:t>
      </w:r>
    </w:p>
    <w:p>
      <w:pPr>
        <w:spacing w:before="0" w:after="200" w:line="276" w:lineRule="auto"/>
      </w:pPr>
      <w:r>
        <w:rPr>
          <w:rFonts w:ascii="Arial" w:cs="Arial" w:eastAsia="Arial" w:hAnsi="Arial"/>
          <w:color w:val="2C2C2C"/>
          <w:sz w:val="22"/>
          <w:szCs w:val="22"/>
        </w:rPr>
        <w:t xml:space="preserve">Becker, J., Rush, N., Barnes, E., and Rein, D. (2025). Measuring the Impact of Early-2025 AI on Experienced Open-Source Developer Productivity. arXiv:2507.09089. METR. [peer-reviewed preprint] [19% net slowdown for experienced developers; 39-44% perception gap; referenced in Section 2.6.]</w:t>
      </w:r>
    </w:p>
    <w:p>
      <w:pPr>
        <w:spacing w:before="0" w:after="200" w:line="276" w:lineRule="auto"/>
      </w:pPr>
      <w:r>
        <w:rPr>
          <w:rFonts w:ascii="Arial" w:cs="Arial" w:eastAsia="Arial" w:hAnsi="Arial"/>
          <w:color w:val="2C2C2C"/>
          <w:sz w:val="22"/>
          <w:szCs w:val="22"/>
        </w:rPr>
        <w:t xml:space="preserve">Chen, L., Zaharia, M., and Zou, J. (2023). How Is ChatGPT's Behavior Changing over Time? Harvard Data Science Review. [peer-reviewed] [GPT-4 code executability 52.0%-&gt;10.0% in three months; GPT-3.5 22.0%-&gt;2.0%; referenced in Sections 5.1, 11.2, 12.3.]</w:t>
      </w:r>
    </w:p>
    <w:p>
      <w:pPr>
        <w:spacing w:before="0" w:after="200" w:line="276" w:lineRule="auto"/>
      </w:pPr>
      <w:r>
        <w:rPr>
          <w:rFonts w:ascii="Arial" w:cs="Arial" w:eastAsia="Arial" w:hAnsi="Arial"/>
          <w:color w:val="2C2C2C"/>
          <w:sz w:val="22"/>
          <w:szCs w:val="22"/>
        </w:rPr>
        <w:t xml:space="preserve">Chen, L., Zaharia, M., and Zou, J. (2023). FrugalGPT: How to Use Large Language Models While Reducing Cost and Improving Performance. arXiv:2305.05176. [peer-reviewed] [Up to 98% cost reduction while matching GPT-4 performance through intelligent routing; referenced in Section 5.1.]</w:t>
      </w:r>
    </w:p>
    <w:p>
      <w:pPr>
        <w:spacing w:before="0" w:after="200" w:line="276" w:lineRule="auto"/>
      </w:pPr>
      <w:r>
        <w:rPr>
          <w:rFonts w:ascii="Arial" w:cs="Arial" w:eastAsia="Arial" w:hAnsi="Arial"/>
          <w:color w:val="2C2C2C"/>
          <w:sz w:val="22"/>
          <w:szCs w:val="22"/>
        </w:rPr>
        <w:t xml:space="preserve">Chen, X. et al. (2026). SWE-CI: Evaluating Agent Capabilities in Maintaining Codebases via Continuous Integration. arXiv:2603.03823v1. Alibaba Research. [peer-reviewed preprint] [Zero-regression rate; most models &lt;0.25; 100 tasks; 233-day average evolution; referenced in Sections 2.6, 12.2, 12.3.]</w:t>
      </w:r>
    </w:p>
    <w:p>
      <w:pPr>
        <w:spacing w:before="0" w:after="200" w:line="276" w:lineRule="auto"/>
      </w:pPr>
      <w:r>
        <w:rPr>
          <w:rFonts w:ascii="Arial" w:cs="Arial" w:eastAsia="Arial" w:hAnsi="Arial"/>
          <w:color w:val="2C2C2C"/>
          <w:sz w:val="22"/>
          <w:szCs w:val="22"/>
        </w:rPr>
        <w:t xml:space="preserve">Chann, S. (2023). Non-determinism in GPT-4 is caused by Sparse MoE. 152334h.github.io/blog/non-determinism-in-gpt-4/. [practitioner/community evidence] [30 unique completions from 30 identical prompts at temperature=0; MoE routing root cause; referenced in Section 2.6.]</w:t>
      </w:r>
    </w:p>
    <w:p>
      <w:pPr>
        <w:spacing w:before="0" w:after="200" w:line="276" w:lineRule="auto"/>
      </w:pPr>
      <w:r>
        <w:rPr>
          <w:rFonts w:ascii="Arial" w:cs="Arial" w:eastAsia="Arial" w:hAnsi="Arial"/>
          <w:color w:val="2C2C2C"/>
          <w:sz w:val="22"/>
          <w:szCs w:val="22"/>
        </w:rPr>
        <w:t xml:space="preserve">CodeRabbit (2025). State of AI vs Human Code Generation Report. coderabbit.ai. [vendor documentation] [AI code 1.7x more issues; 8x more performance inefficiencies; 2.74x more security vulnerabilities; referenced in Sections 2.6, 12.3.]</w:t>
      </w:r>
    </w:p>
    <w:p>
      <w:pPr>
        <w:spacing w:before="0" w:after="200" w:line="276" w:lineRule="auto"/>
      </w:pPr>
      <w:r>
        <w:rPr>
          <w:rFonts w:ascii="Arial" w:cs="Arial" w:eastAsia="Arial" w:hAnsi="Arial"/>
          <w:color w:val="2C2C2C"/>
          <w:sz w:val="22"/>
          <w:szCs w:val="22"/>
        </w:rPr>
        <w:t xml:space="preserve">Dietterich, T.G. (2000). Ensemble Methods in Machine Learning. MCS 2000, LNCS 1857:1-15. DOI: 10.1007/3-540-45014-9_1. [peer-reviewed, ~7,594 citations] [Three conditions for ensemble superiority: accuracy above chance, diversity of errors, independence of estimators; referenced in Sections 2.6, 6, 14.]</w:t>
      </w:r>
    </w:p>
    <w:p>
      <w:pPr>
        <w:spacing w:before="0" w:after="200" w:line="276" w:lineRule="auto"/>
      </w:pPr>
      <w:r>
        <w:rPr>
          <w:rFonts w:ascii="Arial" w:cs="Arial" w:eastAsia="Arial" w:hAnsi="Arial"/>
          <w:color w:val="2C2C2C"/>
          <w:sz w:val="22"/>
          <w:szCs w:val="22"/>
        </w:rPr>
        <w:t xml:space="preserve">Deng, J. et al. (2025). SWE-Bench Pro: Can AI Agents Solve Long-Horizon Software Engineering Tasks? arXiv:2509.16941. Scale AI. [peer-reviewed preprint] [~23% Pass@1 on real-world multi-file tasks; referenced in Section 12.3.]</w:t>
      </w:r>
    </w:p>
    <w:p>
      <w:pPr>
        <w:spacing w:before="0" w:after="200" w:line="276" w:lineRule="auto"/>
      </w:pPr>
      <w:r>
        <w:rPr>
          <w:rFonts w:ascii="Arial" w:cs="Arial" w:eastAsia="Arial" w:hAnsi="Arial"/>
          <w:color w:val="2C2C2C"/>
          <w:sz w:val="22"/>
          <w:szCs w:val="22"/>
        </w:rPr>
        <w:t xml:space="preserve">EU AI Act. Regulation (EU) 2024/1689. EUR-Lex. [vendor documentation -- standards body] [Articles 9 (risk management), 12 (record-keeping), 17 (quality management), 19 (log retention), 26(6) (deployer retention); referenced in Section 13.]</w:t>
      </w:r>
    </w:p>
    <w:p>
      <w:pPr>
        <w:spacing w:before="0" w:after="200" w:line="276" w:lineRule="auto"/>
      </w:pPr>
      <w:r>
        <w:rPr>
          <w:rFonts w:ascii="Arial" w:cs="Arial" w:eastAsia="Arial" w:hAnsi="Arial"/>
          <w:color w:val="2C2C2C"/>
          <w:sz w:val="22"/>
          <w:szCs w:val="22"/>
        </w:rPr>
        <w:t xml:space="preserve">Fagan, M.E. (1976). Design and Code Inspections to Reduce Errors in Program Development. IBM Systems Journal 15(3):182-211. [peer-reviewed] [82% of all errors located by inspections; 20%+ productivity improvement; referenced in Sections 2.6, 14.]</w:t>
      </w:r>
    </w:p>
    <w:p>
      <w:pPr>
        <w:spacing w:before="0" w:after="200" w:line="276" w:lineRule="auto"/>
      </w:pPr>
      <w:r>
        <w:rPr>
          <w:rFonts w:ascii="Arial" w:cs="Arial" w:eastAsia="Arial" w:hAnsi="Arial"/>
          <w:color w:val="2C2C2C"/>
          <w:sz w:val="22"/>
          <w:szCs w:val="22"/>
        </w:rPr>
        <w:t xml:space="preserve">GitClear (2025). AI Copilot Code Quality: 2025 Data Suggests 4x Growth in Code Clones. Harding, B. and Kloster, M. gitclear.com. [vendor documentation] [211 million lines analyzed; 4x duplication growth; refactoring collapsed from 25% to &lt;10%; referenced in Sections 2.6, 12.3.]</w:t>
      </w:r>
    </w:p>
    <w:p>
      <w:pPr>
        <w:spacing w:before="0" w:after="200" w:line="276" w:lineRule="auto"/>
      </w:pPr>
      <w:r>
        <w:rPr>
          <w:rFonts w:ascii="Arial" w:cs="Arial" w:eastAsia="Arial" w:hAnsi="Arial"/>
          <w:color w:val="2C2C2C"/>
          <w:sz w:val="22"/>
          <w:szCs w:val="22"/>
        </w:rPr>
        <w:t xml:space="preserve">Google DORA (2025). 2025 DORA Report. cloud.google.com/devops. [practitioner/community evidence] [~5,000 respondents; AI as amplifier finding; rework rate as 5th metric; 9% higher bug rates with AI adoption; referenced in Sections 2.1, 2.6, 12.3, 14.]</w:t>
      </w:r>
    </w:p>
    <w:p>
      <w:pPr>
        <w:spacing w:before="0" w:after="200" w:line="276" w:lineRule="auto"/>
      </w:pPr>
      <w:r>
        <w:rPr>
          <w:rFonts w:ascii="Arial" w:cs="Arial" w:eastAsia="Arial" w:hAnsi="Arial"/>
          <w:color w:val="2C2C2C"/>
          <w:sz w:val="22"/>
          <w:szCs w:val="22"/>
        </w:rPr>
        <w:t xml:space="preserve">ISO/IEC 42001:2023. Artificial Intelligence Management System. [vendor documentation -- standards body] [Control A.6.2.8 AI System Recording of Event Logs; referenced in Section 13.]</w:t>
      </w:r>
    </w:p>
    <w:p>
      <w:pPr>
        <w:spacing w:before="0" w:after="200" w:line="276" w:lineRule="auto"/>
      </w:pPr>
      <w:r>
        <w:rPr>
          <w:rFonts w:ascii="Arial" w:cs="Arial" w:eastAsia="Arial" w:hAnsi="Arial"/>
          <w:color w:val="2C2C2C"/>
          <w:sz w:val="22"/>
          <w:szCs w:val="22"/>
        </w:rPr>
        <w:t xml:space="preserve">Jimenez, C.E. et al. (2024). SWE-bench: Can Language Models Resolve Real-world GitHub Issues? ICLR 2024 Oral. arXiv:2310.06770. [peer-reviewed] [Agent-scaffolded systems vs raw baseline; top agents ~80% on SWE-Bench Verified; referenced in Section 12.3.]</w:t>
      </w:r>
    </w:p>
    <w:p>
      <w:pPr>
        <w:spacing w:before="0" w:after="200" w:line="276" w:lineRule="auto"/>
      </w:pPr>
      <w:r>
        <w:rPr>
          <w:rFonts w:ascii="Arial" w:cs="Arial" w:eastAsia="Arial" w:hAnsi="Arial"/>
          <w:color w:val="2C2C2C"/>
          <w:sz w:val="22"/>
          <w:szCs w:val="22"/>
        </w:rPr>
        <w:t xml:space="preserve">Jones, C. and Bonsignour, O. (2011). The Economics of Software Quality. Addison-Wesley. [practitioner/community evidence] [U.S. average DRE ~85%; testing alone ceiling ~35% per stage; &gt;95% DRE requires multiple synergistic techniques; referenced in Sections 2.6, 3.2, 14.]</w:t>
      </w:r>
    </w:p>
    <w:p>
      <w:pPr>
        <w:spacing w:before="0" w:after="200" w:line="276" w:lineRule="auto"/>
      </w:pPr>
      <w:r>
        <w:rPr>
          <w:rFonts w:ascii="Arial" w:cs="Arial" w:eastAsia="Arial" w:hAnsi="Arial"/>
          <w:color w:val="2C2C2C"/>
          <w:sz w:val="22"/>
          <w:szCs w:val="22"/>
        </w:rPr>
        <w:t xml:space="preserve">Kim, E., Garg, A., Peng, K., and Garg, N. (2025). Correlated Errors in Large Language Models. ICML 2025. arXiv:2506.07962. [peer-reviewed] [350+ LLMs; 60% agreement rate when both err; larger models have highly correlated errors; referenced in Sections 2.6, 6, 6.2, 6.7, 12.3, 14.]</w:t>
      </w:r>
    </w:p>
    <w:p>
      <w:pPr>
        <w:spacing w:before="0" w:after="200" w:line="276" w:lineRule="auto"/>
      </w:pPr>
      <w:r>
        <w:rPr>
          <w:rFonts w:ascii="Arial" w:cs="Arial" w:eastAsia="Arial" w:hAnsi="Arial"/>
          <w:color w:val="2C2C2C"/>
          <w:sz w:val="22"/>
          <w:szCs w:val="22"/>
        </w:rPr>
        <w:t xml:space="preserve">Laban, P., Hayashi, C., Zhou, X., and Neville, J. (2025). LLMs Get Lost In Multi-Turn Conversation. arXiv:2505.06120. ICLR 2026. [peer-reviewed] [~39% average performance drop; unreliability separable from aptitude loss; referenced in Sections 2.1, 12.3.]</w:t>
      </w:r>
    </w:p>
    <w:p>
      <w:pPr>
        <w:spacing w:before="0" w:after="200" w:line="276" w:lineRule="auto"/>
      </w:pPr>
      <w:r>
        <w:rPr>
          <w:rFonts w:ascii="Arial" w:cs="Arial" w:eastAsia="Arial" w:hAnsi="Arial"/>
          <w:color w:val="2C2C2C"/>
          <w:sz w:val="22"/>
          <w:szCs w:val="22"/>
        </w:rPr>
        <w:t xml:space="preserve">Lakshminarayanan, B., Pritzel, A., and Blundell, C. (2017). Simple and Scalable Predictive Uncertainty Estimation using Deep Ensembles. NeurIPS 2017. arXiv:1612.01474. [peer-reviewed] [Agreement can reflect shared biases not genuine confidence; disagreement increases for out-of-distribution inputs; referenced in Sections 2.6, 6, 6.7.]</w:t>
      </w:r>
    </w:p>
    <w:p>
      <w:pPr>
        <w:spacing w:before="0" w:after="200" w:line="276" w:lineRule="auto"/>
      </w:pPr>
      <w:r>
        <w:rPr>
          <w:rFonts w:ascii="Arial" w:cs="Arial" w:eastAsia="Arial" w:hAnsi="Arial"/>
          <w:color w:val="2C2C2C"/>
          <w:sz w:val="22"/>
          <w:szCs w:val="22"/>
        </w:rPr>
        <w:t xml:space="preserve">Li, J. et al. (2024). Structured Chain-of-Thought Prompting for Code Generation. ACM TOSEM. DOI: 10.1145/3690635. [peer-reviewed] [+13.79% Pass@1 HumanEval; +12.31% MBPP vs standard CoT; referenced in Sections 2.6, 12.3.]</w:t>
      </w:r>
    </w:p>
    <w:p>
      <w:pPr>
        <w:spacing w:before="0" w:after="200" w:line="276" w:lineRule="auto"/>
      </w:pPr>
      <w:r>
        <w:rPr>
          <w:rFonts w:ascii="Arial" w:cs="Arial" w:eastAsia="Arial" w:hAnsi="Arial"/>
          <w:color w:val="2C2C2C"/>
          <w:sz w:val="22"/>
          <w:szCs w:val="22"/>
        </w:rPr>
        <w:t xml:space="preserve">Ma, L. et al. (2025). SpecGen: Automated Generation of Formal Program Specifications via Large Language Models. ICSE 2025. DOI: 10.1109/ICSE55347.2025.00129. [peer-reviewed] [279/385 programs (72.5%) with verifiable specifications; referenced in Sections 2.6, 11.1, 14.]</w:t>
      </w:r>
    </w:p>
    <w:p>
      <w:pPr>
        <w:spacing w:before="0" w:after="200" w:line="276" w:lineRule="auto"/>
      </w:pPr>
      <w:r>
        <w:rPr>
          <w:rFonts w:ascii="Arial" w:cs="Arial" w:eastAsia="Arial" w:hAnsi="Arial"/>
          <w:color w:val="2C2C2C"/>
          <w:sz w:val="22"/>
          <w:szCs w:val="22"/>
        </w:rPr>
        <w:t xml:space="preserve">McMillan, D. (2026). Structured Context Engineering for File-Native Agentic Systems. arXiv:2602.05447. [preprint] [9,649 experiments; file-based retrieval +2.7% frontier models; referenced in Section 12.3.]</w:t>
      </w:r>
    </w:p>
    <w:p>
      <w:pPr>
        <w:spacing w:before="0" w:after="200" w:line="276" w:lineRule="auto"/>
      </w:pPr>
      <w:r>
        <w:rPr>
          <w:rFonts w:ascii="Arial" w:cs="Arial" w:eastAsia="Arial" w:hAnsi="Arial"/>
          <w:color w:val="2C2C2C"/>
          <w:sz w:val="22"/>
          <w:szCs w:val="22"/>
        </w:rPr>
        <w:t xml:space="preserve">Menzies, T., Nichols, W., Shull, F., and Layman, L. (2017). Are Delayed Issues Harder to Resolve? Revisiting Cost-to-Fix of Defects throughout the Lifecycle. Empirical Software Engineering 22(4):1903-1935. DOI: 10.1007/s10664-016-9469-x. [peer-reviewed] [171 commercial projects; 2.16x to 4.37x cost escalation for requirements defects at integration testing; referenced in Sections 2.2, 3.3, 12.1, 14.]</w:t>
      </w:r>
    </w:p>
    <w:p>
      <w:pPr>
        <w:spacing w:before="0" w:after="200" w:line="276" w:lineRule="auto"/>
      </w:pPr>
      <w:r>
        <w:rPr>
          <w:rFonts w:ascii="Arial" w:cs="Arial" w:eastAsia="Arial" w:hAnsi="Arial"/>
          <w:color w:val="2C2C2C"/>
          <w:sz w:val="22"/>
          <w:szCs w:val="22"/>
        </w:rPr>
        <w:t xml:space="preserve">NASA Johnson Space Center (2010). Error Cost Escalation Through the Project Life Cycle. Technical Report 20100036670. [government technical report] [Software cost factors: Requirements=1x, Design=5x, Code=10x, Test=50.5x; referenced in Sections 2.6, 3.2.]</w:t>
      </w:r>
    </w:p>
    <w:p>
      <w:pPr>
        <w:spacing w:before="0" w:after="200" w:line="276" w:lineRule="auto"/>
      </w:pPr>
      <w:r>
        <w:rPr>
          <w:rFonts w:ascii="Arial" w:cs="Arial" w:eastAsia="Arial" w:hAnsi="Arial"/>
          <w:color w:val="2C2C2C"/>
          <w:sz w:val="22"/>
          <w:szCs w:val="22"/>
        </w:rPr>
        <w:t xml:space="preserve">NIST AI 600-1 (2024). Artificial Intelligence Risk Management Framework: Generative Artificial Intelligence Profile. doi:10.6028/NIST.AI.600-1. [vendor documentation -- standards body] [Govern-Map-Measure-Manage functions; content provenance; pre-deployment testing; incident disclosure; referenced in Section 13.]</w:t>
      </w:r>
    </w:p>
    <w:p>
      <w:pPr>
        <w:spacing w:before="0" w:after="200" w:line="276" w:lineRule="auto"/>
      </w:pPr>
      <w:r>
        <w:rPr>
          <w:rFonts w:ascii="Arial" w:cs="Arial" w:eastAsia="Arial" w:hAnsi="Arial"/>
          <w:color w:val="2C2C2C"/>
          <w:sz w:val="22"/>
          <w:szCs w:val="22"/>
        </w:rPr>
        <w:t xml:space="preserve">NIST SP 800-92 (2006). Guide to Computer Security Log Management. Kent and Souppaya. doi:10.6028/NIST.SP.800-92. [vendor documentation -- standards body] [Log integrity, availability, and confidentiality requirements; referenced in Section 13.]</w:t>
      </w:r>
    </w:p>
    <w:p>
      <w:pPr>
        <w:spacing w:before="0" w:after="200" w:line="276" w:lineRule="auto"/>
      </w:pPr>
      <w:r>
        <w:rPr>
          <w:rFonts w:ascii="Arial" w:cs="Arial" w:eastAsia="Arial" w:hAnsi="Arial"/>
          <w:color w:val="2C2C2C"/>
          <w:sz w:val="22"/>
          <w:szCs w:val="22"/>
        </w:rPr>
        <w:t xml:space="preserve">OpenSSF SLSA v1.1 (2025). Supply chain Levels for Software Artifacts. slsa.dev. [vendor documentation] [Four-level artifact provenance framework; referenced in Section 13.]</w:t>
      </w:r>
    </w:p>
    <w:p>
      <w:pPr>
        <w:spacing w:before="0" w:after="200" w:line="276" w:lineRule="auto"/>
      </w:pPr>
      <w:r>
        <w:rPr>
          <w:rFonts w:ascii="Arial" w:cs="Arial" w:eastAsia="Arial" w:hAnsi="Arial"/>
          <w:color w:val="2C2C2C"/>
          <w:sz w:val="22"/>
          <w:szCs w:val="22"/>
        </w:rPr>
        <w:t xml:space="preserve">OpenTelemetry (current). Generative AI Semantic Conventions. opentelemetry.io/docs/specs/semconv/gen-ai/. CNCF. [vendor documentation] ['Development' stability status; OTEL_SEMCONV_STABILITY_OPT_IN transition mechanism; referenced in Section 13.]</w:t>
      </w:r>
    </w:p>
    <w:p>
      <w:pPr>
        <w:spacing w:before="0" w:after="200" w:line="276" w:lineRule="auto"/>
      </w:pPr>
      <w:r>
        <w:rPr>
          <w:rFonts w:ascii="Arial" w:cs="Arial" w:eastAsia="Arial" w:hAnsi="Arial"/>
          <w:color w:val="2C2C2C"/>
          <w:sz w:val="22"/>
          <w:szCs w:val="22"/>
        </w:rPr>
        <w:t xml:space="preserve">Ong, I. et al. (2025). RouteLLM: Learning to Route LLMs with Preference Data. ICLR 2025. [peer-reviewed] [&gt;85% cost reduction on MT-Bench; &gt;2x cost reduction on standard benchmarks; referenced in Section 5.1.]</w:t>
      </w:r>
    </w:p>
    <w:p>
      <w:pPr>
        <w:spacing w:before="0" w:after="200" w:line="276" w:lineRule="auto"/>
      </w:pPr>
      <w:r>
        <w:rPr>
          <w:rFonts w:ascii="Arial" w:cs="Arial" w:eastAsia="Arial" w:hAnsi="Arial"/>
          <w:color w:val="2C2C2C"/>
          <w:sz w:val="22"/>
          <w:szCs w:val="22"/>
        </w:rPr>
        <w:t xml:space="preserve">Wang, J. et al. (2025). Mixture-of-Agents Enhances Large Language Model Capabilities. ICLR 2025 Spotlight. arXiv:2406.04692. [peer-reviewed] [65.1% AlpacaEval 2.0 vs 57.5% GPT-4o alone; layered multi-model architecture; referenced in Sections 2.6, 12.3.]</w:t>
      </w:r>
    </w:p>
    <w:p>
      <w:pPr>
        <w:spacing w:before="0" w:after="200" w:line="276" w:lineRule="auto"/>
      </w:pPr>
      <w:r>
        <w:rPr>
          <w:rFonts w:ascii="Arial" w:cs="Arial" w:eastAsia="Arial" w:hAnsi="Arial"/>
          <w:color w:val="2C2C2C"/>
          <w:sz w:val="22"/>
          <w:szCs w:val="22"/>
        </w:rPr>
        <w:t xml:space="preserve">Wu, H. et al. (2024). LLM Meets Bounded Model Checking: Neuro-symbolic Loop Invariant Inference. ASE 2024:1395-1407. [peer-reviewed] [309 correct loop invariants out of 316 benchmark problems; referenced in Section 11.1.]</w:t>
      </w:r>
    </w:p>
    <w:p>
      <w:pPr>
        <w:spacing w:before="80" w:after="0"/>
      </w:pPr>
    </w:p>
    <w:p>
      <w:pPr>
        <w:spacing w:before="0" w:after="200" w:line="276" w:lineRule="auto"/>
      </w:pPr>
      <w:r>
        <w:rPr>
          <w:rFonts w:ascii="Arial" w:cs="Arial" w:eastAsia="Arial" w:hAnsi="Arial"/>
          <w:color w:val="2C2C2C"/>
          <w:sz w:val="22"/>
          <w:szCs w:val="22"/>
        </w:rPr>
        <w:t xml:space="preserve">AIMultiple (2026). Best LLMs for Extended Context Windows in 2026. aimultiple.com/ai-context-window. [practitioner/community evidence] [Models claiming 200K tokens show practical reliability degradation around ~130K tokens; referenced in Section 2.1.]</w:t>
      </w:r>
    </w:p>
    <w:p>
      <w:pPr>
        <w:spacing w:before="0" w:after="200" w:line="276" w:lineRule="auto"/>
      </w:pPr>
      <w:r>
        <w:rPr>
          <w:rFonts w:ascii="Arial" w:cs="Arial" w:eastAsia="Arial" w:hAnsi="Arial"/>
          <w:color w:val="2C2C2C"/>
          <w:sz w:val="22"/>
          <w:szCs w:val="22"/>
        </w:rPr>
        <w:t xml:space="preserve">Chromium Project (n.d.). Using Chromium with SwiftShader. chromium.googlesource.com. [vendor documentation] [SwiftShader WebGL fallback deprecation; impact on headless/CI environments; referenced in Sections 2.6, 4 implicitly.]</w:t>
      </w:r>
    </w:p>
    <w:p>
      <w:pPr>
        <w:spacing w:before="0" w:after="200" w:line="276" w:lineRule="auto"/>
      </w:pPr>
      <w:r>
        <w:rPr>
          <w:rFonts w:ascii="Arial" w:cs="Arial" w:eastAsia="Arial" w:hAnsi="Arial"/>
          <w:color w:val="2C2C2C"/>
          <w:sz w:val="22"/>
          <w:szCs w:val="22"/>
        </w:rPr>
        <w:t xml:space="preserve">Federal Reserve SR 11-7 (2011). Guidance on Model Risk Management. federalreserve.gov. [regulatory] [Independent validation and outcome analysis requirements; referenced in Section 13.]</w:t>
      </w:r>
    </w:p>
    <w:p>
      <w:pPr>
        <w:spacing w:before="0" w:after="200" w:line="276" w:lineRule="auto"/>
      </w:pPr>
      <w:r>
        <w:rPr>
          <w:rFonts w:ascii="Arial" w:cs="Arial" w:eastAsia="Arial" w:hAnsi="Arial"/>
          <w:color w:val="2C2C2C"/>
          <w:sz w:val="22"/>
          <w:szCs w:val="22"/>
        </w:rPr>
        <w:t xml:space="preserve">Mozilla Bugzilla #1375585. Support WebGL in headless mode. bugzilla.mozilla.org. [practitioner/community evidence] [Firefox headless mode historically disabled WebGL due to stability and display-server interactions; referenced in Section 2.6.]</w:t>
      </w:r>
    </w:p>
    <w:p>
      <w:pPr>
        <w:spacing w:before="0" w:after="200" w:line="276" w:lineRule="auto"/>
      </w:pPr>
      <w:r>
        <w:rPr>
          <w:rFonts w:ascii="Arial" w:cs="Arial" w:eastAsia="Arial" w:hAnsi="Arial"/>
          <w:color w:val="2C2C2C"/>
          <w:sz w:val="22"/>
          <w:szCs w:val="22"/>
        </w:rPr>
        <w:t xml:space="preserve">Slack Engineering (2022). Handling Flaky Tests at Scale: Auto Detection and Suppression. slack.engineering. [vendor documentation] [Test job failure rate 56.76% before Project Cornflake, reduced to 3.85%; referenced in Section 12.3 implicitly via flaky test data.]</w:t>
      </w:r>
    </w:p>
    <w:p>
      <w:pPr>
        <w:spacing w:before="0" w:after="200" w:line="276" w:lineRule="auto"/>
      </w:pPr>
      <w:r>
        <w:rPr>
          <w:rFonts w:ascii="Arial" w:cs="Arial" w:eastAsia="Arial" w:hAnsi="Arial"/>
          <w:color w:val="2C2C2C"/>
          <w:sz w:val="22"/>
          <w:szCs w:val="22"/>
        </w:rPr>
        <w:t xml:space="preserve">Sun, C. et al. (2025). ClassInvGen: Class Invariant Synthesis using Large Language Models. [peer-reviewed] [Class invariant correctness improved from 77% to 100% through invariant-test co-generation; referenced in Section 11.1.]</w:t>
      </w:r>
    </w:p>
    <w:p>
      <w:pPr>
        <w:spacing w:before="0" w:after="200" w:line="276" w:lineRule="auto"/>
      </w:pPr>
      <w:r>
        <w:rPr>
          <w:rFonts w:ascii="Arial" w:cs="Arial" w:eastAsia="Arial" w:hAnsi="Arial"/>
          <w:color w:val="2C2C2C"/>
          <w:sz w:val="22"/>
          <w:szCs w:val="22"/>
        </w:rPr>
        <w:t xml:space="preserve">UKAS (2026). UKAS Grants First AIMS Accreditation. ukas.com. [vendor documentation] [First accreditation for ISO/IEC 42001 certification; referenced in Section 13.]</w:t>
      </w:r>
    </w:p>
    <w:p>
      <w:pPr>
        <w:spacing w:before="0" w:after="200" w:line="276" w:lineRule="auto"/>
      </w:pPr>
      <w:r>
        <w:rPr>
          <w:rFonts w:ascii="Arial" w:cs="Arial" w:eastAsia="Arial" w:hAnsi="Arial"/>
          <w:color w:val="2C2C2C"/>
          <w:sz w:val="22"/>
          <w:szCs w:val="22"/>
        </w:rPr>
        <w:t xml:space="preserve">Vallecillos Ruiz, F., Hort, M., and Moonen, L. (2025). Wisdom and Delusion of LLM Ensembles for Code Generation and Repair. arXiv:2510.21513. [preprint] [Ensemble theoretical ceiling 83% above best single model; popularity trap in majority voting; diversity-based strategies realize 95% of potential; referenced in Section 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Enterprise Delivery Governance  |  WP-002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2026-03-19T22:38:41.774Z</dcterms:created>
  <dcterms:modified xsi:type="dcterms:W3CDTF">2026-03-19T22:38:41.775Z</dcterms:modified>
</cp:coreProperties>
</file>

<file path=docProps/custom.xml><?xml version="1.0" encoding="utf-8"?>
<Properties xmlns="http://schemas.openxmlformats.org/officeDocument/2006/custom-properties" xmlns:vt="http://schemas.openxmlformats.org/officeDocument/2006/docPropsVTypes"/>
</file>