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6"/>
          <w:szCs w:val="56"/>
        </w:rPr>
        <w:t xml:space="preserve">Platform Architecture and Token Intelligence</w:t>
      </w:r>
    </w:p>
    <w:p>
      <w:pPr>
        <w:spacing w:before="60" w:after="40"/>
        <w:jc w:val="center"/>
      </w:pPr>
      <w:r>
        <w:rPr>
          <w:rFonts w:ascii="Arial" w:cs="Arial" w:eastAsia="Arial" w:hAnsi="Arial"/>
          <w:b/>
          <w:bCs/>
          <w:color w:val="1B2A4A"/>
          <w:sz w:val="36"/>
          <w:szCs w:val="36"/>
        </w:rPr>
        <w:t xml:space="preserve">Token Optimization, Planning Mode, Natural Language Interface,</w:t>
      </w:r>
    </w:p>
    <w:p>
      <w:pPr>
        <w:spacing w:before="40" w:after="60"/>
        <w:jc w:val="center"/>
      </w:pPr>
      <w:r>
        <w:rPr>
          <w:rFonts w:ascii="Arial" w:cs="Arial" w:eastAsia="Arial" w:hAnsi="Arial"/>
          <w:b w:val="false"/>
          <w:bCs w:val="false"/>
          <w:color w:val="555555"/>
          <w:sz w:val="28"/>
          <w:szCs w:val="28"/>
        </w:rPr>
        <w:t xml:space="preserve">Dynamic Task Prioritization, and Context Health Monitoring</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WP-003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all LLM model references updated to March 2026 state. Claude 3.5 Haiku, Claude 3.7 Sonnet, and Llama 3.1 70B replaced with current equivalents (Claude Haiku 4.5, Llama 3.3 70B). Model pricing table completely rebuilt to reflect current pricing across all providers. Context windows updated: Claude Opus/Sonnet 4.6 now 1M tokens GA; GPT-4.1 family at 1.05M tokens; Gemini 2.5 Pro/Flash at 1M tokens. Cost illustration table recalculated. API response fields table expanded to document reasoning/thinking token sub-fields. New models added to cross-model comparison: GPT-4.1, Gemini 2.5 Flash, DeepSeek V3.2. Deprecated model notes added throughout.</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5</w:t>
      </w:r>
    </w:p>
    <w:p>
      <w:pPr>
        <w:spacing w:before="0" w:after="200" w:line="276" w:lineRule="auto"/>
      </w:pPr>
      <w:r>
        <w:rPr>
          <w:rFonts w:ascii="Arial" w:cs="Arial" w:eastAsia="Arial" w:hAnsi="Arial"/>
          <w:color w:val="2C2C2C"/>
          <w:sz w:val="22"/>
          <w:szCs w:val="22"/>
        </w:rPr>
        <w:t xml:space="preserve">   2.1 Token Opacity Across Providers ..... 5</w:t>
      </w:r>
    </w:p>
    <w:p>
      <w:pPr>
        <w:spacing w:before="0" w:after="200" w:line="276" w:lineRule="auto"/>
      </w:pPr>
      <w:r>
        <w:rPr>
          <w:rFonts w:ascii="Arial" w:cs="Arial" w:eastAsia="Arial" w:hAnsi="Arial"/>
          <w:color w:val="2C2C2C"/>
          <w:sz w:val="22"/>
          <w:szCs w:val="22"/>
        </w:rPr>
        <w:t xml:space="preserve">   2.2 Plan Impermanence ..... 6</w:t>
      </w:r>
    </w:p>
    <w:p>
      <w:pPr>
        <w:spacing w:before="0" w:after="200" w:line="276" w:lineRule="auto"/>
      </w:pPr>
      <w:r>
        <w:rPr>
          <w:rFonts w:ascii="Arial" w:cs="Arial" w:eastAsia="Arial" w:hAnsi="Arial"/>
          <w:color w:val="2C2C2C"/>
          <w:sz w:val="22"/>
          <w:szCs w:val="22"/>
        </w:rPr>
        <w:t xml:space="preserve">   2.3 Unstructured Task Prioritization ..... 6</w:t>
      </w:r>
    </w:p>
    <w:p>
      <w:pPr>
        <w:spacing w:before="0" w:after="200" w:line="276" w:lineRule="auto"/>
      </w:pPr>
      <w:r>
        <w:rPr>
          <w:rFonts w:ascii="Arial" w:cs="Arial" w:eastAsia="Arial" w:hAnsi="Arial"/>
          <w:color w:val="2C2C2C"/>
          <w:sz w:val="22"/>
          <w:szCs w:val="22"/>
        </w:rPr>
        <w:t xml:space="preserve">   2.4 Context Degradation Without Warning ..... 6</w:t>
      </w:r>
    </w:p>
    <w:p>
      <w:pPr>
        <w:spacing w:before="0" w:after="200" w:line="276" w:lineRule="auto"/>
      </w:pPr>
      <w:r>
        <w:rPr>
          <w:rFonts w:ascii="Arial" w:cs="Arial" w:eastAsia="Arial" w:hAnsi="Arial"/>
          <w:color w:val="2C2C2C"/>
          <w:sz w:val="22"/>
          <w:szCs w:val="22"/>
        </w:rPr>
        <w:t xml:space="preserve">3. Token Optimization System ..... 7</w:t>
      </w:r>
    </w:p>
    <w:p>
      <w:pPr>
        <w:spacing w:before="0" w:after="200" w:line="276" w:lineRule="auto"/>
      </w:pPr>
      <w:r>
        <w:rPr>
          <w:rFonts w:ascii="Arial" w:cs="Arial" w:eastAsia="Arial" w:hAnsi="Arial"/>
          <w:color w:val="2C2C2C"/>
          <w:sz w:val="22"/>
          <w:szCs w:val="22"/>
        </w:rPr>
        <w:t xml:space="preserve">   3.1 Token Data Availability Across Providers ..... 7</w:t>
      </w:r>
    </w:p>
    <w:p>
      <w:pPr>
        <w:spacing w:before="0" w:after="200" w:line="276" w:lineRule="auto"/>
      </w:pPr>
      <w:r>
        <w:rPr>
          <w:rFonts w:ascii="Arial" w:cs="Arial" w:eastAsia="Arial" w:hAnsi="Arial"/>
          <w:color w:val="2C2C2C"/>
          <w:sz w:val="22"/>
          <w:szCs w:val="22"/>
        </w:rPr>
        <w:t xml:space="preserve">   3.2 Four-Level Architecture ..... 8</w:t>
      </w:r>
    </w:p>
    <w:p>
      <w:pPr>
        <w:spacing w:before="0" w:after="200" w:line="276" w:lineRule="auto"/>
      </w:pPr>
      <w:r>
        <w:rPr>
          <w:rFonts w:ascii="Arial" w:cs="Arial" w:eastAsia="Arial" w:hAnsi="Arial"/>
          <w:color w:val="2C2C2C"/>
          <w:sz w:val="22"/>
          <w:szCs w:val="22"/>
        </w:rPr>
        <w:t xml:space="preserve">   3.3 Database Schema for Token Tracking ..... 11</w:t>
      </w:r>
    </w:p>
    <w:p>
      <w:pPr>
        <w:spacing w:before="0" w:after="200" w:line="276" w:lineRule="auto"/>
      </w:pPr>
      <w:r>
        <w:rPr>
          <w:rFonts w:ascii="Arial" w:cs="Arial" w:eastAsia="Arial" w:hAnsi="Arial"/>
          <w:color w:val="2C2C2C"/>
          <w:sz w:val="22"/>
          <w:szCs w:val="22"/>
        </w:rPr>
        <w:t xml:space="preserve">   3.4 Budget Alert and Enforcement System ..... 12</w:t>
      </w:r>
    </w:p>
    <w:p>
      <w:pPr>
        <w:spacing w:before="0" w:after="200" w:line="276" w:lineRule="auto"/>
      </w:pPr>
      <w:r>
        <w:rPr>
          <w:rFonts w:ascii="Arial" w:cs="Arial" w:eastAsia="Arial" w:hAnsi="Arial"/>
          <w:color w:val="2C2C2C"/>
          <w:sz w:val="22"/>
          <w:szCs w:val="22"/>
        </w:rPr>
        <w:t xml:space="preserve">4. Planning Mode Architecture ..... 13</w:t>
      </w:r>
    </w:p>
    <w:p>
      <w:pPr>
        <w:spacing w:before="0" w:after="200" w:line="276" w:lineRule="auto"/>
      </w:pPr>
      <w:r>
        <w:rPr>
          <w:rFonts w:ascii="Arial" w:cs="Arial" w:eastAsia="Arial" w:hAnsi="Arial"/>
          <w:color w:val="2C2C2C"/>
          <w:sz w:val="22"/>
          <w:szCs w:val="22"/>
        </w:rPr>
        <w:t xml:space="preserve">   4.1 Plans as First-Class Persistent Objects ..... 13</w:t>
      </w:r>
    </w:p>
    <w:p>
      <w:pPr>
        <w:spacing w:before="0" w:after="200" w:line="276" w:lineRule="auto"/>
      </w:pPr>
      <w:r>
        <w:rPr>
          <w:rFonts w:ascii="Arial" w:cs="Arial" w:eastAsia="Arial" w:hAnsi="Arial"/>
          <w:color w:val="2C2C2C"/>
          <w:sz w:val="22"/>
          <w:szCs w:val="22"/>
        </w:rPr>
        <w:t xml:space="preserve">   4.2 Plan Data Model and Task State Machine ..... 14</w:t>
      </w:r>
    </w:p>
    <w:p>
      <w:pPr>
        <w:spacing w:before="0" w:after="200" w:line="276" w:lineRule="auto"/>
      </w:pPr>
      <w:r>
        <w:rPr>
          <w:rFonts w:ascii="Arial" w:cs="Arial" w:eastAsia="Arial" w:hAnsi="Arial"/>
          <w:color w:val="2C2C2C"/>
          <w:sz w:val="22"/>
          <w:szCs w:val="22"/>
        </w:rPr>
        <w:t xml:space="preserve">   4.3 Plan Execution Workflow ..... 16</w:t>
      </w:r>
    </w:p>
    <w:p>
      <w:pPr>
        <w:spacing w:before="0" w:after="200" w:line="276" w:lineRule="auto"/>
      </w:pPr>
      <w:r>
        <w:rPr>
          <w:rFonts w:ascii="Arial" w:cs="Arial" w:eastAsia="Arial" w:hAnsi="Arial"/>
          <w:color w:val="2C2C2C"/>
          <w:sz w:val="22"/>
          <w:szCs w:val="22"/>
        </w:rPr>
        <w:t xml:space="preserve">   4.4 DEL-v2 Integration at Task Boundaries ..... 17</w:t>
      </w:r>
    </w:p>
    <w:p>
      <w:pPr>
        <w:spacing w:before="0" w:after="200" w:line="276" w:lineRule="auto"/>
      </w:pPr>
      <w:r>
        <w:rPr>
          <w:rFonts w:ascii="Arial" w:cs="Arial" w:eastAsia="Arial" w:hAnsi="Arial"/>
          <w:color w:val="2C2C2C"/>
          <w:sz w:val="22"/>
          <w:szCs w:val="22"/>
        </w:rPr>
        <w:t xml:space="preserve">      4.4.1 Plan Failure Recovery ..... 18</w:t>
      </w:r>
    </w:p>
    <w:p>
      <w:pPr>
        <w:spacing w:before="0" w:after="200" w:line="276" w:lineRule="auto"/>
      </w:pPr>
      <w:r>
        <w:rPr>
          <w:rFonts w:ascii="Arial" w:cs="Arial" w:eastAsia="Arial" w:hAnsi="Arial"/>
          <w:color w:val="2C2C2C"/>
          <w:sz w:val="22"/>
          <w:szCs w:val="22"/>
        </w:rPr>
        <w:t xml:space="preserve">   4.5 Plan Portability Across Context and Model Boundaries ..... 19</w:t>
      </w:r>
    </w:p>
    <w:p>
      <w:pPr>
        <w:spacing w:before="0" w:after="200" w:line="276" w:lineRule="auto"/>
      </w:pPr>
      <w:r>
        <w:rPr>
          <w:rFonts w:ascii="Arial" w:cs="Arial" w:eastAsia="Arial" w:hAnsi="Arial"/>
          <w:color w:val="2C2C2C"/>
          <w:sz w:val="22"/>
          <w:szCs w:val="22"/>
        </w:rPr>
        <w:t xml:space="preserve">   4.6 Diff-Based Context Injection ..... 20</w:t>
      </w:r>
    </w:p>
    <w:p>
      <w:pPr>
        <w:spacing w:before="0" w:after="200" w:line="276" w:lineRule="auto"/>
      </w:pPr>
      <w:r>
        <w:rPr>
          <w:rFonts w:ascii="Arial" w:cs="Arial" w:eastAsia="Arial" w:hAnsi="Arial"/>
          <w:color w:val="2C2C2C"/>
          <w:sz w:val="22"/>
          <w:szCs w:val="22"/>
        </w:rPr>
        <w:t xml:space="preserve">   4.7 Contextual Memory Layer ..... 23</w:t>
      </w:r>
    </w:p>
    <w:p>
      <w:pPr>
        <w:spacing w:before="0" w:after="200" w:line="276" w:lineRule="auto"/>
      </w:pPr>
      <w:r>
        <w:rPr>
          <w:rFonts w:ascii="Arial" w:cs="Arial" w:eastAsia="Arial" w:hAnsi="Arial"/>
          <w:color w:val="2C2C2C"/>
          <w:sz w:val="22"/>
          <w:szCs w:val="22"/>
        </w:rPr>
        <w:t xml:space="preserve">5. ChatGPT-Style Natural Language Interface ..... 27</w:t>
      </w:r>
    </w:p>
    <w:p>
      <w:pPr>
        <w:spacing w:before="0" w:after="200" w:line="276" w:lineRule="auto"/>
      </w:pPr>
      <w:r>
        <w:rPr>
          <w:rFonts w:ascii="Arial" w:cs="Arial" w:eastAsia="Arial" w:hAnsi="Arial"/>
          <w:color w:val="2C2C2C"/>
          <w:sz w:val="22"/>
          <w:szCs w:val="22"/>
        </w:rPr>
        <w:t xml:space="preserve">   5.1 Five-Layer Architecture ..... 27</w:t>
      </w:r>
    </w:p>
    <w:p>
      <w:pPr>
        <w:spacing w:before="0" w:after="200" w:line="276" w:lineRule="auto"/>
      </w:pPr>
      <w:r>
        <w:rPr>
          <w:rFonts w:ascii="Arial" w:cs="Arial" w:eastAsia="Arial" w:hAnsi="Arial"/>
          <w:color w:val="2C2C2C"/>
          <w:sz w:val="22"/>
          <w:szCs w:val="22"/>
        </w:rPr>
        <w:t xml:space="preserve">   5.2 Token Visibility in the Chat Interface ..... 31</w:t>
      </w:r>
    </w:p>
    <w:p>
      <w:pPr>
        <w:spacing w:before="0" w:after="200" w:line="276" w:lineRule="auto"/>
      </w:pPr>
      <w:r>
        <w:rPr>
          <w:rFonts w:ascii="Arial" w:cs="Arial" w:eastAsia="Arial" w:hAnsi="Arial"/>
          <w:color w:val="2C2C2C"/>
          <w:sz w:val="22"/>
          <w:szCs w:val="22"/>
        </w:rPr>
        <w:t xml:space="preserve">6. Dynamic Task Prioritization System ..... 32</w:t>
      </w:r>
    </w:p>
    <w:p>
      <w:pPr>
        <w:spacing w:before="0" w:after="200" w:line="276" w:lineRule="auto"/>
      </w:pPr>
      <w:r>
        <w:rPr>
          <w:rFonts w:ascii="Arial" w:cs="Arial" w:eastAsia="Arial" w:hAnsi="Arial"/>
          <w:color w:val="2C2C2C"/>
          <w:sz w:val="22"/>
          <w:szCs w:val="22"/>
        </w:rPr>
        <w:t xml:space="preserve">   6.1 Scoring Methodology ..... 32</w:t>
      </w:r>
    </w:p>
    <w:p>
      <w:pPr>
        <w:spacing w:before="0" w:after="200" w:line="276" w:lineRule="auto"/>
      </w:pPr>
      <w:r>
        <w:rPr>
          <w:rFonts w:ascii="Arial" w:cs="Arial" w:eastAsia="Arial" w:hAnsi="Arial"/>
          <w:color w:val="2C2C2C"/>
          <w:sz w:val="22"/>
          <w:szCs w:val="22"/>
        </w:rPr>
        <w:t xml:space="preserve">   6.2 Session Start Protocol ..... 33</w:t>
      </w:r>
    </w:p>
    <w:p>
      <w:pPr>
        <w:spacing w:before="0" w:after="200" w:line="276" w:lineRule="auto"/>
      </w:pPr>
      <w:r>
        <w:rPr>
          <w:rFonts w:ascii="Arial" w:cs="Arial" w:eastAsia="Arial" w:hAnsi="Arial"/>
          <w:color w:val="2C2C2C"/>
          <w:sz w:val="22"/>
          <w:szCs w:val="22"/>
        </w:rPr>
        <w:t xml:space="preserve">   6.3 Override Rules ..... 34</w:t>
      </w:r>
    </w:p>
    <w:p>
      <w:pPr>
        <w:spacing w:before="0" w:after="200" w:line="276" w:lineRule="auto"/>
      </w:pPr>
      <w:r>
        <w:rPr>
          <w:rFonts w:ascii="Arial" w:cs="Arial" w:eastAsia="Arial" w:hAnsi="Arial"/>
          <w:color w:val="2C2C2C"/>
          <w:sz w:val="22"/>
          <w:szCs w:val="22"/>
        </w:rPr>
        <w:t xml:space="preserve">   6.4 Scheduled Reporting ..... 35</w:t>
      </w:r>
    </w:p>
    <w:p>
      <w:pPr>
        <w:spacing w:before="0" w:after="200" w:line="276" w:lineRule="auto"/>
      </w:pPr>
      <w:r>
        <w:rPr>
          <w:rFonts w:ascii="Arial" w:cs="Arial" w:eastAsia="Arial" w:hAnsi="Arial"/>
          <w:color w:val="2C2C2C"/>
          <w:sz w:val="22"/>
          <w:szCs w:val="22"/>
        </w:rPr>
        <w:t xml:space="preserve">7. Context Health Monitoring ..... 37</w:t>
      </w:r>
    </w:p>
    <w:p>
      <w:pPr>
        <w:spacing w:before="0" w:after="200" w:line="276" w:lineRule="auto"/>
      </w:pPr>
      <w:r>
        <w:rPr>
          <w:rFonts w:ascii="Arial" w:cs="Arial" w:eastAsia="Arial" w:hAnsi="Arial"/>
          <w:color w:val="2C2C2C"/>
          <w:sz w:val="22"/>
          <w:szCs w:val="22"/>
        </w:rPr>
        <w:t xml:space="preserve">   7.1 Health Threshold Definitions and Alert Delivery ..... 37</w:t>
      </w:r>
    </w:p>
    <w:p>
      <w:pPr>
        <w:spacing w:before="0" w:after="200" w:line="276" w:lineRule="auto"/>
      </w:pPr>
      <w:r>
        <w:rPr>
          <w:rFonts w:ascii="Arial" w:cs="Arial" w:eastAsia="Arial" w:hAnsi="Arial"/>
          <w:color w:val="2C2C2C"/>
          <w:sz w:val="22"/>
          <w:szCs w:val="22"/>
        </w:rPr>
        <w:t xml:space="preserve">   7.2 Predictive Trajectory Model ..... 38</w:t>
      </w:r>
    </w:p>
    <w:p>
      <w:pPr>
        <w:spacing w:before="0" w:after="200" w:line="276" w:lineRule="auto"/>
      </w:pPr>
      <w:r>
        <w:rPr>
          <w:rFonts w:ascii="Arial" w:cs="Arial" w:eastAsia="Arial" w:hAnsi="Arial"/>
          <w:color w:val="2C2C2C"/>
          <w:sz w:val="22"/>
          <w:szCs w:val="22"/>
        </w:rPr>
        <w:t xml:space="preserve">8. Cross-Model Cost Optimization ..... 39</w:t>
      </w:r>
    </w:p>
    <w:p>
      <w:pPr>
        <w:spacing w:before="0" w:after="200" w:line="276" w:lineRule="auto"/>
      </w:pPr>
      <w:r>
        <w:rPr>
          <w:rFonts w:ascii="Arial" w:cs="Arial" w:eastAsia="Arial" w:hAnsi="Arial"/>
          <w:color w:val="2C2C2C"/>
          <w:sz w:val="22"/>
          <w:szCs w:val="22"/>
        </w:rPr>
        <w:t xml:space="preserve">9. Implementation Evidence ..... 41</w:t>
      </w:r>
    </w:p>
    <w:p>
      <w:pPr>
        <w:spacing w:before="0" w:after="200" w:line="276" w:lineRule="auto"/>
      </w:pPr>
      <w:r>
        <w:rPr>
          <w:rFonts w:ascii="Arial" w:cs="Arial" w:eastAsia="Arial" w:hAnsi="Arial"/>
          <w:color w:val="2C2C2C"/>
          <w:sz w:val="22"/>
          <w:szCs w:val="22"/>
        </w:rPr>
        <w:t xml:space="preserve">10. Integration Points ..... 42</w:t>
      </w:r>
    </w:p>
    <w:p>
      <w:pPr>
        <w:spacing w:before="0" w:after="200" w:line="276" w:lineRule="auto"/>
      </w:pPr>
      <w:r>
        <w:rPr>
          <w:rFonts w:ascii="Arial" w:cs="Arial" w:eastAsia="Arial" w:hAnsi="Arial"/>
          <w:color w:val="2C2C2C"/>
          <w:sz w:val="22"/>
          <w:szCs w:val="22"/>
        </w:rPr>
        <w:t xml:space="preserve">11. Conclusion ..... 43</w:t>
      </w:r>
    </w:p>
    <w:p>
      <w:pPr>
        <w:spacing w:before="0" w:after="200" w:line="276" w:lineRule="auto"/>
      </w:pPr>
      <w:r>
        <w:rPr>
          <w:rFonts w:ascii="Arial" w:cs="Arial" w:eastAsia="Arial" w:hAnsi="Arial"/>
          <w:color w:val="2C2C2C"/>
          <w:sz w:val="22"/>
          <w:szCs w:val="22"/>
        </w:rPr>
        <w:t xml:space="preserve">Appendix A. Glossary ..... 44</w:t>
      </w:r>
    </w:p>
    <w:p>
      <w:pPr>
        <w:spacing w:before="0" w:after="200" w:line="276" w:lineRule="auto"/>
      </w:pPr>
      <w:r>
        <w:rPr>
          <w:rFonts w:ascii="Arial" w:cs="Arial" w:eastAsia="Arial" w:hAnsi="Arial"/>
          <w:color w:val="2C2C2C"/>
          <w:sz w:val="22"/>
          <w:szCs w:val="22"/>
        </w:rPr>
        <w:t xml:space="preserve">References ..... 48</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platform architecture of ContextKeeper's token intelligence and planning subsystems: five components that transform an AI session continuity tool into a commercially metered, cost-transparent, governance-enforced engineering platform. This paper defines the Four-Level Token Optimization Architecture, the Planning Mode DAG execution system, the five-layer ChatGPT-style Natural Language Interface, the Dynamic Task Prioritization scoring methodology, and the Context Health Monitoring system.</w:t>
      </w:r>
    </w:p>
    <w:p>
      <w:pPr>
        <w:spacing w:before="0" w:after="200" w:line="276" w:lineRule="auto"/>
      </w:pPr>
      <w:r>
        <w:rPr>
          <w:rFonts w:ascii="Arial" w:cs="Arial" w:eastAsia="Arial" w:hAnsi="Arial"/>
          <w:color w:val="2C2C2C"/>
          <w:sz w:val="22"/>
          <w:szCs w:val="22"/>
        </w:rPr>
        <w:t xml:space="preserve">The central problem addressed is token opacity. Every major LLM provider returns exact token counts in API responses, yet neither commercial web interface (ChatGPT, Claude.ai) exposes this data to users. Engineers working through these interfaces cannot determine session cost, cannot set spending limits, and cannot predict when context quality will degrade. ContextKeeper fills this gap by positioning a middleware proxy between the user and every provider, logging every token exchange to a structured database, and deriving actionable intelligence at four levels of increasing sophistication: post-hoc analysis, real-time middleware metering, predictive alerts, and cross-model cost optimization.</w:t>
      </w:r>
    </w:p>
    <w:p>
      <w:pPr>
        <w:spacing w:before="0" w:after="200" w:line="276" w:lineRule="auto"/>
      </w:pPr>
      <w:r>
        <w:rPr>
          <w:rFonts w:ascii="Arial" w:cs="Arial" w:eastAsia="Arial" w:hAnsi="Arial"/>
          <w:color w:val="2C2C2C"/>
          <w:sz w:val="22"/>
          <w:szCs w:val="22"/>
        </w:rPr>
        <w:t xml:space="preserve">Planning Mode addresses a second structural limitation: plans generated by a language model exist only within that model's context window and disappear when the session ends. ContextKeeper persists plans as directed acyclic graphs (DAGs) in the platform database, assigns each task a DEL-v2 state machine instance (WP-001), tracks token spend at task granularity, and enforces gate conditions at task boundaries. Plans survive context exhaustion and model switches; the database, not the model's memory, is the source of truth.</w:t>
      </w:r>
    </w:p>
    <w:p>
      <w:pPr>
        <w:pBdr>
          <w:left w:val="single" w:color="2E75B6" w:sz="6" w:space="8"/>
        </w:pBdr>
        <w:spacing w:before="120" w:after="120"/>
        <w:ind w:left="720"/>
      </w:pPr>
      <w:r>
        <w:rPr>
          <w:rFonts w:ascii="Arial" w:cs="Arial" w:eastAsia="Arial" w:hAnsi="Arial"/>
          <w:i/>
          <w:iCs/>
          <w:color w:val="555555"/>
          <w:sz w:val="22"/>
          <w:szCs w:val="22"/>
        </w:rPr>
        <w:t xml:space="preserve">Token intelligence is not an analytics add-on but a prerequisite for commercial viability. Without metered token tracking there is no cost-based billing, no budget enforcement, no cross-model optimization, and no context health prediction. Every commercial capability of the platform depends on the structured token data produced by the systems defined in this paper.</w:t>
      </w:r>
    </w:p>
    <w:p>
      <w:pPr>
        <w:spacing w:before="0" w:after="200" w:line="276" w:lineRule="auto"/>
      </w:pPr>
      <w:r>
        <w:rPr>
          <w:rFonts w:ascii="Arial" w:cs="Arial" w:eastAsia="Arial" w:hAnsi="Arial"/>
          <w:color w:val="2C2C2C"/>
          <w:sz w:val="22"/>
          <w:szCs w:val="22"/>
        </w:rPr>
        <w:t xml:space="preserve">The Natural Language Interface provides the user-facing access layer: a five-layer architecture atop an open-source chat foundation that routes model selection, exposes connector bindings as callable tools, and applies governance tracking to every exchange. The Dynamic Task Prioritization system scores every backlog item on four dimensions (Revenue, Unblock, Dependency, Effort) at the start of each development session, producing a ranked execution order that maximizes commercial velocity without fixed scheduling constraints.</w:t>
      </w:r>
    </w:p>
    <w:p>
      <w:pPr>
        <w:spacing w:before="0" w:after="200" w:line="276" w:lineRule="auto"/>
      </w:pPr>
      <w:r>
        <w:rPr>
          <w:rFonts w:ascii="Arial" w:cs="Arial" w:eastAsia="Arial" w:hAnsi="Arial"/>
          <w:color w:val="2C2C2C"/>
          <w:sz w:val="22"/>
          <w:szCs w:val="22"/>
        </w:rPr>
        <w:t xml:space="preserve">This paper reflects the model landscape as of March 2026. The LLM ecosystem has undergone significant change since the original drafting: Claude 3.5 Haiku and Claude 3.7 Sonnet are deprecated on Anthropic's API (replaced by the Claude 4 family with 1M-token context windows); GPT-4.1 with 1.05M context and GPT-5.4 have launched; Gemini 2.5 Pro/Flash offer native thinking with 1M context; and Llama 4 Scout/Maverick on Groq have replaced the Llama 3.1 70B pricing tier. The model_pricing reference table, the cross-model cost illustration, and all per-model specifications in this paper reflect current verified pricing. The token tracking infrastructure is model-agnostic by design; the architecture requires no changes as the model landscape evolves -- only the model_pricing reference table is updated.</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Token Opacity Across Providers</w:t>
      </w:r>
    </w:p>
    <w:p>
      <w:pPr>
        <w:spacing w:before="0" w:after="200" w:line="276" w:lineRule="auto"/>
      </w:pPr>
      <w:r>
        <w:rPr>
          <w:rFonts w:ascii="Arial" w:cs="Arial" w:eastAsia="Arial" w:hAnsi="Arial"/>
          <w:color w:val="2C2C2C"/>
          <w:sz w:val="22"/>
          <w:szCs w:val="22"/>
        </w:rPr>
        <w:t xml:space="preserve">Every major LLM provider returns exact token counts in API responses. Table 1 documents the specific fields returned by each provider as of March 2026. Despite this data availability, neither the OpenAI web interface (ChatGPT) nor the Anthropic web interface (Claude.ai) exposes token counts to users. Engineers working through these interfaces cannot determine session cost, cannot set spending limits, and cannot predict when context quality will degrade. API users receive the data but must build their own logging and analysis infrastructure. A significant addition in 2025-2026: all three major providers have added dedicated sub-fields for reasoning and thinking tokens, which require separate handling in the token tracking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Count Fields Returned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Exact or Estimated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Available 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usage.total_tokens; sub-fields: completion_tokens_details.reasoning_tokens (reasoning models), prompt_tokens_details.cached_tokens. Note: Responses API uses input_tokens/output_tokens instead.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models: GPT-4o, GPT-4.1 family, GPT-5.4 family, o3, o4-mini, and all prior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usage.input_tokens, usage.output_tokens; additional fields: usage.cache_creation_input_tokens, usage.cache_read_input_tokens. Thinking content appears as type:"thinking" content blocks; thinking tokens are included in output_tokens with no separate usage 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Claude models: Claude 4 family (Opus 4.6, Sonnet 4.6, Haiku 4.5) and prior generations still active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Gemini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usageMetadata.promptTokenCount, usageMetadata.candidatesTokenCount, usageMetadata.totalTokenCount; new fields: usageMetadata.thoughtsTokenCount (thinking tokens), usageMetadata.toolUsePromptTokenCount. Critical: on Gemini Developer API, candidatesTokenCount includes thinking tokens; on Vertex AI, it excludes them (thinking tokens appear only in thoughtsTokenCount).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Gemini models: Gemini 2.5 Pro, Gemini 2.5 Flash, Gemini 3.1 Pro Preview, and prior Gemini 2.x generations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usage.prompt_tokens, usage.completion_tokens (OpenAI-compatible 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hosted models: Llama 4 Scout, Llama 4 Maverick, Llama 3.3 70B Versatile, Llama 3.1 8B Instant, Qwen3 32B, and others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eval_count, prompt_eval_count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object (OpenAI-compatible 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locally served models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ChatGPT web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Claude.ai web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 exposed to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exists server-side; inaccessible to clients</w:t>
            </w:r>
          </w:p>
        </w:tc>
      </w:tr>
    </w:tbl>
    <w:p>
      <w:pPr>
        <w:spacing w:before="120" w:after="0"/>
      </w:pPr>
    </w:p>
    <w:p>
      <w:pPr>
        <w:spacing w:before="0" w:after="200" w:line="276" w:lineRule="auto"/>
      </w:pPr>
      <w:r>
        <w:rPr>
          <w:rFonts w:ascii="Arial" w:cs="Arial" w:eastAsia="Arial" w:hAnsi="Arial"/>
          <w:color w:val="2C2C2C"/>
          <w:sz w:val="22"/>
          <w:szCs w:val="22"/>
        </w:rPr>
        <w:t xml:space="preserve">The consequence is that AI-assisted engineering work is financially uncontrolled at the interface level. Teams cannot attribute AI spend to projects, cannot enforce per-session budgets, and cannot demonstrate ROI. For enterprise procurement, this opacity is a structural barrier to adoption.</w:t>
      </w:r>
    </w:p>
    <w:p>
      <w:pPr>
        <w:pStyle w:val="Heading2"/>
        <w:spacing w:before="240" w:after="80" w:line="276" w:lineRule="auto"/>
      </w:pPr>
      <w:r>
        <w:rPr>
          <w:rFonts w:ascii="Arial" w:cs="Arial" w:eastAsia="Arial" w:hAnsi="Arial"/>
          <w:b/>
          <w:bCs/>
          <w:color w:val="2E75B6"/>
          <w:sz w:val="28"/>
          <w:szCs w:val="28"/>
        </w:rPr>
        <w:t xml:space="preserve">2.2 Plan Impermanence</w:t>
      </w:r>
    </w:p>
    <w:p>
      <w:pPr>
        <w:spacing w:before="0" w:after="200" w:line="276" w:lineRule="auto"/>
      </w:pPr>
      <w:r>
        <w:rPr>
          <w:rFonts w:ascii="Arial" w:cs="Arial" w:eastAsia="Arial" w:hAnsi="Arial"/>
          <w:color w:val="2C2C2C"/>
          <w:sz w:val="22"/>
          <w:szCs w:val="22"/>
        </w:rPr>
        <w:t xml:space="preserve">When a language model decomposes a complex task into a multi-step plan, that plan exists as unstructured text within the model's context window. It has no persistent identity, no versioned state, no dependency enforcement, and no audit trail. When the context window fills or the session ends, the plan is lost. Existing agent frameworks such as LangGraph, CrewAI, and the Microsoft Agent Framework generate plans at runtime and execute them within a single session. These plans are not database objects: they cannot be paused and resumed across model switches, cannot accumulate an auditable history of state transitions, and cannot enforce that a breach in step three halts steps four through ten. LangGraph's checkpointing provides session persistence but does not survive provider switches or accumulate governance audit trails across sessions.</w:t>
      </w:r>
    </w:p>
    <w:p>
      <w:pPr>
        <w:pStyle w:val="Heading2"/>
        <w:spacing w:before="240" w:after="80" w:line="276" w:lineRule="auto"/>
      </w:pPr>
      <w:r>
        <w:rPr>
          <w:rFonts w:ascii="Arial" w:cs="Arial" w:eastAsia="Arial" w:hAnsi="Arial"/>
          <w:b/>
          <w:bCs/>
          <w:color w:val="2E75B6"/>
          <w:sz w:val="28"/>
          <w:szCs w:val="28"/>
        </w:rPr>
        <w:t xml:space="preserve">2.3 Unstructured Task Prioritization</w:t>
      </w:r>
    </w:p>
    <w:p>
      <w:pPr>
        <w:spacing w:before="0" w:after="200" w:line="276" w:lineRule="auto"/>
      </w:pPr>
      <w:r>
        <w:rPr>
          <w:rFonts w:ascii="Arial" w:cs="Arial" w:eastAsia="Arial" w:hAnsi="Arial"/>
          <w:color w:val="2C2C2C"/>
          <w:sz w:val="22"/>
          <w:szCs w:val="22"/>
        </w:rPr>
        <w:t xml:space="preserve">In continuous AI-assisted development, the backlog of remaining work grows faster than it is consumed. Without a formal scoring methodology, engineers default to recency bias, urgency theater, or fixed schedules that do not adapt to new information. None of these maximizes commercial velocity. A task that blocks three other tasks and directly enables revenue should always outrank a cosmetic improvement regardless of the order in which they were identified. Formalizing this intuition into a scoring system that re-evaluates every item at the start of each session is the purpose of the Dynamic Task Prioritization system.</w:t>
      </w:r>
    </w:p>
    <w:p>
      <w:pPr>
        <w:pStyle w:val="Heading2"/>
        <w:spacing w:before="240" w:after="80" w:line="276" w:lineRule="auto"/>
      </w:pPr>
      <w:r>
        <w:rPr>
          <w:rFonts w:ascii="Arial" w:cs="Arial" w:eastAsia="Arial" w:hAnsi="Arial"/>
          <w:b/>
          <w:bCs/>
          <w:color w:val="2E75B6"/>
          <w:sz w:val="28"/>
          <w:szCs w:val="28"/>
        </w:rPr>
        <w:t xml:space="preserve">2.4 Context Degradation Without Warning</w:t>
      </w:r>
    </w:p>
    <w:p>
      <w:pPr>
        <w:spacing w:before="0" w:after="200" w:line="276" w:lineRule="auto"/>
      </w:pPr>
      <w:r>
        <w:rPr>
          <w:rFonts w:ascii="Arial" w:cs="Arial" w:eastAsia="Arial" w:hAnsi="Arial"/>
          <w:color w:val="2C2C2C"/>
          <w:sz w:val="22"/>
          <w:szCs w:val="22"/>
        </w:rPr>
        <w:t xml:space="preserve">Transformer attention mechanisms produce degraded model performance as context window utilization approaches its ceiling. Earlier portions of the conversation receive reduced effective attention weighting as the context fills. Engineers working in long sessions experience this as unexplained errors, contradictory outputs, and loss of project-specific knowledge. The expansion of context windows to 1M tokens (Claude Opus/Sonnet 4.6, Gemini 2.5 Pro/Flash, GPT-4.1, GPT-5.4) reduces the frequency of context exhaustion but does not eliminate it: 1M-token sessions are possible for large codebases and long-running agent workflows, and the cost of filling a 1M-token context is substantially higher than filling a 128K context. No current commercial tool provides a calibrated early-warning system tied to actual measured token consumption that also incorporates the financial implications of approaching context limits.</w:t>
      </w:r>
    </w:p>
    <w:p>
      <w:pPr>
        <w:pStyle w:val="Heading1"/>
        <w:pageBreakBefore/>
        <w:spacing w:before="360" w:after="120" w:line="276" w:lineRule="auto"/>
      </w:pPr>
      <w:r>
        <w:rPr>
          <w:rFonts w:ascii="Arial" w:cs="Arial" w:eastAsia="Arial" w:hAnsi="Arial"/>
          <w:b/>
          <w:bCs/>
          <w:color w:val="1B2A4A"/>
          <w:sz w:val="36"/>
          <w:szCs w:val="36"/>
        </w:rPr>
        <w:t xml:space="preserve">3. Token Optimization System</w:t>
      </w:r>
    </w:p>
    <w:p>
      <w:pPr>
        <w:spacing w:before="0" w:after="200" w:line="276" w:lineRule="auto"/>
      </w:pPr>
      <w:r>
        <w:rPr>
          <w:rFonts w:ascii="Arial" w:cs="Arial" w:eastAsia="Arial" w:hAnsi="Arial"/>
          <w:color w:val="2C2C2C"/>
          <w:sz w:val="22"/>
          <w:szCs w:val="22"/>
        </w:rPr>
        <w:t xml:space="preserve">The Token Optimization System is the foundational billing and intelligence layer of the ContextKeeper platform. It is a prerequisite for commercial operation: without structured token data, metered billing, per-session budgets, and cross-model cost recommendations are architecturally impossible. The system is defined as a four-level progression in which each level adds capability while depending on the infrastructure established by the level below it.</w:t>
      </w:r>
    </w:p>
    <w:p>
      <w:pPr>
        <w:pBdr>
          <w:left w:val="single" w:color="2E75B6" w:sz="6" w:space="8"/>
        </w:pBdr>
        <w:spacing w:before="120" w:after="120"/>
        <w:ind w:left="720"/>
      </w:pPr>
      <w:r>
        <w:rPr>
          <w:rFonts w:ascii="Arial" w:cs="Arial" w:eastAsia="Arial" w:hAnsi="Arial"/>
          <w:i/>
          <w:iCs/>
          <w:color w:val="555555"/>
          <w:sz w:val="22"/>
          <w:szCs w:val="22"/>
        </w:rPr>
        <w:t xml:space="preserve">Token tracking is the financial nervous system of the platform. Every commercial capability -- including metered billing, budget enforcement, and cross-model cost optimization -- depends on the structured token data produced by this system.</w:t>
      </w:r>
    </w:p>
    <w:p>
      <w:pPr>
        <w:pStyle w:val="Heading2"/>
        <w:spacing w:before="240" w:after="80" w:line="276" w:lineRule="auto"/>
      </w:pPr>
      <w:r>
        <w:rPr>
          <w:rFonts w:ascii="Arial" w:cs="Arial" w:eastAsia="Arial" w:hAnsi="Arial"/>
          <w:b/>
          <w:bCs/>
          <w:color w:val="2E75B6"/>
          <w:sz w:val="28"/>
          <w:szCs w:val="28"/>
        </w:rPr>
        <w:t xml:space="preserve">3.1 Token Data Availability Across Providers</w:t>
      </w:r>
    </w:p>
    <w:p>
      <w:pPr>
        <w:spacing w:before="0" w:after="200" w:line="276" w:lineRule="auto"/>
      </w:pPr>
      <w:r>
        <w:rPr>
          <w:rFonts w:ascii="Arial" w:cs="Arial" w:eastAsia="Arial" w:hAnsi="Arial"/>
          <w:color w:val="2C2C2C"/>
          <w:sz w:val="22"/>
          <w:szCs w:val="22"/>
        </w:rPr>
        <w:t xml:space="preserve">Table 1 (Section 2.1) documents the token count fields returned by each provider as of March 2026. These fields are available on every API call at no additional cost; they are a standard component of every provider's response envelope. The data exists for ChatGPT and Claude.ai users but is withheld server-side rather than returned to the client. ContextKeeper intercepts this data at the proxy layer for API-routed calls (Levels 2 through 4) and reconstructs it via tokenizer library for transcript-based analysis (Level 1). The token tracking infrastructure handles three distinct billing categories that emerged in 2025-2026: standard input/output tokens (billed universally), thinking/reasoning tokens (billed as output by all providers but exposed in provider-specific sub-fields), and cached input tokens (billed at 50-75% discount by OpenAI and Anthropic when prompt caching is active). The model_pricing table schema accommodates all three categories.</w:t>
      </w:r>
    </w:p>
    <w:p>
      <w:pPr>
        <w:pStyle w:val="Heading2"/>
        <w:spacing w:before="240" w:after="80" w:line="276" w:lineRule="auto"/>
      </w:pPr>
      <w:r>
        <w:rPr>
          <w:rFonts w:ascii="Arial" w:cs="Arial" w:eastAsia="Arial" w:hAnsi="Arial"/>
          <w:b/>
          <w:bCs/>
          <w:color w:val="2E75B6"/>
          <w:sz w:val="28"/>
          <w:szCs w:val="28"/>
        </w:rPr>
        <w:t xml:space="preserve">3.2 Four-Level Architecture</w:t>
      </w:r>
    </w:p>
    <w:p>
      <w:pPr>
        <w:spacing w:before="0" w:after="200" w:line="276" w:lineRule="auto"/>
      </w:pPr>
      <w:r>
        <w:rPr>
          <w:rFonts w:ascii="Arial" w:cs="Arial" w:eastAsia="Arial" w:hAnsi="Arial"/>
          <w:color w:val="2C2C2C"/>
          <w:sz w:val="22"/>
          <w:szCs w:val="22"/>
        </w:rPr>
        <w:t xml:space="preserve">Table 2 provides a comparative summary of all four levels. Each level is independently deployable; higher levels depend on the infrastructure of lower levels but do not require simultaneous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000"/>
        <w:gridCol w:w="1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New Components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Post-Hoc Analysis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 library applied to uploaded or pasted transcript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Retroactive cost and context window utilization analysis with recommendations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token-analyze.php; Tokenizer.php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Middleware Metering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Proxy intercepts usage object on every live API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Real-time per-exchange token logging, cost calculation, and dashboard aggregation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 chat-proxy.php</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Predictive Alerts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Linear regression on trailing N exchanges extrapolates exhaustion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Predicts context window exhaustion before it occurs; tiered alerts at 50/75/90%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ContextHealthMonitor.php; alert delivery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Optimization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 projects forward cost at current trajectory for all active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cost comparison with state-preserving model switch facilitation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CostOptimizer.php; UI switch component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3.2.1 Level 1: Post-Hoc Analysis</w:t>
      </w:r>
    </w:p>
    <w:p>
      <w:pPr>
        <w:spacing w:before="0" w:after="200" w:line="276" w:lineRule="auto"/>
      </w:pPr>
      <w:r>
        <w:rPr>
          <w:rFonts w:ascii="Arial" w:cs="Arial" w:eastAsia="Arial" w:hAnsi="Arial"/>
          <w:color w:val="2C2C2C"/>
          <w:sz w:val="22"/>
          <w:szCs w:val="22"/>
        </w:rPr>
        <w:t xml:space="preserve">Level 1 requires no integration with a live API. A user uploads or pastes a conversation transcript. ContextKeeper executes the appropriate tokenizer: tiktoken for OpenAI model families (GPT-4o, GPT-4.1, GPT-5.4, o3, o4-mini), the Anthropic tokenizer library for Claude models (Haiku 4.5, Sonnet 4.6, Opus 4.6). The system returns the total token count, the estimated cost at current model pricing from the model_pricing reference table, the context window utilization percentage, and a qualitative recommendation. An example recommendation: 'This conversation used 52% of GPT-4.1's 1,047,576-token context window at an estimated cost of $0.18; approximately 500,000 tokens remain.' Implementation components: token-analyze.php (PHP endpoint accepting text payload and model identifier) and Tokenizer.php (library class that selects and executes the correct tokenizer).</w:t>
      </w:r>
    </w:p>
    <w:p>
      <w:pPr>
        <w:pStyle w:val="Heading2"/>
        <w:spacing w:before="240" w:after="80" w:line="276" w:lineRule="auto"/>
      </w:pPr>
      <w:r>
        <w:rPr>
          <w:rFonts w:ascii="Arial" w:cs="Arial" w:eastAsia="Arial" w:hAnsi="Arial"/>
          <w:b/>
          <w:bCs/>
          <w:color w:val="2E75B6"/>
          <w:sz w:val="28"/>
          <w:szCs w:val="28"/>
        </w:rPr>
        <w:t xml:space="preserve">3.2.2 Level 2: API Middleware Metering</w:t>
      </w:r>
    </w:p>
    <w:p>
      <w:pPr>
        <w:spacing w:before="0" w:after="200" w:line="276" w:lineRule="auto"/>
      </w:pPr>
      <w:r>
        <w:rPr>
          <w:rFonts w:ascii="Arial" w:cs="Arial" w:eastAsia="Arial" w:hAnsi="Arial"/>
          <w:color w:val="2C2C2C"/>
          <w:sz w:val="22"/>
          <w:szCs w:val="22"/>
        </w:rPr>
        <w:t xml:space="preserve">Level 2 operates within the chat interface. When a user routes inference calls through ContextKeeper in BYOK mode, every request and response passes through a proxy middleware layer. The middleware intercepts the provider's response, extracts the usage object, calculates cost from the model_pricing table, and writes a row to the token_usage table before forwarding the response to the user. For reasoning and thinking models, the middleware also extracts thinking/reasoning token counts from provider-specific sub-fields: completion_tokens_details.reasoning_tokens for OpenAI o-series models, usageMetadata.thoughtsTokenCount for Gemini 2.5+ models. Claude's thinking tokens have no dedicated usage field and are included in output_tokens; the middleware infers approximate thinking token counts from the length of thinking content blocks returned in the response. The proxy appends a metadata block to the forwarded response containing: the token count for this exchange (input, output, and thinking separately), the cumulative session token count, the context window utilization percentage, and the cumulative estimated session cost. Implementation components: TokenMeter.php (middleware class) and chat-proxy.php (proxy endpoint).</w:t>
      </w:r>
    </w:p>
    <w:p>
      <w:pPr>
        <w:pStyle w:val="Heading2"/>
        <w:spacing w:before="240" w:after="80" w:line="276" w:lineRule="auto"/>
      </w:pPr>
      <w:r>
        <w:rPr>
          <w:rFonts w:ascii="Arial" w:cs="Arial" w:eastAsia="Arial" w:hAnsi="Arial"/>
          <w:b/>
          <w:bCs/>
          <w:color w:val="2E75B6"/>
          <w:sz w:val="28"/>
          <w:szCs w:val="28"/>
        </w:rPr>
        <w:t xml:space="preserve">3.2.3 Level 3: Predictive Alerts</w:t>
      </w:r>
    </w:p>
    <w:p>
      <w:pPr>
        <w:spacing w:before="0" w:after="200" w:line="276" w:lineRule="auto"/>
      </w:pPr>
      <w:r>
        <w:rPr>
          <w:rFonts w:ascii="Arial" w:cs="Arial" w:eastAsia="Arial" w:hAnsi="Arial"/>
          <w:color w:val="2C2C2C"/>
          <w:sz w:val="22"/>
          <w:szCs w:val="22"/>
        </w:rPr>
        <w:t xml:space="preserve">Level 3 adds predictive capability to the real-time metering of Level 2. After each token_usage row is written, the system queries the last ten exchanges for the current session, computes the mean tokens per exchange, and extrapolates remaining exchange capacity before the model's context window ceiling is reached. Three threshold levels trigger tiered alerts as specified in Section 7. The prediction model uses linear regression on a short trailing window, which is accurate for typical engineering conversations where tokens per exchange are bounded and relatively stable. For thinking/reasoning models, the trailing window includes thinking token counts in the per-exchange total to produce accurate cost predictions, since thinking tokens can significantly increase the effective per-exchange cost at rates up to 10x the base output rate for intensive reasoning tasks. Implementation component: ContextHealthMonitor.php.</w:t>
      </w:r>
    </w:p>
    <w:p>
      <w:pPr>
        <w:pStyle w:val="Heading2"/>
        <w:spacing w:before="240" w:after="80" w:line="276" w:lineRule="auto"/>
      </w:pPr>
      <w:r>
        <w:rPr>
          <w:rFonts w:ascii="Arial" w:cs="Arial" w:eastAsia="Arial" w:hAnsi="Arial"/>
          <w:b/>
          <w:bCs/>
          <w:color w:val="2E75B6"/>
          <w:sz w:val="28"/>
          <w:szCs w:val="28"/>
        </w:rPr>
        <w:t xml:space="preserve">3.2.4 Level 4: Cross-Model Cost Optimization</w:t>
      </w:r>
    </w:p>
    <w:p>
      <w:pPr>
        <w:spacing w:before="0" w:after="200" w:line="276" w:lineRule="auto"/>
      </w:pPr>
      <w:r>
        <w:rPr>
          <w:rFonts w:ascii="Arial" w:cs="Arial" w:eastAsia="Arial" w:hAnsi="Arial"/>
          <w:color w:val="2C2C2C"/>
          <w:sz w:val="22"/>
          <w:szCs w:val="22"/>
        </w:rPr>
        <w:t xml:space="preserve">Level 4 produces cross-model cost comparisons and facilitates state-preserving model switches. At any point in a conversation, the system queries model_pricing for all active models and calculates projected cost for the next N exchanges at the current per-exchange token trajectory. Table 3 illustrates a sample comparison using verified March 2026 pricing. Costs assume a representative session trajectory of approximately 2,000 input tokens plus 500 output tokens per exchange for 10 exchanges, with full conversation history resent each turn (approximately 132,500 cumulative input tokens and 5,000 total output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Est. Cost for 10 Exchanges (Illustrative)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GPT-5.4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~$0.41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~$0.31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~$0.38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GPT-4.1 nano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(BYOK)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1,047,576 tokens (~1.05M)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Sonnet 4.6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~$0.47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1,000,000 tokens (GA)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Haiku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(BYOK)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~$0.16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 2.5 Flash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(BYOK)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~$0.05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1,048,576 tokens (~1M)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~$0.02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Versatile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(BYOK)</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~$0.08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V3.2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 API (BYOK)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~$0.04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(local, self-hosted)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$0.00 -- no API cost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128,000 tokens</w:t>
            </w:r>
          </w:p>
        </w:tc>
      </w:tr>
    </w:tbl>
    <w:p>
      <w:pPr>
        <w:spacing w:before="120" w:after="0"/>
      </w:pPr>
    </w:p>
    <w:p>
      <w:pPr>
        <w:spacing w:before="0" w:after="200" w:line="276" w:lineRule="auto"/>
      </w:pPr>
      <w:r>
        <w:rPr>
          <w:rFonts w:ascii="Arial" w:cs="Arial" w:eastAsia="Arial" w:hAnsi="Arial"/>
          <w:color w:val="2C2C2C"/>
          <w:sz w:val="22"/>
          <w:szCs w:val="22"/>
        </w:rPr>
        <w:t xml:space="preserve">Note: Claude 3.5 Haiku ($0.80/$4.00), Claude 3.7 Sonnet ($3.00/$15.00), and Llama 3.1 70B (no longer available on Groq or major hosted APIs) have been removed from this table -- all three are deprecated or unavailable as of March 2026. Llama 3.3 70B Versatile ($0.59/$0.79 on Groq) replaces Llama 3.1 70B. Claude Haiku 4.5 ($1.00/$5.00) replaces Claude 3.5 Haiku. The 100x cost spread between frontier models (GPT-5.4, Claude Sonnet 4.6 at ~$0.38-0.47) and cost-optimized models (GPT-4.1 nano, Llama 4 Scout at ~$0.02) is the primary optimization opportunity the CostOptimizer surfaces.</w:t>
      </w:r>
    </w:p>
    <w:p>
      <w:pPr>
        <w:spacing w:before="0" w:after="200" w:line="276" w:lineRule="auto"/>
      </w:pPr>
      <w:r>
        <w:rPr>
          <w:rFonts w:ascii="Arial" w:cs="Arial" w:eastAsia="Arial" w:hAnsi="Arial"/>
          <w:color w:val="2C2C2C"/>
          <w:sz w:val="22"/>
          <w:szCs w:val="22"/>
        </w:rPr>
        <w:t xml:space="preserve">If the user selects a different model, the platform executes a sync (persisting all current state, decisions, and invariants to the platform database) followed by a bootstrap (loading that state into the new model's context via the bootstrap protocol defined in WP-001, Section 3). The new model receives full project context as if it had been present for the entire session. CostOptimizer.php and the UI switch component are the only new implementation artifacts required; the bootstrap protocol already exists. No existing AI interface offers cross-provider cost comparison with state-preserving model switching.</w:t>
      </w:r>
    </w:p>
    <w:p>
      <w:pPr>
        <w:spacing w:before="0" w:after="200" w:line="276" w:lineRule="auto"/>
      </w:pPr>
      <w:r>
        <w:rPr>
          <w:rFonts w:ascii="Arial" w:cs="Arial" w:eastAsia="Arial" w:hAnsi="Arial"/>
          <w:color w:val="2C2C2C"/>
          <w:sz w:val="22"/>
          <w:szCs w:val="22"/>
        </w:rPr>
        <w:t xml:space="preserve">The cost projection formula is formally derived as follows. Let T_i and T_o denote the mean input and output tokens per exchange computed from the trailing window of W exchanges (default W=10). Let P_i and P_o denote the model's input and output price per token from model_pricing (price_per_1m / 1,000,000). For models with thinking/reasoning tokens, let T_t denote the mean thinking tokens per exchange and P_t the effective thinking token price (equal to P_o for all current providers). The projected cost for N future exchanges is: Cost(N) = N x ((T_i x P_i) + (T_o x P_o) + (T_t x P_t)). For cross-model comparison, this formula is evaluated independently for each active model in model_pricing using the same T_i and T_o values (the user's current trajectory), producing a cost vector that the CostOptimizer renders as the comparison table. The formula assumes trajectory continuity; it is an estimate, not a guarantee, and is labeled as such in the UI.</w:t>
      </w:r>
    </w:p>
    <w:p>
      <w:pPr>
        <w:pStyle w:val="Heading2"/>
        <w:spacing w:before="240" w:after="80" w:line="276" w:lineRule="auto"/>
      </w:pPr>
      <w:r>
        <w:rPr>
          <w:rFonts w:ascii="Arial" w:cs="Arial" w:eastAsia="Arial" w:hAnsi="Arial"/>
          <w:b/>
          <w:bCs/>
          <w:color w:val="2E75B6"/>
          <w:sz w:val="28"/>
          <w:szCs w:val="28"/>
        </w:rPr>
        <w:t xml:space="preserve">3.3 Database Schema for Token Tracking</w:t>
      </w:r>
    </w:p>
    <w:p>
      <w:pPr>
        <w:spacing w:before="0" w:after="200" w:line="276" w:lineRule="auto"/>
      </w:pPr>
      <w:r>
        <w:rPr>
          <w:rFonts w:ascii="Arial" w:cs="Arial" w:eastAsia="Arial" w:hAnsi="Arial"/>
          <w:color w:val="2C2C2C"/>
          <w:sz w:val="22"/>
          <w:szCs w:val="22"/>
        </w:rPr>
        <w:t xml:space="preserve">Three tables extend the existing seven-table platform schema. Table 4 summarizes all tables introduced or required by the systems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Owner Section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provider, model, input/output/total tokens, thinking/reasoning tokens (separate column), cost in USD, context window size, and utilization percentage for every API call. Indexes on (user_id, project_id) and created_at support dashboard aggregation without full table scans.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table: price per one million tokens (input, output, cached input at discount rate), context window size, max output tokens, thinking/reasoning capability flag, batch API discount percentage, and feature flags for every active model. Updated manually when providers revise pricing; all cost calculations join against it at query time so pricing changes propagate automatically.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3.4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Spending limits per user at session, project, model, and organization scope with configurable alert threshold percentages (default: [50, 75, 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Plan-level metadata: project association, name, status, aggregate estimated token budget, aggregate actual token spend, and aggregate cost figures.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Individual task: assigned model, agent role, DEL-v2 state, estimated and actual token and cost figures, governance config,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plan_task_dependencies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edge table: (task_id, depends_on_task_id) pairs with unique constraint; acyclicity enforced at plan creation by topological sort.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each threshold-crossing alert event per session: session_id, threshold_pct (50/75/90), alert_type (informational/warning/critical), delivered_at timestamp, delivery_channels JSON array. Unique constraint on (session_id, threshold_pct) enforces the idempotency guarantee that each threshold fires exactly once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session_deltas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Stores committed project state snapshots after session close for diff-based context injection. Schema: id, project_id (indexed), session_id, snapshot_json (complete serialized state), decision_count_at_snapshot, invariant_fingerprint (SHA-256 for fast change detection), created_at.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project_memories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4.7</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for project-specific knowledge that does not fit decisions or invariants. Schema: id, project_id (indexed), session_id, memory_type (ENUM: architectural/constraint/preference/failure_mode/external/team/general), content, tags (JSON), relevance_score, pinned, created_at, last_injected_at.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3.4 Budget Alert and Enforcement System</w:t>
      </w:r>
    </w:p>
    <w:p>
      <w:pPr>
        <w:spacing w:before="0" w:after="200" w:line="276" w:lineRule="auto"/>
      </w:pPr>
      <w:r>
        <w:rPr>
          <w:rFonts w:ascii="Arial" w:cs="Arial" w:eastAsia="Arial" w:hAnsi="Arial"/>
          <w:color w:val="2C2C2C"/>
          <w:sz w:val="22"/>
          <w:szCs w:val="22"/>
        </w:rPr>
        <w:t xml:space="preserve">Spending limits are independently configurable at four scopes. Table 5 describes the enforcement behavior at each scope.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Limit Definition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 on Breach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Per-Session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single conversation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paused; user prompted to confirm continuation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Suspended until user confirms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Per-Project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project across all sessions in a calendar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Dashboard burn rate display; projected month-end spend warning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Alert at 75%; execution blocked at 100%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USD for a specific model within a defined period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reroute to user-configured fallback model on exhaustion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Rerouted; in-chat notification sent to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Organization (Team/Enterprise)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Admin-set spending ceiling across all team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Per-member allocation tracking visible in admin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Member blocked; admin alerted immediately</w:t>
            </w:r>
          </w:p>
        </w:tc>
      </w:tr>
    </w:tbl>
    <w:p>
      <w:pPr>
        <w:spacing w:before="120" w:after="0"/>
      </w:pPr>
    </w:p>
    <w:p>
      <w:pPr>
        <w:spacing w:before="0" w:after="200" w:line="276" w:lineRule="auto"/>
      </w:pPr>
      <w:r>
        <w:rPr>
          <w:rFonts w:ascii="Arial" w:cs="Arial" w:eastAsia="Arial" w:hAnsi="Arial"/>
          <w:color w:val="2C2C2C"/>
          <w:sz w:val="22"/>
          <w:szCs w:val="22"/>
        </w:rPr>
        <w:t xml:space="preserve">Budget enforcement at the per-model scope implements automatic model downgrade: when a user's GPT-5.4 monthly allocation is exhausted, subsequent requests are rerouted to the user's configured fallback model. This prevents silent overspend while maintaining session continuity. The budgets table stores all four scope types with a common schema: user_id, scope (session, project, model, organization), optional project_id or model_filter, limit_usd, period, and an alert_thresholds JSON array (default: [50, 75, 90]).</w:t>
      </w:r>
    </w:p>
    <w:p>
      <w:pPr>
        <w:pStyle w:val="Heading1"/>
        <w:pageBreakBefore/>
        <w:spacing w:before="360" w:after="120" w:line="276" w:lineRule="auto"/>
      </w:pPr>
      <w:r>
        <w:rPr>
          <w:rFonts w:ascii="Arial" w:cs="Arial" w:eastAsia="Arial" w:hAnsi="Arial"/>
          <w:b/>
          <w:bCs/>
          <w:color w:val="1B2A4A"/>
          <w:sz w:val="36"/>
          <w:szCs w:val="36"/>
        </w:rPr>
        <w:t xml:space="preserve">4. Planning Mode Architecture</w:t>
      </w:r>
    </w:p>
    <w:p>
      <w:pPr>
        <w:spacing w:before="0" w:after="200" w:line="276" w:lineRule="auto"/>
      </w:pPr>
      <w:r>
        <w:rPr>
          <w:rFonts w:ascii="Arial" w:cs="Arial" w:eastAsia="Arial" w:hAnsi="Arial"/>
          <w:color w:val="2C2C2C"/>
          <w:sz w:val="22"/>
          <w:szCs w:val="22"/>
        </w:rPr>
        <w:t xml:space="preserve">Planning Mode defines the mechanism by which multi-task engineering projects become persistent, governed, and auditable database objects rather than transient text within a single context window. This section specifies the plan data model, the task state machine, the execution workflow, the DEL-v2 integration points, and the portability mechanisms that allow plans to survive context exhaustion and model switches.</w:t>
      </w:r>
    </w:p>
    <w:p>
      <w:pPr>
        <w:pStyle w:val="Heading2"/>
        <w:spacing w:before="240" w:after="80" w:line="276" w:lineRule="auto"/>
      </w:pPr>
      <w:r>
        <w:rPr>
          <w:rFonts w:ascii="Arial" w:cs="Arial" w:eastAsia="Arial" w:hAnsi="Arial"/>
          <w:b/>
          <w:bCs/>
          <w:color w:val="2E75B6"/>
          <w:sz w:val="28"/>
          <w:szCs w:val="28"/>
        </w:rPr>
        <w:t xml:space="preserve">4.1 Plans as First-Class Persistent Objects</w:t>
      </w:r>
    </w:p>
    <w:p>
      <w:pPr>
        <w:spacing w:before="0" w:after="200" w:line="276" w:lineRule="auto"/>
      </w:pPr>
      <w:r>
        <w:rPr>
          <w:rFonts w:ascii="Arial" w:cs="Arial" w:eastAsia="Arial" w:hAnsi="Arial"/>
          <w:color w:val="2C2C2C"/>
          <w:sz w:val="22"/>
          <w:szCs w:val="22"/>
        </w:rPr>
        <w:t xml:space="preserve">A plan is a directed acyclic graph (DAG) of tasks stored in the ContextKeeper database. The distinction between a plan as a database object and a plan as model-generated text is fundamental. A text plan exists only as long as the model's context window contains it. A database plan persists across sessions, accumulates execution history, enforces dependency ordering, and maintains a complete audit trail independent of any model's memory. This design eliminates three failure modes of text-based plans: context exhaustion mid-plan causes the model to lose access to earlier tasks; session end destroys the plan entirely; and model switches leave the new model with no knowledge of prior decisions.</w:t>
      </w:r>
    </w:p>
    <w:p>
      <w:pPr>
        <w:pBdr>
          <w:left w:val="single" w:color="2E75B6" w:sz="6" w:space="8"/>
        </w:pBdr>
        <w:spacing w:before="120" w:after="120"/>
        <w:ind w:left="720"/>
      </w:pPr>
      <w:r>
        <w:rPr>
          <w:rFonts w:ascii="Arial" w:cs="Arial" w:eastAsia="Arial" w:hAnsi="Arial"/>
          <w:i/>
          <w:iCs/>
          <w:color w:val="555555"/>
          <w:sz w:val="22"/>
          <w:szCs w:val="22"/>
        </w:rPr>
        <w:t xml:space="preserve">OpenAI, Anthropic, and Google have each introduced planning capabilities: OpenAI tasks and o-series reasoning, Claude extended thinking with adaptive reasoning, and Gemini's native thinking via thinkingBudget control. These are powerful within a single provider's context window but are not portable, not persistent across sessions, and not governed by formal state machines. ContextKeeper's Planning Mode is provider-independent and persists state that no provider can hold.</w:t>
      </w:r>
    </w:p>
    <w:p>
      <w:pPr>
        <w:pStyle w:val="Heading2"/>
        <w:spacing w:before="240" w:after="80" w:line="276" w:lineRule="auto"/>
      </w:pPr>
      <w:r>
        <w:rPr>
          <w:rFonts w:ascii="Arial" w:cs="Arial" w:eastAsia="Arial" w:hAnsi="Arial"/>
          <w:b/>
          <w:bCs/>
          <w:color w:val="2E75B6"/>
          <w:sz w:val="28"/>
          <w:szCs w:val="28"/>
        </w:rPr>
        <w:t xml:space="preserve">4.2 Plan Data Model and Task State Machine</w:t>
      </w:r>
    </w:p>
    <w:p>
      <w:pPr>
        <w:spacing w:before="0" w:after="200" w:line="276" w:lineRule="auto"/>
      </w:pPr>
      <w:r>
        <w:rPr>
          <w:rFonts w:ascii="Arial" w:cs="Arial" w:eastAsia="Arial" w:hAnsi="Arial"/>
          <w:color w:val="2C2C2C"/>
          <w:sz w:val="22"/>
          <w:szCs w:val="22"/>
        </w:rPr>
        <w:t xml:space="preserve">A plan record contains: project association, name, description, status (draft, active, paused, completed, failed), aggregate estimated token budget, aggregate actual token spend, and aggregate cost figures. A plan_task record contains: plan association, task name and description, assigned model, assigned agent role (operator, executor, or auditor per the DEL-v2 multi-agent model defined in WP-001, Section 7), current DEL-v2 state, estimated and actual token and cost figures, a governance_config JSON object, and an invariants JSON array. Task dependency constraints are stored in the plan_task_dependencies edge table as (task_id, depends_on_task_id) pairs. Acyclicity is enforced at plan creation by topological sort; any plan whose dependency graph contains a cycle is rejected before persistence.</w:t>
      </w:r>
    </w:p>
    <w:p>
      <w:pPr>
        <w:spacing w:before="0" w:after="200" w:line="276" w:lineRule="auto"/>
      </w:pPr>
      <w:r>
        <w:rPr>
          <w:rFonts w:ascii="Arial" w:cs="Arial" w:eastAsia="Arial" w:hAnsi="Arial"/>
          <w:color w:val="2C2C2C"/>
          <w:sz w:val="22"/>
          <w:szCs w:val="22"/>
        </w:rPr>
        <w:t xml:space="preserve">Table 6 defines all valid task states and the conditions that trigger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Transition Trigger</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pending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created in plan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Waiting; dependency conditions not yet satisfied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 or more dependency tasks incomplete or failed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Cannot begin; all upstream tasks must reach completed state first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dependencies completed; all upstream gate conditions passed</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Eligible for dispatch to assigned model or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in_progress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dispatched to assigned model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Assigned model is actively processing the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met; output accepted by governance layer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output verified; downstream tasks may transition to 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conditions not met after configured retries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rejected; plan paused pending user remediation decision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skipped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or system explicitly bypasses task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Recorded in audit trail; downstream dependency resolution proceeds as if completed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4.3 Plan Execution Workflow</w:t>
      </w:r>
    </w:p>
    <w:p>
      <w:pPr>
        <w:spacing w:before="0" w:after="200" w:line="276" w:lineRule="auto"/>
      </w:pPr>
      <w:r>
        <w:rPr>
          <w:rFonts w:ascii="Arial" w:cs="Arial" w:eastAsia="Arial" w:hAnsi="Arial"/>
          <w:color w:val="2C2C2C"/>
          <w:sz w:val="22"/>
          <w:szCs w:val="22"/>
        </w:rPr>
        <w:t xml:space="preserve">The execution workflow proceeds in six stages.</w:t>
      </w:r>
    </w:p>
    <w:p>
      <w:pPr>
        <w:spacing w:before="0" w:after="200" w:line="276" w:lineRule="auto"/>
      </w:pPr>
      <w:r>
        <w:rPr>
          <w:rFonts w:ascii="Arial" w:cs="Arial" w:eastAsia="Arial" w:hAnsi="Arial"/>
          <w:color w:val="2C2C2C"/>
          <w:sz w:val="22"/>
          <w:szCs w:val="22"/>
        </w:rPr>
        <w:t xml:space="preserve">Stage 1 -- Plan Creation: the user issues a natural language decomposition request via the chat interface. The governing model decomposes the request into discrete tasks, assigns dependency relationships, proposes model assignments, and estimates token budgets. The system validates the resulting DAG for acyclicity, persists the plan and task records, and presents a cost projection: the sum of per-task estimated costs across all models and providers.</w:t>
      </w:r>
    </w:p>
    <w:p>
      <w:pPr>
        <w:spacing w:before="0" w:after="200" w:line="276" w:lineRule="auto"/>
      </w:pPr>
      <w:r>
        <w:rPr>
          <w:rFonts w:ascii="Arial" w:cs="Arial" w:eastAsia="Arial" w:hAnsi="Arial"/>
          <w:color w:val="2C2C2C"/>
          <w:sz w:val="22"/>
          <w:szCs w:val="22"/>
        </w:rPr>
        <w:t xml:space="preserve">Stage 2 -- User Approval: the user reviews the plan structure and cost projection, and may modify task assignments, dependencies, model assignments, or budgets before approving. Approval transitions the plan status from draft to active.</w:t>
      </w:r>
    </w:p>
    <w:p>
      <w:pPr>
        <w:spacing w:before="0" w:after="200" w:line="276" w:lineRule="auto"/>
      </w:pPr>
      <w:r>
        <w:rPr>
          <w:rFonts w:ascii="Arial" w:cs="Arial" w:eastAsia="Arial" w:hAnsi="Arial"/>
          <w:color w:val="2C2C2C"/>
          <w:sz w:val="22"/>
          <w:szCs w:val="22"/>
        </w:rPr>
        <w:t xml:space="preserve">Stage 3 -- Readiness Evaluation: after each task completes, the system evaluates readiness for all tasks in the pending or blocked state. A task transitions from blocked to ready when all tasks in its depends_on set have reached the completed state and all their gate conditions have passed.</w:t>
      </w:r>
    </w:p>
    <w:p>
      <w:pPr>
        <w:spacing w:before="0" w:after="200" w:line="276" w:lineRule="auto"/>
      </w:pPr>
      <w:r>
        <w:rPr>
          <w:rFonts w:ascii="Arial" w:cs="Arial" w:eastAsia="Arial" w:hAnsi="Arial"/>
          <w:color w:val="2C2C2C"/>
          <w:sz w:val="22"/>
          <w:szCs w:val="22"/>
        </w:rPr>
        <w:t xml:space="preserve">Stage 4 -- Task Execution: a ready task is dispatched to its assigned model or agent. The task transitions to in_progress. The assigned model receives the task specification, the plan context (completed task summaries, relevant decisions, active invariants), and its governance configuration. Token usage is tracked per exchange against the task's budget.</w:t>
      </w:r>
    </w:p>
    <w:p>
      <w:pPr>
        <w:spacing w:before="0" w:after="200" w:line="276" w:lineRule="auto"/>
      </w:pPr>
      <w:r>
        <w:rPr>
          <w:rFonts w:ascii="Arial" w:cs="Arial" w:eastAsia="Arial" w:hAnsi="Arial"/>
          <w:color w:val="2C2C2C"/>
          <w:sz w:val="22"/>
          <w:szCs w:val="22"/>
        </w:rPr>
        <w:t xml:space="preserve">Stage 5 -- Budget Enforcement at Task Level: if a task exceeds its estimated token budget during execution, the system pauses and presents three options: continue at the cost overrun, switch to a cheaper model for the remainder of the task (state preserved), or abort and mark the task failed for manual remediation.</w:t>
      </w:r>
    </w:p>
    <w:p>
      <w:pPr>
        <w:spacing w:before="0" w:after="200" w:line="276" w:lineRule="auto"/>
      </w:pPr>
      <w:r>
        <w:rPr>
          <w:rFonts w:ascii="Arial" w:cs="Arial" w:eastAsia="Arial" w:hAnsi="Arial"/>
          <w:color w:val="2C2C2C"/>
          <w:sz w:val="22"/>
          <w:szCs w:val="22"/>
        </w:rPr>
        <w:t xml:space="preserve">Stage 6 -- Task Completion and Audit: when a task reaches completed state, the system records the full execution trace: every state transition, every decision, every token spent, and every gate result. When all tasks complete, the plan is marked completed with a full audit trail stored in the platform database.</w:t>
      </w:r>
    </w:p>
    <w:p>
      <w:pPr>
        <w:pStyle w:val="Heading2"/>
        <w:spacing w:before="240" w:after="80" w:line="276" w:lineRule="auto"/>
      </w:pPr>
      <w:r>
        <w:rPr>
          <w:rFonts w:ascii="Arial" w:cs="Arial" w:eastAsia="Arial" w:hAnsi="Arial"/>
          <w:b/>
          <w:bCs/>
          <w:color w:val="2E75B6"/>
          <w:sz w:val="28"/>
          <w:szCs w:val="28"/>
        </w:rPr>
        <w:t xml:space="preserve">4.4 DEL-v2 Integration at Task Boundaries</w:t>
      </w:r>
    </w:p>
    <w:p>
      <w:pPr>
        <w:spacing w:before="0" w:after="200" w:line="276" w:lineRule="auto"/>
      </w:pPr>
      <w:r>
        <w:rPr>
          <w:rFonts w:ascii="Arial" w:cs="Arial" w:eastAsia="Arial" w:hAnsi="Arial"/>
          <w:color w:val="2C2C2C"/>
          <w:sz w:val="22"/>
          <w:szCs w:val="22"/>
        </w:rPr>
        <w:t xml:space="preserve">Each plan_task maps to a DEL-v2 state machine instance. The ten DEL-v2 states apply at task granularity (WP-001, Section 4). Gate enforcement happens at task boundaries: when task N completes, the system verifies that the task passed its gates, that all of task N+1's dependencies are satisfied, and that all plan-level invariants are still valid. Only when all three conditions are true does task N+1 transition from blocked to ready. A breach in any task can cascade: if task 3 produces output violating a plan-level invariant, the system halts all downstream tasks that depend on task 3's output. This cascade behavior is the enterprise compliance property of Planning Mode: invariant violations cannot silently propagate to downstream tasks.</w:t>
      </w:r>
    </w:p>
    <w:p>
      <w:pPr>
        <w:pStyle w:val="Heading2"/>
        <w:spacing w:before="240" w:after="80" w:line="276" w:lineRule="auto"/>
      </w:pPr>
      <w:r>
        <w:rPr>
          <w:rFonts w:ascii="Arial" w:cs="Arial" w:eastAsia="Arial" w:hAnsi="Arial"/>
          <w:b/>
          <w:bCs/>
          <w:color w:val="2E75B6"/>
          <w:sz w:val="28"/>
          <w:szCs w:val="28"/>
        </w:rPr>
        <w:t xml:space="preserve">4.4.1 Plan Failure Recovery</w:t>
      </w:r>
    </w:p>
    <w:p>
      <w:pPr>
        <w:spacing w:before="0" w:after="200" w:line="276" w:lineRule="auto"/>
      </w:pPr>
      <w:r>
        <w:rPr>
          <w:rFonts w:ascii="Arial" w:cs="Arial" w:eastAsia="Arial" w:hAnsi="Arial"/>
          <w:color w:val="2C2C2C"/>
          <w:sz w:val="22"/>
          <w:szCs w:val="22"/>
        </w:rPr>
        <w:t xml:space="preserve">When a plan_task transitions to the failed state after exhausting configured retries, the plan as a whole enters a paused state and execution halts. The operator is notified with the specific task that failed, the gate condition that was not satisfied, and the full execution trace for the failed task. Three recovery paths are available, each producing a deterministic state transition.</w:t>
      </w:r>
    </w:p>
    <w:p>
      <w:pPr>
        <w:spacing w:before="0" w:after="200" w:line="276" w:lineRule="auto"/>
      </w:pPr>
      <w:r>
        <w:rPr>
          <w:rFonts w:ascii="Arial" w:cs="Arial" w:eastAsia="Arial" w:hAnsi="Arial"/>
          <w:color w:val="2C2C2C"/>
          <w:sz w:val="22"/>
          <w:szCs w:val="22"/>
        </w:rPr>
        <w:t xml:space="preserve">Recovery Path 1 -- Retry with modified specification: the operator modifies the failed task's description or governance_config to address the root cause of the gate failure, then resets the task status to ready. The task re-executes with the modified specification; all downstream tasks remain in blocked state and resume automatically if the retry succeeds.</w:t>
      </w:r>
    </w:p>
    <w:p>
      <w:pPr>
        <w:spacing w:before="0" w:after="200" w:line="276" w:lineRule="auto"/>
      </w:pPr>
      <w:r>
        <w:rPr>
          <w:rFonts w:ascii="Arial" w:cs="Arial" w:eastAsia="Arial" w:hAnsi="Arial"/>
          <w:color w:val="2C2C2C"/>
          <w:sz w:val="22"/>
          <w:szCs w:val="22"/>
        </w:rPr>
        <w:t xml:space="preserve">Recovery Path 2 -- Task substitution: the operator marks the failed task as skipped (recording the reason in the audit trail) and manually sets the downstream tasks' dependency on it as satisfied. This is appropriate when the failed task's output is not actually required by downstream tasks, or when the operator can provide the expected output through an alternative mechanism. The audit trail records the substitution explicitly.</w:t>
      </w:r>
    </w:p>
    <w:p>
      <w:pPr>
        <w:spacing w:before="0" w:after="200" w:line="276" w:lineRule="auto"/>
      </w:pPr>
      <w:r>
        <w:rPr>
          <w:rFonts w:ascii="Arial" w:cs="Arial" w:eastAsia="Arial" w:hAnsi="Arial"/>
          <w:color w:val="2C2C2C"/>
          <w:sz w:val="22"/>
          <w:szCs w:val="22"/>
        </w:rPr>
        <w:t xml:space="preserve">Recovery Path 3 -- Partial plan rollback: the operator marks all tasks from the failed task forward as cancelled, preserving the completed tasks' outputs and audit records. A new sub-plan is created starting from the failure point with a revised approach. The original plan record is retained with status=partially_completed for audit purposes; it is never deleted.</w:t>
      </w:r>
    </w:p>
    <w:p>
      <w:pPr>
        <w:spacing w:before="0" w:after="200" w:line="276" w:lineRule="auto"/>
      </w:pPr>
      <w:r>
        <w:rPr>
          <w:rFonts w:ascii="Arial" w:cs="Arial" w:eastAsia="Arial" w:hAnsi="Arial"/>
          <w:color w:val="2C2C2C"/>
          <w:sz w:val="22"/>
          <w:szCs w:val="22"/>
        </w:rPr>
        <w:t xml:space="preserve">In all three recovery paths, the operator (not the orchestrator, not the execution engine) makes the recovery decision. This is consistent with the DEL-v2 principle that PROTOCOL_BREACH and task failure require human judgment for resolution (WP-001, Section 4). The execution engine enforces the halt; the operator determines the path forward.</w:t>
      </w:r>
    </w:p>
    <w:p>
      <w:pPr>
        <w:pStyle w:val="Heading2"/>
        <w:spacing w:before="240" w:after="80" w:line="276" w:lineRule="auto"/>
      </w:pPr>
      <w:r>
        <w:rPr>
          <w:rFonts w:ascii="Arial" w:cs="Arial" w:eastAsia="Arial" w:hAnsi="Arial"/>
          <w:b/>
          <w:bCs/>
          <w:color w:val="2E75B6"/>
          <w:sz w:val="28"/>
          <w:szCs w:val="28"/>
        </w:rPr>
        <w:t xml:space="preserve">4.5 Plan Portability Across Context and Model Boundaries</w:t>
      </w:r>
    </w:p>
    <w:p>
      <w:pPr>
        <w:spacing w:before="0" w:after="200" w:line="276" w:lineRule="auto"/>
      </w:pPr>
      <w:r>
        <w:rPr>
          <w:rFonts w:ascii="Arial" w:cs="Arial" w:eastAsia="Arial" w:hAnsi="Arial"/>
          <w:color w:val="2C2C2C"/>
          <w:sz w:val="22"/>
          <w:szCs w:val="22"/>
        </w:rPr>
        <w:t xml:space="preserve">Plans survive context window exhaustion. When a model's context fills mid-task, the system syncs state to the database and bootstraps a new session with the same or a different model. The plan object in the database is the source of truth; the model's in-context memory is a disposable working surface. Plans also survive model switches: task 3 can run on GPT-4.1, task 4 on Claude Sonnet 4.6, and task 5 on a locally hosted Llama 4 Scout model. The bootstrap protocol (WP-001, Section 3) loads the relevant plan context into whatever model is dispatched next. The model does not need to have been present for prior tasks; the database state is complete and self-contained.</w:t>
      </w:r>
    </w:p>
    <w:p>
      <w:pPr>
        <w:pStyle w:val="Heading2"/>
        <w:spacing w:before="240" w:after="80" w:line="276" w:lineRule="auto"/>
      </w:pPr>
      <w:r>
        <w:rPr>
          <w:rFonts w:ascii="Arial" w:cs="Arial" w:eastAsia="Arial" w:hAnsi="Arial"/>
          <w:b/>
          <w:bCs/>
          <w:color w:val="2E75B6"/>
          <w:sz w:val="28"/>
          <w:szCs w:val="28"/>
        </w:rPr>
        <w:t xml:space="preserve">4.6 Diff-Based Context Injection</w:t>
      </w:r>
    </w:p>
    <w:p>
      <w:pPr>
        <w:spacing w:before="0" w:after="200" w:line="276" w:lineRule="auto"/>
      </w:pPr>
      <w:r>
        <w:rPr>
          <w:rFonts w:ascii="Arial" w:cs="Arial" w:eastAsia="Arial" w:hAnsi="Arial"/>
          <w:color w:val="2C2C2C"/>
          <w:sz w:val="22"/>
          <w:szCs w:val="22"/>
        </w:rPr>
        <w:t xml:space="preserve">Context injection is the mechanism by which persisted project state is loaded into a new model context at session start or model switch. The naive approach -- injecting the complete history of decisions, invariants, session logs, and plan task states as a single concatenated block -- is architecturally incorrect for long-lived projects. A project with 200 logged decisions and 40 session summaries may require 30,000 or more tokens simply to inject prior context before any new work begins. At GPT-4.1 pricing ($2.00/1M input), this represents $0.06 per session start on context alone, rising to over $0.15 per session at GPT-5.4 or Claude Sonnet 4.6 pricing. Across a team of ten engineers, that overhead compounds to a material operating cost before any productive inference occurs. More critically, full-history injection consumes context window capacity that the model needs for the current task, creating the degradation it was intended to prevent.</w:t>
      </w:r>
    </w:p>
    <w:p>
      <w:pPr>
        <w:spacing w:before="0" w:after="200" w:line="276" w:lineRule="auto"/>
      </w:pPr>
      <w:r>
        <w:rPr>
          <w:rFonts w:ascii="Arial" w:cs="Arial" w:eastAsia="Arial" w:hAnsi="Arial"/>
          <w:color w:val="2C2C2C"/>
          <w:sz w:val="22"/>
          <w:szCs w:val="22"/>
        </w:rPr>
        <w:t xml:space="preserve">Diff-based context injection solves this by computing a minimal state delta -- the difference between the complete project state at the end of the last session and the complete project state now -- and injecting only that delta into the new context alongside a compact project summary. The intuition is correct: a returning engineer who worked on a project yesterday does not re-read every decision ever made; they read the summary and the changes since they last touched it. Diff-based injection replicates this cognitive pattern at the protocol level.</w:t>
      </w:r>
    </w:p>
    <w:p>
      <w:pPr>
        <w:pBdr>
          <w:left w:val="single" w:color="2E75B6" w:sz="6" w:space="8"/>
        </w:pBdr>
        <w:spacing w:before="120" w:after="120"/>
        <w:ind w:left="720"/>
      </w:pPr>
      <w:r>
        <w:rPr>
          <w:rFonts w:ascii="Arial" w:cs="Arial" w:eastAsia="Arial" w:hAnsi="Arial"/>
          <w:i/>
          <w:iCs/>
          <w:color w:val="555555"/>
          <w:sz w:val="22"/>
          <w:szCs w:val="22"/>
        </w:rPr>
        <w:t xml:space="preserve">Diff-based injection is a prerequisite for cost-efficient governance at scale. A team with 50 active projects each accumulating decisions daily cannot sustain full-history injection without encountering both context budget exhaustion and unsustainable per-session inference costs. The diff mechanism makes governance cost-stable regardless of project age.</w:t>
      </w:r>
    </w:p>
    <w:p>
      <w:pPr>
        <w:spacing w:before="0" w:after="200" w:line="276" w:lineRule="auto"/>
      </w:pPr>
      <w:r>
        <w:rPr>
          <w:rFonts w:ascii="Arial" w:cs="Arial" w:eastAsia="Arial" w:hAnsi="Arial"/>
          <w:color w:val="2C2C2C"/>
          <w:sz w:val="22"/>
          <w:szCs w:val="22"/>
        </w:rPr>
        <w:t xml:space="preserve">The diff computation proceeds in five stages at every session start and model switch. Stage 1 -- Snapshot retrieval: the system reads the session_deltas table for the current project and retrieves the most recent committed snapshot. The snapshot is a serialized JSON object containing the project state at the end of the last session: the count and fingerprint of all decisions, the set of active invariants with their full text, the plan status and task state vector, the project memory entries, and the context health score at session close. Stage 2 -- Live state query: the system queries the live platform database for the current project state across decisions, invariants, plans, plan_tasks, and project_memories. Stage 3 -- Delta computation: the system computes the set difference between the snapshot and the live state on each dimension. New decisions added since the last session are enumerated. Invariants added, modified, or deleted are listed. Plan task state changes are enumerated. New project memory entries are listed. Stage 4 -- Delta serialization: the delta is serialized to a structured injection block with a defined token budget ceiling. Table 7 defines the component structure of the injection block with its per-component token budget. Stage 5 -- Injection: the bootstrap protocol (WP-001, Section 3) injects the compact project summary followed by the delta block as the first message in the new session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Token Budget Ceiling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summary header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name, description, governance mode, total decisions to date, active invariant count, and plan status summary in structured format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invariants (full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current invariant set is always injected in full regardless of diff status; invariants are the governance constraints the model must enforce and cannot be omitted for cost reasons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ceiling; completeness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delta (new since last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decisions created after the last session snapshot are included; decisions are rendered as a numbered list with timestamp, decision text, and rationale; if no new decisions exist, this component is omitted entirely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800 tokens maximum; truncated to most recent if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task state delta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whose state has changed since the last snapshot are listed with their previous and current state; tasks that have not changed are omitted; the full plan DAG topology is described by a compact adjacency notation rather than full task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 tokens maximum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close notes from prior session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sessions_log.progress_notes field from the most recently closed session; represents the operator-authored state summary written at session close per WP-001, Section 3</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Contextual memory entries (relevant subset)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memory entries tagged as pinned are always included; unpinned entries are ranked by recency and relevance score computed against the current task context; see Section 4.7 for the full contextual memory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600 tokens maximum for unpinned; no ceiling for pinned entries</w:t>
            </w:r>
          </w:p>
        </w:tc>
      </w:tr>
    </w:tbl>
    <w:p>
      <w:pPr>
        <w:spacing w:before="120" w:after="0"/>
      </w:pPr>
    </w:p>
    <w:p>
      <w:pPr>
        <w:spacing w:before="0" w:after="200" w:line="276" w:lineRule="auto"/>
      </w:pPr>
      <w:r>
        <w:rPr>
          <w:rFonts w:ascii="Arial" w:cs="Arial" w:eastAsia="Arial" w:hAnsi="Arial"/>
          <w:color w:val="2C2C2C"/>
          <w:sz w:val="22"/>
          <w:szCs w:val="22"/>
        </w:rPr>
        <w:t xml:space="preserve">The aggregate token budget for a complete injection block is therefore: 300 (summary) + invariants (uncapped) + 800 (decision delta) + 500 (plan delta) + 400 (session notes) + 600 (memory) = approximately 2,600 tokens plus invariant length. For a project with 20 active invariants averaging 30 tokens each, total injection cost is approximately 3,200 tokens. Compared to full-history injection for a mature project, this represents a reduction of 85% to 95% in context injection overhead, with no loss of governance fidelity because the invariant set is always complete.</w:t>
      </w:r>
    </w:p>
    <w:p>
      <w:pPr>
        <w:spacing w:before="0" w:after="200" w:line="276" w:lineRule="auto"/>
      </w:pPr>
      <w:r>
        <w:rPr>
          <w:rFonts w:ascii="Arial" w:cs="Arial" w:eastAsia="Arial" w:hAnsi="Arial"/>
          <w:color w:val="2C2C2C"/>
          <w:sz w:val="22"/>
          <w:szCs w:val="22"/>
        </w:rPr>
        <w:t xml:space="preserve">The session_deltas table stores each committed snapshot after session close. On session close, ContextHealthMonitor.php writes a new session_deltas row. On session start, the diff engine reads the most recent row for the project and computes the delta against live state. If no prior snapshot exists (first session for a new project), the full current state is injected without diff computation. The diff engine handles inter-session modifications correctly because it computes against live database state, not against a cached view: changes made by other team members between sessions are reflected in the next delta.</w:t>
      </w:r>
    </w:p>
    <w:p>
      <w:pPr>
        <w:pStyle w:val="Heading2"/>
        <w:spacing w:before="240" w:after="80" w:line="276" w:lineRule="auto"/>
      </w:pPr>
      <w:r>
        <w:rPr>
          <w:rFonts w:ascii="Arial" w:cs="Arial" w:eastAsia="Arial" w:hAnsi="Arial"/>
          <w:b/>
          <w:bCs/>
          <w:color w:val="2E75B6"/>
          <w:sz w:val="28"/>
          <w:szCs w:val="28"/>
        </w:rPr>
        <w:t xml:space="preserve">4.7 Contextual Memory Layer</w:t>
      </w:r>
    </w:p>
    <w:p>
      <w:pPr>
        <w:spacing w:before="0" w:after="200" w:line="276" w:lineRule="auto"/>
      </w:pPr>
      <w:r>
        <w:rPr>
          <w:rFonts w:ascii="Arial" w:cs="Arial" w:eastAsia="Arial" w:hAnsi="Arial"/>
          <w:color w:val="2C2C2C"/>
          <w:sz w:val="22"/>
          <w:szCs w:val="22"/>
        </w:rPr>
        <w:t xml:space="preserve">The contextual memory layer is the mechanism by which project-specific knowledge that does not fit the structured schema of decisions, invariants, or plan tasks is captured, stored, retrieved selectively, and injected into session context. It addresses a gap in the existing data model: decisions record what was decided and why; invariants record what must remain true; but neither structure captures architectural rationale, known failure modes, external constraints, team preferences, recurring patterns, or other forms of durable project knowledge that a model needs to produce high-quality outputs in later sessions.</w:t>
      </w:r>
    </w:p>
    <w:p>
      <w:pPr>
        <w:spacing w:before="0" w:after="200" w:line="276" w:lineRule="auto"/>
      </w:pPr>
      <w:r>
        <w:rPr>
          <w:rFonts w:ascii="Arial" w:cs="Arial" w:eastAsia="Arial" w:hAnsi="Arial"/>
          <w:color w:val="2C2C2C"/>
          <w:sz w:val="22"/>
          <w:szCs w:val="22"/>
        </w:rPr>
        <w:t xml:space="preserve">The project_memories table stores memory entries. The schema is: id (primary key), project_id (foreign key, indexed), session_id (foreign key referencing the session in which the memory was created), memory_type (ENUM: architectural, constraint, preference, failure_mode, external, team, general), content (TEXT, the memory entry text), tags (JSON array of string tags for retrieval filtering), relevance_score (DECIMAL(3,2), operator-assigned or system-computed, range 0.00 to 1.00), pinned (BOOLEAN, default false), created_at (TIMESTAMP), last_injected_at (TIMESTAMP, updated each time the entry is included in a context injection).</w:t>
      </w:r>
    </w:p>
    <w:p>
      <w:pPr>
        <w:pBdr>
          <w:left w:val="single" w:color="2E75B6" w:sz="6" w:space="8"/>
        </w:pBdr>
        <w:spacing w:before="120" w:after="120"/>
        <w:ind w:left="720"/>
      </w:pPr>
      <w:r>
        <w:rPr>
          <w:rFonts w:ascii="Arial" w:cs="Arial" w:eastAsia="Arial" w:hAnsi="Arial"/>
          <w:i/>
          <w:iCs/>
          <w:color w:val="555555"/>
          <w:sz w:val="22"/>
          <w:szCs w:val="22"/>
        </w:rPr>
        <w:t xml:space="preserve">The distinction between decisions and memories is architectural. A decision is a discrete, timestamped event: the model or operator chose X over Y at time T for reason R. A memory is a standing piece of project knowledge with no specific decision event attached: the codebase uses PHP 8.2 and cannot upgrade mid-project; the client requires all outputs to be idempotent; this connector implementation has a known race condition at high concurrency. Memories are durable knowledge. Decisions are events. Both are necessary; neither substitutes for the other.</w:t>
      </w:r>
    </w:p>
    <w:p>
      <w:pPr>
        <w:spacing w:before="0" w:after="200" w:line="276" w:lineRule="auto"/>
      </w:pPr>
      <w:r>
        <w:rPr>
          <w:rFonts w:ascii="Arial" w:cs="Arial" w:eastAsia="Arial" w:hAnsi="Arial"/>
          <w:color w:val="2C2C2C"/>
          <w:sz w:val="22"/>
          <w:szCs w:val="22"/>
        </w:rPr>
        <w:t xml:space="preserve">Memory entries are created through three paths. Path 1 -- Operator-authored: the operator explicitly creates a memory entry via the dashboard or the /projects/:id/memories API endpoint, supplying content, type, tags, and an optional relevance score. Path 2 -- Model-suggested: during a session, the governing model identifies a piece of knowledge that should be persisted and issues a suggest_memory tool call with the proposed content and type. The operator approves or rejects the suggestion before the entry is written. No model-suggested memory is persisted without explicit operator approval. Path 3 -- Automatic extraction: after each session close, the platform performs a lightweight NLP pass over the session log looking for explicit constraint language patterns (must, cannot, always, never, required, prohibited) in operator-authored text. Candidate entries are surfaced in the dashboard for operator review; none are auto-committed without approval.</w:t>
      </w:r>
    </w:p>
    <w:p>
      <w:pPr>
        <w:spacing w:before="0" w:after="200" w:line="276" w:lineRule="auto"/>
      </w:pPr>
      <w:r>
        <w:rPr>
          <w:rFonts w:ascii="Arial" w:cs="Arial" w:eastAsia="Arial" w:hAnsi="Arial"/>
          <w:color w:val="2C2C2C"/>
          <w:sz w:val="22"/>
          <w:szCs w:val="22"/>
        </w:rPr>
        <w:t xml:space="preserve">Memory retrieval for context injection uses a two-tier selection algorithm. Tier 1 -- Pinned entries: all entries with pinned=true are unconditionally included in every injection, regardless of relevance score or current task context. Tier 2 -- Relevance-ranked unpinned entries: the remaining entries are ranked by a composite score combining static relevance_score (operator-assigned weight, range 0 to 1) and a dynamic task relevance score computed by comparing the current task specification text against each entry's content and tags using TF-IDF cosine similarity. The composite score is: composite = 0.4 * relevance_score + 0.6 * task_similarity. Entries are ranked by composite score and included in the injection block up to the 600-token ceiling.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Memory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and Scope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Examples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Injection Priority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design choices about the system that are not captured as decisions but shape all future implementation; typically set early in the project and remain stable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database access uses PDO prepared statements; raw string concatenation in SQL is prohibited.' 'The connector system is interface-based; no concrete implementation may be referenced directly outside its own class file.'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constraint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boundaries imposed by the environment, platform, client, or regulation that the model must respect in all outputs; differ from invariants in that they are contextual rather than checkable predicates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'cPanel shared hosting does not support process-level daemons; all background work must use cron or webhook handlers.' 'The client has a HIPAA BAA; no PHI may be stored outside the encrypted connector_cache 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pin recommended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preference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or team preferences about style, format, or approach that are not hard constraints but improve output quality when honored consistently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'Response structure: conclusion first, then methods, then details; no bullet points except in tables.' 'Variable names in this codebase follow snake_case throughout; do not use camelCase.'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failure_mode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Known ways in which the system, toolchain, or workflow has previously failed or is known to be fragile; prevents the model from repeating discovered failure paths in future 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docx library outputs paragraph border children in wrong OOXML order when all 4 sides are specified; use left border only for callout paragraphs.' 'The Stripe webhook endpoint fails silently if the raw body has been decoded before signature verification.'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task-relevance 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Facts about the external environment -- third-party services, APIs, platform versions, dependency behavior -- that affect how the model should generate outputs and that may change over time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'Stripe webhook delivery has a 30-second timeout; handlers must respond immediately and process asynchronously.' 'The project is deployed on cPanel shared hosting running PHP 8.2; no exec() or shell access is available.'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 about the human team: role assignments, review responsibilities, communication conventions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'Alex owns the frontend; all CSS changes require his review before merge.' 'The client is non-technical; all communications must avoid jargon and use plain-language summaries.'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relevance-ranked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project knowledge that does not fit a more specific type; catch-all for important context that the operator wants preserved but that resists classification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project was originally scoped for a single-tenant deployment; multi-tenant requirements were added in week three; some early code reflects the original assumption.'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relevance-ranked only when budget remains</w:t>
            </w:r>
          </w:p>
        </w:tc>
      </w:tr>
    </w:tbl>
    <w:p>
      <w:pPr>
        <w:spacing w:before="120" w:after="0"/>
      </w:pPr>
    </w:p>
    <w:p>
      <w:pPr>
        <w:spacing w:before="0" w:after="200" w:line="276" w:lineRule="auto"/>
      </w:pPr>
      <w:r>
        <w:rPr>
          <w:rFonts w:ascii="Arial" w:cs="Arial" w:eastAsia="Arial" w:hAnsi="Arial"/>
          <w:color w:val="2C2C2C"/>
          <w:sz w:val="22"/>
          <w:szCs w:val="22"/>
        </w:rPr>
        <w:t xml:space="preserve">Memory lifecycle management prevents the project_memories table from becoming a stale accumulation of outdated entries. An entry whose last_injected_at is more than 90 sessions ago is flagged as stale in the dashboard and surfaced to the operator for review. The operator may archive stale entries (retained in the database but excluded from injection selection), delete them, or re-activate them by updating the relevance_score. Archived entries are never deleted automatically; they remain available for historical audit and can be re-activated at any time.</w:t>
      </w:r>
    </w:p>
    <w:p>
      <w:pPr>
        <w:pStyle w:val="Heading1"/>
        <w:pageBreakBefore/>
        <w:spacing w:before="360" w:after="120" w:line="276" w:lineRule="auto"/>
      </w:pPr>
      <w:r>
        <w:rPr>
          <w:rFonts w:ascii="Arial" w:cs="Arial" w:eastAsia="Arial" w:hAnsi="Arial"/>
          <w:b/>
          <w:bCs/>
          <w:color w:val="1B2A4A"/>
          <w:sz w:val="36"/>
          <w:szCs w:val="36"/>
        </w:rPr>
        <w:t xml:space="preserve">5. ChatGPT-Style Natural Language Interface</w:t>
      </w:r>
    </w:p>
    <w:p>
      <w:pPr>
        <w:spacing w:before="0" w:after="200" w:line="276" w:lineRule="auto"/>
      </w:pPr>
      <w:r>
        <w:rPr>
          <w:rFonts w:ascii="Arial" w:cs="Arial" w:eastAsia="Arial" w:hAnsi="Arial"/>
          <w:color w:val="2C2C2C"/>
          <w:sz w:val="22"/>
          <w:szCs w:val="22"/>
        </w:rPr>
        <w:t xml:space="preserve">The Natural Language Interface is the user-facing access layer for all ContextKeeper platform capabilities: token-tracked inference, connector-powered tool calls, DEL-v2-governed sessions, and agent execution. It is architected as five independent layers, each with a defined responsibility boundary, so that individual layers can be upgraded or replaced without affecting the others.</w:t>
      </w:r>
    </w:p>
    <w:p>
      <w:pPr>
        <w:pStyle w:val="Heading2"/>
        <w:spacing w:before="240" w:after="80" w:line="276" w:lineRule="auto"/>
      </w:pPr>
      <w:r>
        <w:rPr>
          <w:rFonts w:ascii="Arial" w:cs="Arial" w:eastAsia="Arial" w:hAnsi="Arial"/>
          <w:b/>
          <w:bCs/>
          <w:color w:val="2E75B6"/>
          <w:sz w:val="28"/>
          <w:szCs w:val="28"/>
        </w:rPr>
        <w:t xml:space="preserve">5.1 Five-Layer Architecture</w:t>
      </w:r>
    </w:p>
    <w:p>
      <w:pPr>
        <w:spacing w:before="0" w:after="200" w:line="276" w:lineRule="auto"/>
      </w:pPr>
      <w:r>
        <w:rPr>
          <w:rFonts w:ascii="Arial" w:cs="Arial" w:eastAsia="Arial" w:hAnsi="Arial"/>
          <w:color w:val="2C2C2C"/>
          <w:sz w:val="22"/>
          <w:szCs w:val="22"/>
        </w:rPr>
        <w:t xml:space="preserve">Table 9 defines all five layers, their functions, and their key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Component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renders message thread, token meter, context health indicator, and model selector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or LibreChat fork deployed at contextkeeper.org/chat/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Routes each inference request to the user-selected provider or local backend; enforces BYOK credential isolation per request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Per-request provider dispatch; encrypted credential store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Bridge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user's active connector bindings as callable tools within the conversation context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ConnectorInterface.php; tool-call dispatcher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decisions and state to platform database; applies DEL-v2 gate enforcement when configured; triggers bootstrap protocol on model switch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state tracker; DEL-v2 gate evaluator (WP-001, Section 3)</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Translates natural language agent requests into governed agent definitions and dispatches execution runs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schema builder; execution engine (WP-005)</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5.1.1 Layer 1: Chat UI</w:t>
      </w:r>
    </w:p>
    <w:p>
      <w:pPr>
        <w:spacing w:before="0" w:after="200" w:line="276" w:lineRule="auto"/>
      </w:pPr>
      <w:r>
        <w:rPr>
          <w:rFonts w:ascii="Arial" w:cs="Arial" w:eastAsia="Arial" w:hAnsi="Arial"/>
          <w:color w:val="2C2C2C"/>
          <w:sz w:val="22"/>
          <w:szCs w:val="22"/>
        </w:rPr>
        <w:t xml:space="preserve">The Chat UI is a fork of either Open WebUI or LibreChat (both MIT-licensed), deployed at contextkeeper.org/chat/. Users authenticate with their existing ContextKeeper account session. The UI renders the message thread, the persistent token meter (Section 5.2), a model selector dropdown, and a context health indicator. The fork adds ContextKeeper-specific components while preserving the upstream interface's rendering and accessibility properties. The model selector includes all active models from the model_pricing table: GPT-4o, GPT-4.1 family, GPT-5.4 family, o3, o4-mini, Claude Haiku 4.5, Claude Sonnet 4.6, Claude Opus 4.6, Gemini 2.5 Flash, Gemini 2.5 Pro, Gemini 3.1 Pro Preview, Llama 4 Scout and Maverick (via Groq), Llama 3.3 70B (via Groq), DeepSeek V3.2, and locally served models.</w:t>
      </w:r>
    </w:p>
    <w:p>
      <w:pPr>
        <w:pStyle w:val="Heading2"/>
        <w:spacing w:before="240" w:after="80" w:line="276" w:lineRule="auto"/>
      </w:pPr>
      <w:r>
        <w:rPr>
          <w:rFonts w:ascii="Arial" w:cs="Arial" w:eastAsia="Arial" w:hAnsi="Arial"/>
          <w:b/>
          <w:bCs/>
          <w:color w:val="2E75B6"/>
          <w:sz w:val="28"/>
          <w:szCs w:val="28"/>
        </w:rPr>
        <w:t xml:space="preserve">5.1.2 Layer 2: Model Router</w:t>
      </w:r>
    </w:p>
    <w:p>
      <w:pPr>
        <w:spacing w:before="0" w:after="200" w:line="276" w:lineRule="auto"/>
      </w:pPr>
      <w:r>
        <w:rPr>
          <w:rFonts w:ascii="Arial" w:cs="Arial" w:eastAsia="Arial" w:hAnsi="Arial"/>
          <w:color w:val="2C2C2C"/>
          <w:sz w:val="22"/>
          <w:szCs w:val="22"/>
        </w:rPr>
        <w:t xml:space="preserve">The Model Router routes each inference request to the provider and model selected by the user. Routing options include: hosted open-weight models served via Ollama or vLLM on platform infrastructure; user-provided API keys for commercial providers (OpenAI, Anthropic, Google, Groq, DeepSeek); and user-fine-tuned models uploaded to the platform. BYOK credential isolation is enforced at this layer: each user's API keys are stored encrypted in the platform database and used only for that user's requests. For thinking/reasoning models (o3, o4-mini, Claude Opus/Sonnet 4.6 with adaptive thinking, Gemini 2.5 Pro/Flash with thinkingBudget), the Model Router passes the appropriate thinking configuration parameters to the provider endpoint. Open-weight model hosting options and the BYOK infrastructure are specified in WP-004.</w:t>
      </w:r>
    </w:p>
    <w:p>
      <w:pPr>
        <w:pStyle w:val="Heading2"/>
        <w:spacing w:before="240" w:after="80" w:line="276" w:lineRule="auto"/>
      </w:pPr>
      <w:r>
        <w:rPr>
          <w:rFonts w:ascii="Arial" w:cs="Arial" w:eastAsia="Arial" w:hAnsi="Arial"/>
          <w:b/>
          <w:bCs/>
          <w:color w:val="2E75B6"/>
          <w:sz w:val="28"/>
          <w:szCs w:val="28"/>
        </w:rPr>
        <w:t xml:space="preserve">5.1.3 Layer 3: Connector Bridge</w:t>
      </w:r>
    </w:p>
    <w:p>
      <w:pPr>
        <w:spacing w:before="0" w:after="200" w:line="276" w:lineRule="auto"/>
      </w:pPr>
      <w:r>
        <w:rPr>
          <w:rFonts w:ascii="Arial" w:cs="Arial" w:eastAsia="Arial" w:hAnsi="Arial"/>
          <w:color w:val="2C2C2C"/>
          <w:sz w:val="22"/>
          <w:szCs w:val="22"/>
        </w:rPr>
        <w:t xml:space="preserve">The Connector Bridge exposes the user's active connector bindings as callable tools within the conversation. When a user says 'Query my database,' the bridge dispatches to the user's PostgreSQL connector. When the user says 'Search my documents,' the bridge triggers RAG retrieval against files indexed from S3 or Google Drive. The connector ecosystem currently has 67 connector types defined in the platform UI, with five implementations live (GitHub, Google Drive, S3, PostgreSQL, LocalFile). Full connector architecture, agent integration, and marketplace are specified in WP-005.</w:t>
      </w:r>
    </w:p>
    <w:p>
      <w:pPr>
        <w:pStyle w:val="Heading2"/>
        <w:spacing w:before="240" w:after="80" w:line="276" w:lineRule="auto"/>
      </w:pPr>
      <w:r>
        <w:rPr>
          <w:rFonts w:ascii="Arial" w:cs="Arial" w:eastAsia="Arial" w:hAnsi="Arial"/>
          <w:b/>
          <w:bCs/>
          <w:color w:val="2E75B6"/>
          <w:sz w:val="28"/>
          <w:szCs w:val="28"/>
        </w:rPr>
        <w:t xml:space="preserve">5.1.4 Layer 4: Governance Layer</w:t>
      </w:r>
    </w:p>
    <w:p>
      <w:pPr>
        <w:spacing w:before="0" w:after="200" w:line="276" w:lineRule="auto"/>
      </w:pPr>
      <w:r>
        <w:rPr>
          <w:rFonts w:ascii="Arial" w:cs="Arial" w:eastAsia="Arial" w:hAnsi="Arial"/>
          <w:color w:val="2C2C2C"/>
          <w:sz w:val="22"/>
          <w:szCs w:val="22"/>
        </w:rPr>
        <w:t xml:space="preserve">Every chat session is a ContextKeeper session. The Governance Layer logs all decisions and state transitions to the platform database. When a user has configured DEL-v2 governance for a project, this layer evaluates gate conditions before permitting state transitions. When a model switch occurs (user selection or Cost Optimizer recommendation), this layer triggers the bootstrap protocol (WP-001, Section 3) to load current project state into the new model's context. Governance is configurable at two levels: light (state tracking and decision logging only) or full (DEL-v2 gates, invariant checking, SHA verification, and breach handling per WP-001 and WP-002).</w:t>
      </w:r>
    </w:p>
    <w:p>
      <w:pPr>
        <w:pStyle w:val="Heading2"/>
        <w:spacing w:before="240" w:after="80" w:line="276" w:lineRule="auto"/>
      </w:pPr>
      <w:r>
        <w:rPr>
          <w:rFonts w:ascii="Arial" w:cs="Arial" w:eastAsia="Arial" w:hAnsi="Arial"/>
          <w:b/>
          <w:bCs/>
          <w:color w:val="2E75B6"/>
          <w:sz w:val="28"/>
          <w:szCs w:val="28"/>
        </w:rPr>
        <w:t xml:space="preserve">5.1.5 Layer 5: Agent Execution</w:t>
      </w:r>
    </w:p>
    <w:p>
      <w:pPr>
        <w:spacing w:before="0" w:after="200" w:line="276" w:lineRule="auto"/>
      </w:pPr>
      <w:r>
        <w:rPr>
          <w:rFonts w:ascii="Arial" w:cs="Arial" w:eastAsia="Arial" w:hAnsi="Arial"/>
          <w:color w:val="2C2C2C"/>
          <w:sz w:val="22"/>
          <w:szCs w:val="22"/>
        </w:rPr>
        <w:t xml:space="preserve">Layer 5 translates natural language agent requests into governed agent definitions and dispatches execution runs. A user request such as 'Build a pipeline that monitors S3 for new CSVs, validates against schema, loads into Postgres, and alerts on Slack' causes Layer 5 to construct a governed agent definition (system prompt, connector bindings, governance configuration, trigger type) and persist it to the agents table. The full agent builder hub concept, agent definition schema, execution engine, and marketplace architecture are specified in WP-005.</w:t>
      </w:r>
    </w:p>
    <w:p>
      <w:pPr>
        <w:pStyle w:val="Heading2"/>
        <w:spacing w:before="240" w:after="80" w:line="276" w:lineRule="auto"/>
      </w:pPr>
      <w:r>
        <w:rPr>
          <w:rFonts w:ascii="Arial" w:cs="Arial" w:eastAsia="Arial" w:hAnsi="Arial"/>
          <w:b/>
          <w:bCs/>
          <w:color w:val="2E75B6"/>
          <w:sz w:val="28"/>
          <w:szCs w:val="28"/>
        </w:rPr>
        <w:t xml:space="preserve">5.2 Token Visibility in the Chat Interface</w:t>
      </w:r>
    </w:p>
    <w:p>
      <w:pPr>
        <w:spacing w:before="0" w:after="200" w:line="276" w:lineRule="auto"/>
      </w:pPr>
      <w:r>
        <w:rPr>
          <w:rFonts w:ascii="Arial" w:cs="Arial" w:eastAsia="Arial" w:hAnsi="Arial"/>
          <w:color w:val="2C2C2C"/>
          <w:sz w:val="22"/>
          <w:szCs w:val="22"/>
        </w:rPr>
        <w:t xml:space="preserve">The chat interface renders a persistent token meter as a collapsible sidebar or footer bar. The meter displays: current session token count and percentage of the model's context window; estimated cost to date for the session; estimated remaining exchanges before context exhaustion (derived from the Level 3 predictive model); and a color-coded context health indicator (Green/Yellow/Red corresponding to the thresholds defined in Section 7). On-demand detail is available by expanding the meter: per-exchange token breakdown including any thinking/reasoning tokens consumed, model comparison costs for the next N exchanges from the CostOptimizer, and a link to the full token usage dashboard.</w:t>
      </w:r>
    </w:p>
    <w:p>
      <w:pPr>
        <w:spacing w:before="0" w:after="200" w:line="276" w:lineRule="auto"/>
      </w:pPr>
      <w:r>
        <w:rPr>
          <w:rFonts w:ascii="Arial" w:cs="Arial" w:eastAsia="Arial" w:hAnsi="Arial"/>
          <w:color w:val="2C2C2C"/>
          <w:sz w:val="22"/>
          <w:szCs w:val="22"/>
        </w:rPr>
        <w:t xml:space="preserve">A periodic notification is injected into the chat stream at a user-configurable interval (default: every 20 exchanges). This notification is rendered as a system message distinct from model output and does not interrupt conversation flow. It shows cumulative tokens (input, output, and thinking separately), current cost, and context utilization at a glance.</w:t>
      </w:r>
    </w:p>
    <w:p>
      <w:pPr>
        <w:pStyle w:val="Heading1"/>
        <w:pageBreakBefore/>
        <w:spacing w:before="360" w:after="120" w:line="276" w:lineRule="auto"/>
      </w:pPr>
      <w:r>
        <w:rPr>
          <w:rFonts w:ascii="Arial" w:cs="Arial" w:eastAsia="Arial" w:hAnsi="Arial"/>
          <w:b/>
          <w:bCs/>
          <w:color w:val="1B2A4A"/>
          <w:sz w:val="36"/>
          <w:szCs w:val="36"/>
        </w:rPr>
        <w:t xml:space="preserve">6. Dynamic Task Prioritization System</w:t>
      </w:r>
    </w:p>
    <w:p>
      <w:pPr>
        <w:spacing w:before="0" w:after="200" w:line="276" w:lineRule="auto"/>
      </w:pPr>
      <w:r>
        <w:rPr>
          <w:rFonts w:ascii="Arial" w:cs="Arial" w:eastAsia="Arial" w:hAnsi="Arial"/>
          <w:color w:val="2C2C2C"/>
          <w:sz w:val="22"/>
          <w:szCs w:val="22"/>
        </w:rPr>
        <w:t xml:space="preserve">The Dynamic Task Prioritization System is a formal scoring methodology for ranking development backlog items at the start of each development session. It replaces recency bias and fixed scheduling with a reproducible, four-dimensional composite score that re-evaluates every item whenever new information is available. The system operates as an operational workflow protocol: it requires no database infrastructure and is in production use across all ContextKeeper development sessions.</w:t>
      </w:r>
    </w:p>
    <w:p>
      <w:pPr>
        <w:pStyle w:val="Heading2"/>
        <w:spacing w:before="240" w:after="80" w:line="276" w:lineRule="auto"/>
      </w:pPr>
      <w:r>
        <w:rPr>
          <w:rFonts w:ascii="Arial" w:cs="Arial" w:eastAsia="Arial" w:hAnsi="Arial"/>
          <w:b/>
          <w:bCs/>
          <w:color w:val="2E75B6"/>
          <w:sz w:val="28"/>
          <w:szCs w:val="28"/>
        </w:rPr>
        <w:t xml:space="preserve">6.1 Scoring Methodology</w:t>
      </w:r>
    </w:p>
    <w:p>
      <w:pPr>
        <w:spacing w:before="0" w:after="200" w:line="276" w:lineRule="auto"/>
      </w:pPr>
      <w:r>
        <w:rPr>
          <w:rFonts w:ascii="Arial" w:cs="Arial" w:eastAsia="Arial" w:hAnsi="Arial"/>
          <w:color w:val="2C2C2C"/>
          <w:sz w:val="22"/>
          <w:szCs w:val="22"/>
        </w:rPr>
        <w:t xml:space="preserve">Every task in the backlog is scored on four dimensions, each on a scale of 1 to 5. The composite score is the sum of the four dimension scores. Table 10 defines each dimension with its maximum and minimum conditions and its role in the composite.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5 (Maximum)</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Score 1 (Minimum)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 in Composite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Revenue (R)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Directly enables charging customers; sits behind a payment gate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revenue impact; purely internal or cosmetic work</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commercial viability outranks all other concerns at equal scores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Unblock (U)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 is non-functional for real users without this task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Nice-to-have enhancement with no adoption impact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invisible user-facing blockers from accumulating in the backlog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five or more other tasks from beginning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Blocks nothing; fully independent leaf task</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the critical path through the task backlog DAG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Effort (E)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Completable in under two hours; quick win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Multi-session epic requiring multiple delivery cycles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Inverse effort rewards quick wins that compound commercial velocity</w:t>
            </w:r>
          </w:p>
        </w:tc>
      </w:tr>
    </w:tbl>
    <w:p>
      <w:pPr>
        <w:spacing w:before="120" w:after="0"/>
      </w:pPr>
    </w:p>
    <w:p>
      <w:pPr>
        <w:spacing w:before="0" w:after="200" w:line="276" w:lineRule="auto"/>
      </w:pPr>
      <w:r>
        <w:rPr>
          <w:rFonts w:ascii="Arial" w:cs="Arial" w:eastAsia="Arial" w:hAnsi="Arial"/>
          <w:color w:val="2C2C2C"/>
          <w:sz w:val="22"/>
          <w:szCs w:val="22"/>
        </w:rPr>
        <w:t xml:space="preserve">Composite = R + U + D + E, maximum 20, minimum 4. Ties are broken by Revenue first, then Dependency. This ordering reflects the commercial priority: revenue-enabling work outranks all other work at equal composite scores; critical-path work outranks non-critical work at equal revenue scores.</w:t>
      </w:r>
    </w:p>
    <w:p>
      <w:pPr>
        <w:spacing w:before="0" w:after="200" w:line="276" w:lineRule="auto"/>
      </w:pPr>
      <w:r>
        <w:rPr>
          <w:rFonts w:ascii="Arial" w:cs="Arial" w:eastAsia="Arial" w:hAnsi="Arial"/>
          <w:color w:val="2C2C2C"/>
          <w:sz w:val="22"/>
          <w:szCs w:val="22"/>
        </w:rPr>
        <w:t xml:space="preserve">Scores are re-evaluated at the start of each development session, not fixed at task creation. A task that scored Revenue=1 at creation may score Revenue=5 after a conversation revealing it is on the critical path to a paying customer. A task that scored Dependency=1 may score Dependency=5 after another task reveals it blocks five downstream items. Dynamic re-evaluation is what distinguishes this system from a static backlog ranking.</w:t>
      </w:r>
    </w:p>
    <w:p>
      <w:pPr>
        <w:pStyle w:val="Heading2"/>
        <w:spacing w:before="240" w:after="80" w:line="276" w:lineRule="auto"/>
      </w:pPr>
      <w:r>
        <w:rPr>
          <w:rFonts w:ascii="Arial" w:cs="Arial" w:eastAsia="Arial" w:hAnsi="Arial"/>
          <w:b/>
          <w:bCs/>
          <w:color w:val="2E75B6"/>
          <w:sz w:val="28"/>
          <w:szCs w:val="28"/>
        </w:rPr>
        <w:t xml:space="preserve">6.2 Session Start Protocol</w:t>
      </w:r>
    </w:p>
    <w:p>
      <w:pPr>
        <w:spacing w:before="0" w:after="200" w:line="276" w:lineRule="auto"/>
      </w:pPr>
      <w:r>
        <w:rPr>
          <w:rFonts w:ascii="Arial" w:cs="Arial" w:eastAsia="Arial" w:hAnsi="Arial"/>
          <w:color w:val="2C2C2C"/>
          <w:sz w:val="22"/>
          <w:szCs w:val="22"/>
        </w:rPr>
        <w:t xml:space="preserve">The session start protocol defines the mandatory sequence at the beginning of each development session. The orchestrator model reads the current backlog from STATE_VECTOR.json and checks each item for score changes based on any new information available since the last session. The orchestrator presents the top five items by composite score with a one-line rationale for each score, including any override conditions (Section 6.3) that affect the ranking. The operator selects one to three items to work on in the current session, or explicitly overrides the ranked order based on context not captured in the scoring dimensions. The orchestrator generates execution prompts for the selected items following the extended prompt template defined in WP-002, Section 8.1. At session end, STATE_VECTOR.json is updated with completed items, revised scores for any re-evaluated items, and a session log entry recording what was selected and why.</w:t>
      </w:r>
    </w:p>
    <w:p>
      <w:pPr>
        <w:spacing w:before="0" w:after="200" w:line="276" w:lineRule="auto"/>
      </w:pPr>
      <w:r>
        <w:rPr>
          <w:rFonts w:ascii="Arial" w:cs="Arial" w:eastAsia="Arial" w:hAnsi="Arial"/>
          <w:color w:val="2C2C2C"/>
          <w:sz w:val="22"/>
          <w:szCs w:val="22"/>
        </w:rPr>
        <w:t xml:space="preserve">The operator, not the orchestrator, makes the final selection. The orchestrator provides a ranked analysis; the operator exercises judgment. This mirrors the DEL-v2 role separation principle (WP-001, Section 7): the AI recommends, the human decides.</w:t>
      </w:r>
    </w:p>
    <w:p>
      <w:pPr>
        <w:pStyle w:val="Heading2"/>
        <w:spacing w:before="240" w:after="80" w:line="276" w:lineRule="auto"/>
      </w:pPr>
      <w:r>
        <w:rPr>
          <w:rFonts w:ascii="Arial" w:cs="Arial" w:eastAsia="Arial" w:hAnsi="Arial"/>
          <w:b/>
          <w:bCs/>
          <w:color w:val="2E75B6"/>
          <w:sz w:val="28"/>
          <w:szCs w:val="28"/>
        </w:rPr>
        <w:t xml:space="preserve">6.3 Override Rules</w:t>
      </w:r>
    </w:p>
    <w:p>
      <w:pPr>
        <w:spacing w:before="0" w:after="200" w:line="276" w:lineRule="auto"/>
      </w:pPr>
      <w:r>
        <w:rPr>
          <w:rFonts w:ascii="Arial" w:cs="Arial" w:eastAsia="Arial" w:hAnsi="Arial"/>
          <w:color w:val="2C2C2C"/>
          <w:sz w:val="22"/>
          <w:szCs w:val="22"/>
        </w:rPr>
        <w:t xml:space="preserve">Four override conditions take precedence over the composite score ranking. Table 11 defines each condition and its effect on the priority queue.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Override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 Condition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 on Priority Queue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Customer Request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paying customer or active prospect requests a specific capability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jumps to top of queue regardless of composite score; override reason explicitly noted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reveals that task X cannot proceed without task Y being complete first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Y promoted immediately; Dependency score recalculated to 5; re-ranked accordingly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Opportunity Window</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external service adds a feature or removes a barrier that makes a previously low-scored task high-value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Affected task re-scored in real time; may jump to top if composite score warrants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Quick Win Stacking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Three or more low-effort tasks can be completed alongside a high-effort primary task in a single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Low-effort tasks bundled with the primary task; session plan updated to include all</w:t>
            </w:r>
          </w:p>
        </w:tc>
      </w:tr>
    </w:tbl>
    <w:p>
      <w:pPr>
        <w:spacing w:before="120" w:after="0"/>
      </w:pPr>
    </w:p>
    <w:p>
      <w:pPr>
        <w:spacing w:before="0" w:after="200" w:line="276" w:lineRule="auto"/>
      </w:pPr>
      <w:r>
        <w:rPr>
          <w:rFonts w:ascii="Arial" w:cs="Arial" w:eastAsia="Arial" w:hAnsi="Arial"/>
          <w:color w:val="2C2C2C"/>
          <w:sz w:val="22"/>
          <w:szCs w:val="22"/>
        </w:rPr>
        <w:t xml:space="preserve">Override conditions are applied before the composite score ranking is presented to the operator. A task promoted by a customer request or blocker discovery appears at the top of the ranked list with its override reason explicitly noted, not buried in a recalculated score. This transparency allows the operator to see both the score-based recommendation and any override conditions simultaneously before making the session selection.</w:t>
      </w:r>
    </w:p>
    <w:p>
      <w:pPr>
        <w:pStyle w:val="Heading2"/>
        <w:spacing w:before="240" w:after="80" w:line="276" w:lineRule="auto"/>
      </w:pPr>
      <w:r>
        <w:rPr>
          <w:rFonts w:ascii="Arial" w:cs="Arial" w:eastAsia="Arial" w:hAnsi="Arial"/>
          <w:b/>
          <w:bCs/>
          <w:color w:val="2E75B6"/>
          <w:sz w:val="28"/>
          <w:szCs w:val="28"/>
        </w:rPr>
        <w:t xml:space="preserve">6.4 Scheduled Reporting</w:t>
      </w:r>
    </w:p>
    <w:p>
      <w:pPr>
        <w:spacing w:before="0" w:after="200" w:line="276" w:lineRule="auto"/>
      </w:pPr>
      <w:r>
        <w:rPr>
          <w:rFonts w:ascii="Arial" w:cs="Arial" w:eastAsia="Arial" w:hAnsi="Arial"/>
          <w:color w:val="2C2C2C"/>
          <w:sz w:val="22"/>
          <w:szCs w:val="22"/>
        </w:rPr>
        <w:t xml:space="preserve">Scheduled reporting is the mechanism by which the platform delivers periodic summaries of project activity, token consumption, governance performance, and task prioritization state to configured recipients without requiring a user to initiate a dashboard session. It closes the observability gap for team leads and enterprise administrators who need to monitor AI-assisted engineering work across multiple projects without participating in every development session. The reports are operational intelligence documents designed for the same technical audience as the platform itself.</w:t>
      </w:r>
    </w:p>
    <w:p>
      <w:pPr>
        <w:spacing w:before="0" w:after="200" w:line="276" w:lineRule="auto"/>
      </w:pPr>
      <w:r>
        <w:rPr>
          <w:rFonts w:ascii="Arial" w:cs="Arial" w:eastAsia="Arial" w:hAnsi="Arial"/>
          <w:color w:val="2C2C2C"/>
          <w:sz w:val="22"/>
          <w:szCs w:val="22"/>
        </w:rPr>
        <w:t xml:space="preserve">The platform generates three report types on configurable schedules. The Weekly Project Report covers the preceding seven days of activity for a specified project and is delivered to the configured recipients every Monday at 08:00 UTC by default. The Monthly Cost and Governance Summary aggregates token consumption, cost by model and provider, budget utilization rates, governance breach events, and gate pass/fail rates across all projects in an organization for the preceding calendar month; it is delivered on the first day of each new month. The On-Demand Session Report is generated immediately after any session in which a PROTOCOL_BREACH was detected, a budget threshold was crossed, or a plan task transition to failed state occurred; it is delivered within five minutes of the triggering event.</w:t>
      </w:r>
    </w:p>
    <w:p>
      <w:pPr>
        <w:pBdr>
          <w:left w:val="single" w:color="2E75B6" w:sz="6" w:space="8"/>
        </w:pBdr>
        <w:spacing w:before="120" w:after="120"/>
        <w:ind w:left="720"/>
      </w:pPr>
      <w:r>
        <w:rPr>
          <w:rFonts w:ascii="Arial" w:cs="Arial" w:eastAsia="Arial" w:hAnsi="Arial"/>
          <w:i/>
          <w:iCs/>
          <w:color w:val="555555"/>
          <w:sz w:val="22"/>
          <w:szCs w:val="22"/>
        </w:rPr>
        <w:t xml:space="preserve">The On-Demand Session Report for a breach event is the enterprise compliance artifact most valuable during vendor due diligence. It demonstrates that the platform does not merely detect governance violations but generates a timestamped, auditable record of each event, its context, and the operator response -- exactly the evidence chain a compliance officer needs to assess whether a governance framework is operational rather than theoretical.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Report Section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Data Source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Activity summary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count, total duration, active team members, decisions logged, and invariants added or modified during the reporting period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sessions_log, decisions, invariants tables filtered by project_id and created_at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and cost breakdown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input, output, and thinking tokens by model and provider; total estimated cost in USD; cost per session mean and range; budget utilization as percentage of monthly project budget; week-over-week cost change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joined with model_pricing; budgets table for utilization percentage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performance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evaluations performed; gate pass rate as percentage; PROTOCOL_BREACH events with triggering invariant, detection timestamp, and resolution status; governance mode distribution across sessions (light vs. standard vs. audited)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context_events table (gate evaluations and breach events) joined with sessions_log and invariants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progress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plan count; tasks completed, in progress, failed, and pending during the reporting period; plan completion velocity (tasks per week); budget variance per plan (estimated versus actual token spend); any plans currently in paused state with failure reason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plans and plan_tasks tables filtered by project_id and updated_at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Prioritization state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Current top five backlog items by composite score from STATE_VECTOR.json; any override conditions active; tasks completed in the reporting period ranked by the score they held when selected; score distribution histogram for the full backlog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 read from project storage; session_log entries for task selection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sessions reaching each alert threshold (50%, 75%, 90%); mean context utilization at session close; sessions where context exhaustion was predicted before it occurred versus sessions where the 90% critical alert was the first warning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session_alerts table joined with sessions_log and token_usage for utilization calculations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next actions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System-generated action items derived from anomalies in the period data: budget approaching limit, governance breach unresolved, plan task in failed state for more than 48 hours, cost trajectory above projected monthly budget, stale memory entries pending review; each item includes the specific metric that triggered it and a direct link to the relevant dashboard page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Rule-based evaluation across all data sources above; no ML required for initial implementation</w:t>
            </w:r>
          </w:p>
        </w:tc>
      </w:tr>
    </w:tbl>
    <w:p>
      <w:pPr>
        <w:spacing w:before="120" w:after="0"/>
      </w:pPr>
    </w:p>
    <w:p>
      <w:pPr>
        <w:spacing w:before="0" w:after="200" w:line="276" w:lineRule="auto"/>
      </w:pPr>
      <w:r>
        <w:rPr>
          <w:rFonts w:ascii="Arial" w:cs="Arial" w:eastAsia="Arial" w:hAnsi="Arial"/>
          <w:color w:val="2C2C2C"/>
          <w:sz w:val="22"/>
          <w:szCs w:val="22"/>
        </w:rPr>
        <w:t xml:space="preserve">Report delivery is handled by the Resend API (the existing transactional email provider, live as of Phase A iteration 3). The report is rendered as an HTML email with inline styles; it is also stored as a row in the reports table for on-demand retrieval from the dashboard. Report recipients are configured per project in the dashboard settings and may include users who are not ContextKeeper account holders, enabling delivery to stakeholders such as product managers, finance leads, and external clients who need operational visibility without requiring platform access.</w:t>
      </w:r>
    </w:p>
    <w:p>
      <w:pPr>
        <w:spacing w:before="0" w:after="200" w:line="276" w:lineRule="auto"/>
      </w:pPr>
      <w:r>
        <w:rPr>
          <w:rFonts w:ascii="Arial" w:cs="Arial" w:eastAsia="Arial" w:hAnsi="Arial"/>
          <w:color w:val="2C2C2C"/>
          <w:sz w:val="22"/>
          <w:szCs w:val="22"/>
        </w:rPr>
        <w:t xml:space="preserve">Report generation is triggered by a cron job running on the cPanel hosting environment. The cron configuration for the Weekly Project Report is: 0 8 * * 1 /usr/local/bin/php /home/ckmatt/public_html/app/cron/generate-weekly-reports.php. The Monthly Cost and Governance Summary uses 0 8 1 * *. The On-Demand Session Report uses a synchronous code path triggered directly from the breach detection handler rather than cron.</w:t>
      </w:r>
    </w:p>
    <w:p>
      <w:pPr>
        <w:pStyle w:val="Heading1"/>
        <w:pageBreakBefore/>
        <w:spacing w:before="360" w:after="120" w:line="276" w:lineRule="auto"/>
      </w:pPr>
      <w:r>
        <w:rPr>
          <w:rFonts w:ascii="Arial" w:cs="Arial" w:eastAsia="Arial" w:hAnsi="Arial"/>
          <w:b/>
          <w:bCs/>
          <w:color w:val="1B2A4A"/>
          <w:sz w:val="36"/>
          <w:szCs w:val="36"/>
        </w:rPr>
        <w:t xml:space="preserve">7. Context Health Monitoring</w:t>
      </w:r>
    </w:p>
    <w:p>
      <w:pPr>
        <w:spacing w:before="0" w:after="200" w:line="276" w:lineRule="auto"/>
      </w:pPr>
      <w:r>
        <w:rPr>
          <w:rFonts w:ascii="Arial" w:cs="Arial" w:eastAsia="Arial" w:hAnsi="Arial"/>
          <w:color w:val="2C2C2C"/>
          <w:sz w:val="22"/>
          <w:szCs w:val="22"/>
        </w:rPr>
        <w:t xml:space="preserve">Context Health Monitoring is the subsystem that tracks session token consumption, translates utilization percentages into actionable health states, and delivers tiered alerts through multiple channels. It is implemented as ContextHealthMonitor.php and operates as a dependency of Level 3 of the Token Optimization System (Section 3.2.3).</w:t>
      </w:r>
    </w:p>
    <w:p>
      <w:pPr>
        <w:pStyle w:val="Heading2"/>
        <w:spacing w:before="240" w:after="80" w:line="276" w:lineRule="auto"/>
      </w:pPr>
      <w:r>
        <w:rPr>
          <w:rFonts w:ascii="Arial" w:cs="Arial" w:eastAsia="Arial" w:hAnsi="Arial"/>
          <w:b/>
          <w:bCs/>
          <w:color w:val="2E75B6"/>
          <w:sz w:val="28"/>
          <w:szCs w:val="28"/>
        </w:rPr>
        <w:t xml:space="preserve">7.1 Health Threshold Definitions and Alert Delivery</w:t>
      </w:r>
    </w:p>
    <w:p>
      <w:pPr>
        <w:spacing w:before="0" w:after="200" w:line="276" w:lineRule="auto"/>
      </w:pPr>
      <w:r>
        <w:rPr>
          <w:rFonts w:ascii="Arial" w:cs="Arial" w:eastAsia="Arial" w:hAnsi="Arial"/>
          <w:color w:val="2C2C2C"/>
          <w:sz w:val="22"/>
          <w:szCs w:val="22"/>
        </w:rPr>
        <w:t xml:space="preserve">The system defines four health states based on context window utilization. Table 13 defines the thresholds, status labels, delivery methods, and recommended actions. Context window sizes against which utilization is computed are sourced from the model_pricing table: GPT-4o at 128,000 tokens; GPT-4.1, GPT-5.4 at 1,047,576 tokens; Claude Haiku 4.5 at 200,000 tokens; Claude Sonnet 4.6 and Opus 4.6 at 1,000,000 tokens; Gemini 2.5 Pro/Flash at 1,048,576 tokens; Llama 4 Scout and Llama 3.3 70B at 128,000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Utilization Threshold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Health 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Alert Delivery Methods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Action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50%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Healthy (Green)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 normally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Informational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injected into response stream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context budget; consider summarizing long threads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Warning (Yellow)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Sync project state to platform database; plan for session handoff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Critical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In-chat notification; dashboard badge; optional email or webhook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sync and bootstrap to new session; quality degradation is imminent</w:t>
            </w:r>
          </w:p>
        </w:tc>
      </w:tr>
    </w:tbl>
    <w:p>
      <w:pPr>
        <w:spacing w:before="120" w:after="0"/>
      </w:pPr>
    </w:p>
    <w:p>
      <w:pPr>
        <w:spacing w:before="0" w:after="200" w:line="276" w:lineRule="auto"/>
      </w:pPr>
      <w:r>
        <w:rPr>
          <w:rFonts w:ascii="Arial" w:cs="Arial" w:eastAsia="Arial" w:hAnsi="Arial"/>
          <w:color w:val="2C2C2C"/>
          <w:sz w:val="22"/>
          <w:szCs w:val="22"/>
        </w:rPr>
        <w:t xml:space="preserve">Alert thresholds are configurable per user. The defaults (50%, 75%, 90%) are calibrated for engineering conversations with moderate token density. For models with 1M-token context windows, the absolute token counts at each threshold are substantially higher (500K, 750K, 900K tokens respectively), but the thresholds themselves remain the correct calibration points: context degradation begins in the final 10-25% of any transformer context window regardless of the window's absolute size. The threshold values are stored in the budgets table's alert_thresholds JSON field, allowing per-user customization without code changes. Alert delivery methods are additive: a 90% critical alert uses all configured channels simultaneously.</w:t>
      </w:r>
    </w:p>
    <w:p>
      <w:pPr>
        <w:pStyle w:val="Heading2"/>
        <w:spacing w:before="240" w:after="80" w:line="276" w:lineRule="auto"/>
      </w:pPr>
      <w:r>
        <w:rPr>
          <w:rFonts w:ascii="Arial" w:cs="Arial" w:eastAsia="Arial" w:hAnsi="Arial"/>
          <w:b/>
          <w:bCs/>
          <w:color w:val="2E75B6"/>
          <w:sz w:val="28"/>
          <w:szCs w:val="28"/>
        </w:rPr>
        <w:t xml:space="preserve">7.2 Predictive Trajectory Model</w:t>
      </w:r>
    </w:p>
    <w:p>
      <w:pPr>
        <w:spacing w:before="0" w:after="200" w:line="276" w:lineRule="auto"/>
      </w:pPr>
      <w:r>
        <w:rPr>
          <w:rFonts w:ascii="Arial" w:cs="Arial" w:eastAsia="Arial" w:hAnsi="Arial"/>
          <w:color w:val="2C2C2C"/>
          <w:sz w:val="22"/>
          <w:szCs w:val="22"/>
        </w:rPr>
        <w:t xml:space="preserve">The predictive model uses linear regression on the trailing ten exchanges to estimate remaining capacity. Step 1: query token_usage for the current session_id ordered by created_at descending, limited to 10 rows. Step 2: compute the mean of (input_tokens + output_tokens + thinking_tokens) across these rows; the thinking_tokens column is included because thinking token consumption is real context space consumed even though the thinking content may not be returned to the user in full. Step 3: divide the remaining token budget (context_window_size minus total session tokens to date) by the mean tokens per exchange to produce an estimated remaining exchange count.</w:t>
      </w:r>
    </w:p>
    <w:p>
      <w:pPr>
        <w:spacing w:before="0" w:after="200" w:line="276" w:lineRule="auto"/>
      </w:pPr>
      <w:r>
        <w:rPr>
          <w:rFonts w:ascii="Arial" w:cs="Arial" w:eastAsia="Arial" w:hAnsi="Arial"/>
          <w:color w:val="2C2C2C"/>
          <w:sz w:val="22"/>
          <w:szCs w:val="22"/>
        </w:rPr>
        <w:t xml:space="preserve">The model is intentionally simple. Linear regression on a short trailing window is computationally cheap, requires no external ML infrastructure, and is accurate for typical engineering conversations where token density per exchange is bounded. For high-variance sessions -- particularly sessions using heavy extended thinking or reasoning modes, where single exchanges may consume 10,000-50,000 thinking tokens -- the 90% hard threshold alert is the correctness backstop. After each token_usage insert, the alert evaluation runs as a lightweight PHP function: sum session tokens, compare against context_window_size from model_pricing, evaluate against user thresholds, and trigger alerts for any newly crossed threshold. The function is idempotent: crossing the same threshold multiple times in a session triggers the alert only once.</w:t>
      </w:r>
    </w:p>
    <w:p>
      <w:pPr>
        <w:pStyle w:val="Heading1"/>
        <w:pageBreakBefore/>
        <w:spacing w:before="360" w:after="120" w:line="276" w:lineRule="auto"/>
      </w:pPr>
      <w:r>
        <w:rPr>
          <w:rFonts w:ascii="Arial" w:cs="Arial" w:eastAsia="Arial" w:hAnsi="Arial"/>
          <w:b/>
          <w:bCs/>
          <w:color w:val="1B2A4A"/>
          <w:sz w:val="36"/>
          <w:szCs w:val="36"/>
        </w:rPr>
        <w:t xml:space="preserve">8. Cross-Model Cost Optimization</w:t>
      </w:r>
    </w:p>
    <w:p>
      <w:pPr>
        <w:spacing w:before="0" w:after="200" w:line="276" w:lineRule="auto"/>
      </w:pPr>
      <w:r>
        <w:rPr>
          <w:rFonts w:ascii="Arial" w:cs="Arial" w:eastAsia="Arial" w:hAnsi="Arial"/>
          <w:color w:val="2C2C2C"/>
          <w:sz w:val="22"/>
          <w:szCs w:val="22"/>
        </w:rPr>
        <w:t xml:space="preserve">Cross-model cost optimization is Level 4 of the Token Optimization System and the capability that most directly differentiates ContextKeeper from all current AI interfaces. It enables a user to see, at any point in a conversation, the projected cost of continuing on the current model versus switching to any alternative, with the assurance that project state is fully preserved regardless of which model is chosen.</w:t>
      </w:r>
    </w:p>
    <w:p>
      <w:pPr>
        <w:spacing w:before="0" w:after="200" w:line="276" w:lineRule="auto"/>
      </w:pPr>
      <w:r>
        <w:rPr>
          <w:rFonts w:ascii="Arial" w:cs="Arial" w:eastAsia="Arial" w:hAnsi="Arial"/>
          <w:color w:val="2C2C2C"/>
          <w:sz w:val="22"/>
          <w:szCs w:val="22"/>
        </w:rPr>
        <w:t xml:space="preserve">The capability requires three components that already exist or are specified in this paper: the model_pricing reference table (Section 3.3), the per-exchange token trajectory from token_usage (Section 3.2.2), and the bootstrap protocol (WP-001, Section 3). CostOptimizer.php is the only new implementation component required.</w:t>
      </w:r>
    </w:p>
    <w:p>
      <w:pPr>
        <w:spacing w:before="0" w:after="200" w:line="276" w:lineRule="auto"/>
      </w:pPr>
      <w:r>
        <w:rPr>
          <w:rFonts w:ascii="Arial" w:cs="Arial" w:eastAsia="Arial" w:hAnsi="Arial"/>
          <w:color w:val="2C2C2C"/>
          <w:sz w:val="22"/>
          <w:szCs w:val="22"/>
        </w:rPr>
        <w:t xml:space="preserve">The CostOptimizer operation proceeds as follows. The user requests a cost comparison, or the system triggers one automatically when session cost crosses a configured threshold. CostOptimizer queries model_pricing for all active models. For each model, it computes projected cost for the next N exchanges (default: 10) at the current mean tokens per exchange from the trailing window. It constructs a comparison table (illustrated in Table 3, Section 3.2.4) and presents it to the user via the chat interface.</w:t>
      </w:r>
    </w:p>
    <w:p>
      <w:pPr>
        <w:spacing w:before="0" w:after="200" w:line="276" w:lineRule="auto"/>
      </w:pPr>
      <w:r>
        <w:rPr>
          <w:rFonts w:ascii="Arial" w:cs="Arial" w:eastAsia="Arial" w:hAnsi="Arial"/>
          <w:color w:val="2C2C2C"/>
          <w:sz w:val="22"/>
          <w:szCs w:val="22"/>
        </w:rPr>
        <w:t xml:space="preserve">The March 2026 model landscape creates a wider cost optimization surface than any prior period. The spread between the most expensive viable model (Claude Sonnet 4.6 or GPT-5.4 at approximately $0.38-0.47 for 10 illustrative exchanges) and the least expensive capable model (GPT-4.1 nano or Llama 4 Scout on Groq at approximately $0.02) is approximately 20x. The CostOptimizer surfaces this spread in real time, with the state-preserving switch guarantee meaning that cost optimization does not require accepting information loss. Context window expansion is also a factor: switching from GPT-4o (128K context) to GPT-4.1 or Claude Sonnet 4.6 (both 1M+ context) at a similar or lower cost per token extends session longevity substantially for large-codebase projects.</w:t>
      </w:r>
    </w:p>
    <w:p>
      <w:pPr>
        <w:spacing w:before="0" w:after="200" w:line="276" w:lineRule="auto"/>
      </w:pPr>
      <w:r>
        <w:rPr>
          <w:rFonts w:ascii="Arial" w:cs="Arial" w:eastAsia="Arial" w:hAnsi="Arial"/>
          <w:color w:val="2C2C2C"/>
          <w:sz w:val="22"/>
          <w:szCs w:val="22"/>
        </w:rPr>
        <w:t xml:space="preserve">If the user selects a different model, the platform executes a two-step transition. Step 1 (Sync): all current session state is persisted to the platform database, including the decisions table (all logged decisions), the invariants table (all active invariants), the sessions_log entry (current state, progress notes), and any active plan_tasks. Step 2 (Bootstrap): the new model's first message is the bootstrap prompt constructed from this persisted state using diff-based injection (Section 4.6). The new model receives full project context. From the user's perspective, the conversation continues with no interruption except the model name in the selector.</w:t>
      </w:r>
    </w:p>
    <w:p>
      <w:pPr>
        <w:pBdr>
          <w:left w:val="single" w:color="2E75B6" w:sz="6" w:space="8"/>
        </w:pBdr>
        <w:spacing w:before="120" w:after="120"/>
        <w:ind w:left="720"/>
      </w:pPr>
      <w:r>
        <w:rPr>
          <w:rFonts w:ascii="Arial" w:cs="Arial" w:eastAsia="Arial" w:hAnsi="Arial"/>
          <w:i/>
          <w:iCs/>
          <w:color w:val="555555"/>
          <w:sz w:val="22"/>
          <w:szCs w:val="22"/>
        </w:rPr>
        <w:t xml:space="preserve">This capability is structurally unavailable in any current commercial AI interface. ChatGPT cannot switch to Claude mid-conversation while preserving state. Claude.ai cannot switch to GPT-4.1 mid-conversation while preserving state. ContextKeeper can do both because state is in the platform database, not in the model's context window. Model selection becomes a cost and capability decision rather than a continuity decision.</w:t>
      </w:r>
    </w:p>
    <w:p>
      <w:pPr>
        <w:spacing w:before="0" w:after="200" w:line="276" w:lineRule="auto"/>
      </w:pPr>
      <w:r>
        <w:rPr>
          <w:rFonts w:ascii="Arial" w:cs="Arial" w:eastAsia="Arial" w:hAnsi="Arial"/>
          <w:color w:val="2C2C2C"/>
          <w:sz w:val="22"/>
          <w:szCs w:val="22"/>
        </w:rPr>
        <w:t xml:space="preserve">The cross-model optimization feature also drives the revenue model: users who can see cost comparisons in real time are more likely to adopt BYOK configurations that route through ContextKeeper, generating metered execution revenue. The feature creates a direct alignment between user cost savings and platform revenue.</w:t>
      </w:r>
    </w:p>
    <w:p>
      <w:pPr>
        <w:pStyle w:val="Heading1"/>
        <w:pageBreakBefore/>
        <w:spacing w:before="360" w:after="120" w:line="276" w:lineRule="auto"/>
      </w:pPr>
      <w:r>
        <w:rPr>
          <w:rFonts w:ascii="Arial" w:cs="Arial" w:eastAsia="Arial" w:hAnsi="Arial"/>
          <w:b/>
          <w:bCs/>
          <w:color w:val="1B2A4A"/>
          <w:sz w:val="36"/>
          <w:szCs w:val="36"/>
        </w:rPr>
        <w:t xml:space="preserve">9. Implementation Evidence</w:t>
      </w:r>
    </w:p>
    <w:p>
      <w:pPr>
        <w:spacing w:before="0" w:after="200" w:line="276" w:lineRule="auto"/>
      </w:pPr>
      <w:r>
        <w:rPr>
          <w:rFonts w:ascii="Arial" w:cs="Arial" w:eastAsia="Arial" w:hAnsi="Arial"/>
          <w:color w:val="2C2C2C"/>
          <w:sz w:val="22"/>
          <w:szCs w:val="22"/>
        </w:rPr>
        <w:t xml:space="preserve">The systems described in this paper are at defined stages of development. This section documents the current implementation state accurately, distinguishing between live, design-phase, and vision-phase components.</w:t>
      </w:r>
    </w:p>
    <w:p>
      <w:pPr>
        <w:spacing w:before="0" w:after="200" w:line="276" w:lineRule="auto"/>
      </w:pPr>
      <w:r>
        <w:rPr>
          <w:rFonts w:ascii="Arial" w:cs="Arial" w:eastAsia="Arial" w:hAnsi="Arial"/>
          <w:color w:val="2C2C2C"/>
          <w:sz w:val="22"/>
          <w:szCs w:val="22"/>
        </w:rPr>
        <w:t xml:space="preserve">Live platform components (March 2026): marketing site (9 HTML pages, Bootstrap 5.3.3, dark theme), authentication system (email/password, API keys, bcrypt, sessions), dashboard (5 pages: main, project, connectors, settings, billing), REST API (19 endpoints with authentication, rate limiting, and plan gating), database schema (7 tables: users, projects, sessions_log, decisions, invariants, connectors, usage_log), and core PHP libraries (Database.php, Auth.php, Validator.php, Encryption.php, ConnectorInterface.php). The 67-connector UI is live; connector implementations are interface-only with 5 functional.</w:t>
      </w:r>
    </w:p>
    <w:p>
      <w:pPr>
        <w:spacing w:before="0" w:after="200" w:line="276" w:lineRule="auto"/>
      </w:pPr>
      <w:r>
        <w:rPr>
          <w:rFonts w:ascii="Arial" w:cs="Arial" w:eastAsia="Arial" w:hAnsi="Arial"/>
          <w:color w:val="2C2C2C"/>
          <w:sz w:val="22"/>
          <w:szCs w:val="22"/>
        </w:rPr>
        <w:t xml:space="preserve">Design-phase components with complete specifications: the Token Optimization System (all four levels with complete database schema and component definitions as documented in this paper), Planning Mode (complete DAG data model, task state machine, and execution workflow), and the chat interface (complete five-layer architecture). These components have no production code yet but have implementation-ready specifications with defined database schemas, component APIs, and dependency relationships.</w:t>
      </w:r>
    </w:p>
    <w:p>
      <w:pPr>
        <w:spacing w:before="0" w:after="200" w:line="276" w:lineRule="auto"/>
      </w:pPr>
      <w:r>
        <w:rPr>
          <w:rFonts w:ascii="Arial" w:cs="Arial" w:eastAsia="Arial" w:hAnsi="Arial"/>
          <w:color w:val="2C2C2C"/>
          <w:sz w:val="22"/>
          <w:szCs w:val="22"/>
        </w:rPr>
        <w:t xml:space="preserve">The Dynamic Task Prioritization System operates as a production workflow protocol applied in every development session. It requires no database infrastructure and is validated by its consistent use: it has governed task selection across all development sessions since March 2026.</w:t>
      </w:r>
    </w:p>
    <w:p>
      <w:pPr>
        <w:spacing w:before="0" w:after="200" w:line="276" w:lineRule="auto"/>
      </w:pPr>
      <w:r>
        <w:rPr>
          <w:rFonts w:ascii="Arial" w:cs="Arial" w:eastAsia="Arial" w:hAnsi="Arial"/>
          <w:color w:val="2C2C2C"/>
          <w:sz w:val="22"/>
          <w:szCs w:val="22"/>
        </w:rPr>
        <w:t xml:space="preserve">The model_pricing reference table documented in this paper requires immediate population with the current March 2026 pricing set before the token tracking infrastructure can be deployed. The verified pricing for all active models is documented in this paper and its associated research brief. The table requires updates whenever providers revise pricing -- which in the current competitive environment occurs multiple times per year.</w:t>
      </w:r>
    </w:p>
    <w:p>
      <w:pPr>
        <w:pStyle w:val="Heading1"/>
        <w:pageBreakBefore/>
        <w:spacing w:before="360" w:after="120" w:line="276" w:lineRule="auto"/>
      </w:pPr>
      <w:r>
        <w:rPr>
          <w:rFonts w:ascii="Arial" w:cs="Arial" w:eastAsia="Arial" w:hAnsi="Arial"/>
          <w:b/>
          <w:bCs/>
          <w:color w:val="1B2A4A"/>
          <w:sz w:val="36"/>
          <w:szCs w:val="36"/>
        </w:rPr>
        <w:t xml:space="preserve">10. Integration Points</w:t>
      </w:r>
    </w:p>
    <w:p>
      <w:pPr>
        <w:spacing w:before="0" w:after="200" w:line="276" w:lineRule="auto"/>
      </w:pPr>
      <w:r>
        <w:rPr>
          <w:rFonts w:ascii="Arial" w:cs="Arial" w:eastAsia="Arial" w:hAnsi="Arial"/>
          <w:color w:val="2C2C2C"/>
          <w:sz w:val="22"/>
          <w:szCs w:val="22"/>
        </w:rPr>
        <w:t xml:space="preserve">WP-001 (DEL-v2 Technical Reference): the Planning Mode task state machine (Section 4.2) uses the DEL-v2 ten-state lifecycle at task granularity (WP-001, Section 4). Gate enforcement at task boundaries (Section 4.4) uses the gate definitions and breach handling mechanisms from WP-001. The bootstrap protocol referenced in Sections 4.5 and 8 is specified in WP-001, Section 3. Multi-agent role assignments for plan tasks (operator, executor, auditor) correspond to the three actors defined in WP-001, Section 7.</w:t>
      </w:r>
    </w:p>
    <w:p>
      <w:pPr>
        <w:spacing w:before="0" w:after="200" w:line="276" w:lineRule="auto"/>
      </w:pPr>
      <w:r>
        <w:rPr>
          <w:rFonts w:ascii="Arial" w:cs="Arial" w:eastAsia="Arial" w:hAnsi="Arial"/>
          <w:color w:val="2C2C2C"/>
          <w:sz w:val="22"/>
          <w:szCs w:val="22"/>
        </w:rPr>
        <w:t xml:space="preserve">WP-002 (Enterprise Delivery Governance): the Governance Layer (Section 5.1.4) applies the Enterprise Delivery Contract and Quality Gate Protocol from WP-002, Section 3 when DEL-v2 governance is configured. The governance_config JSON field in plan_tasks stores delivery contract fields from WP-002, Section 3.1. The session start protocol (Section 6.2) generates execution prompts following the extended template in WP-002, Section 8.1.</w:t>
      </w:r>
    </w:p>
    <w:p>
      <w:pPr>
        <w:spacing w:before="0" w:after="200" w:line="276" w:lineRule="auto"/>
      </w:pPr>
      <w:r>
        <w:rPr>
          <w:rFonts w:ascii="Arial" w:cs="Arial" w:eastAsia="Arial" w:hAnsi="Arial"/>
          <w:color w:val="2C2C2C"/>
          <w:sz w:val="22"/>
          <w:szCs w:val="22"/>
        </w:rPr>
        <w:t xml:space="preserve">WP-004 (Open Infrastructure and AI Toolkit Reference, planned): the Model Router (Section 5.1.2) depends on the open-weight LLM inference backends (Ollama, vLLM, llama.cpp) and BYOK hosting model specified in WP-004. The model_pricing reference table includes models from both commercial providers and open-weight model tiers defined in WP-004. WP-004 should be updated to reflect the Llama 4 family (Scout and Maverick on Groq, and self-hosted via Ollama) as the current generation of open-weight models, superseding Llama 3.1 70B and 8B.</w:t>
      </w:r>
    </w:p>
    <w:p>
      <w:pPr>
        <w:spacing w:before="0" w:after="200" w:line="276" w:lineRule="auto"/>
      </w:pPr>
      <w:r>
        <w:rPr>
          <w:rFonts w:ascii="Arial" w:cs="Arial" w:eastAsia="Arial" w:hAnsi="Arial"/>
          <w:color w:val="2C2C2C"/>
          <w:sz w:val="22"/>
          <w:szCs w:val="22"/>
        </w:rPr>
        <w:t xml:space="preserve">WP-005 (Agent Orchestration, Marketplace, and Revenue Architecture, v1.2): Layer 5 of the chat interface (Section 5.1.5) is the user-facing entry point for the agent builder hub defined in WP-005. The Connector Bridge (Section 5.1.3) uses the connector architecture whose full specification belongs to WP-005. The revenue model extension (hosted execution billing, marketplace commission) depends on the token tracking infrastructure defined in this paper.</w:t>
      </w:r>
    </w:p>
    <w:p>
      <w:pPr>
        <w:spacing w:before="0" w:after="200" w:line="276" w:lineRule="auto"/>
      </w:pPr>
      <w:r>
        <w:rPr>
          <w:rFonts w:ascii="Arial" w:cs="Arial" w:eastAsia="Arial" w:hAnsi="Arial"/>
          <w:color w:val="2C2C2C"/>
          <w:sz w:val="22"/>
          <w:szCs w:val="22"/>
        </w:rPr>
        <w:t xml:space="preserve">WP-006 (Master Execution Plan and Phased Delivery Roadmap, planned): the implementation sequencing for all design-phase components defined in this paper is governed by the phased delivery roadmap in WP-006. The Dynamic Task Prioritization System (Section 6) is the operational mechanism by which that sequencing is applied in each development session.</w:t>
      </w:r>
    </w:p>
    <w:p>
      <w:pPr>
        <w:spacing w:before="0" w:after="200" w:line="276" w:lineRule="auto"/>
      </w:pPr>
      <w:r>
        <w:rPr>
          <w:rFonts w:ascii="Arial" w:cs="Arial" w:eastAsia="Arial" w:hAnsi="Arial"/>
          <w:color w:val="2C2C2C"/>
          <w:sz w:val="22"/>
          <w:szCs w:val="22"/>
        </w:rPr>
        <w:t xml:space="preserve">WP-008 (Pricing and Packaging Architecture, v1.1): the execution credit consumption model in WP-008, Section 4.2 references cost projection formulas from this paper. The model pricing data in WP-008's illustrative credit cost table (Table 6) is derived from the model_pricing reference table specified here. Updates to this paper's pricing data should be propagated to WP-008 Table 6 to maintain consistency.</w:t>
      </w:r>
    </w:p>
    <w:p>
      <w:pPr>
        <w:pStyle w:val="Heading1"/>
        <w:pageBreakBefore/>
        <w:spacing w:before="360" w:after="120" w:line="276" w:lineRule="auto"/>
      </w:pPr>
      <w:r>
        <w:rPr>
          <w:rFonts w:ascii="Arial" w:cs="Arial" w:eastAsia="Arial" w:hAnsi="Arial"/>
          <w:b/>
          <w:bCs/>
          <w:color w:val="1B2A4A"/>
          <w:sz w:val="36"/>
          <w:szCs w:val="36"/>
        </w:rPr>
        <w:t xml:space="preserve">11. Conclusion</w:t>
      </w:r>
    </w:p>
    <w:p>
      <w:pPr>
        <w:spacing w:before="0" w:after="200" w:line="276" w:lineRule="auto"/>
      </w:pPr>
      <w:r>
        <w:rPr>
          <w:rFonts w:ascii="Arial" w:cs="Arial" w:eastAsia="Arial" w:hAnsi="Arial"/>
          <w:color w:val="2C2C2C"/>
          <w:sz w:val="22"/>
          <w:szCs w:val="22"/>
        </w:rPr>
        <w:t xml:space="preserve">We have defined five platform systems that together constitute the commercial and operational intelligence layer of ContextKeeper. The Four-Level Token Optimization Architecture transforms the token count data available in every provider API response into metered billing, budget enforcement, context health prediction, and cross-model cost optimization. Planning Mode transforms transient model-generated plans into persistent, governed, auditable database objects that survive context exhaustion and model switches. The five-layer Natural Language Interface provides a user-facing access point for all platform capabilities with model routing, connector tool access, and governance tracking. The Dynamic Task Prioritization System provides a reproducible four-dimensional scoring methodology that maximizes commercial velocity in every development session. Context Health Monitoring provides tiered, calibrated warnings before context degradation becomes perceptible.</w:t>
      </w:r>
    </w:p>
    <w:p>
      <w:pPr>
        <w:spacing w:before="0" w:after="200" w:line="276" w:lineRule="auto"/>
      </w:pPr>
      <w:r>
        <w:rPr>
          <w:rFonts w:ascii="Arial" w:cs="Arial" w:eastAsia="Arial" w:hAnsi="Arial"/>
          <w:color w:val="2C2C2C"/>
          <w:sz w:val="22"/>
          <w:szCs w:val="22"/>
        </w:rPr>
        <w:t xml:space="preserve">The March 2026 model landscape materially strengthens the value proposition of every system in this paper. The 100x cost spread between frontier and economy models (GPT-5.4 at $2.50/$15.00 vs GPT-4.1 nano at $0.10/$0.40) makes the CostOptimizer's real-time comparison more commercially valuable than when the platform was originally designed. The expansion of context windows to 1M tokens across all major flagship models (Claude Opus/Sonnet 4.6, GPT-4.1/5.4, Gemini 2.5 Pro/Flash) raises the absolute token counts at which context health alerts fire, making the percentage-based threshold system more important as absolute consumption increases. The deprecation of Claude 3.x models and the Llama 3.1 70B tier from hosted APIs demonstrates precisely why the model_pricing reference table architecture -- which decouples cost calculations from hardcoded model names -- is the correct design: the platform required zero architectural changes as the model landscape evolved; only the reference table required updates.</w:t>
      </w:r>
    </w:p>
    <w:p>
      <w:pPr>
        <w:spacing w:before="0" w:after="200" w:line="276" w:lineRule="auto"/>
      </w:pPr>
      <w:r>
        <w:rPr>
          <w:rFonts w:ascii="Arial" w:cs="Arial" w:eastAsia="Arial" w:hAnsi="Arial"/>
          <w:color w:val="2C2C2C"/>
          <w:sz w:val="22"/>
          <w:szCs w:val="22"/>
        </w:rPr>
        <w:t xml:space="preserve">The architectural dependency ordering is deliberate. Token tracking is the foundation: it enables billing (which enables the revenue model), budget enforcement (which enables cost control), predictive alerts (which enables context health monitoring), and cross-model optimization (which enables provider independence). Planning Mode depends on token tracking for per-task budget enforcement. The chat interface depends on token tracking for the token meter and on Planning Mode for structured multi-task execution. Agent orchestration (WP-005) depends on the chat interface and on token tracking for metered execution billing. The systems described as design-phase in Section 9 are not speculative: they have complete database schemas, component specifications, and implementation dependencies defined. The remaining work is engineering execution, not architectural design.</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14 defines all technical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mechanism by which project state (decisions, invariants, plan status, session history) is injected into a new model context at session start, enabling continuity across context window boundaries and model switches. Uses diff-based injection (Section 4.6) by default. Fully specified in WP-001, Section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Budget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subsystem that monitors spending against user-configured limits at session, project, model, and organization scope, and automatically pauses execution or reroutes model selection when limits are approached or reached.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on behalf of the operator.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Monitor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subsystem (ContextHealthMonitor.php) that tracks session token consumption -- including thinking/reasoning tokens -- predicts context window exhaustion via linear regression on the trailing N exchanges, and issues tiered alerts at 50%, 75%, and 90% utilization thresholds.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maximum number of tokens a language model can process in a single inference call. Content outside this window is not accessible to the model. As of March 2026, window sizes range from 128,000 tokens (GPT-4o, Llama 4 Scout) to 1,000,000+ tokens (Claude Opus/Sonnet 4.6, GPT-4.1, GPT-5.4, Gemini 2.5 Pro/Flash).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CostOptimizer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component (CostOptimizer.php) that queries the model_pricing table, projects forward cost for the next N exchanges at the current per-exchange token trajectory (including thinking tokens), and presents a cross-model cost comparison with a state-preserving switch option.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 (Directed Acyclic Graph)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 structure in which edges have direction and no cycles exist. Used in Planning Mode to model task dependencies: Task B cannot begin until Task A completes. Acyclicity is enforced at plan creation by topological sort of the complete dependency graph.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and session handoff governance protocol defined in WP-001 that governs state transitions, gate enforcement, cryptographic integrity verification, and audit trail generation.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Diff-Based Context Injection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 injection mechanism that computes the minimum state delta between the last session snapshot and the current live state, injecting only that delta plus a compact project summary rather than the full project history. Reduces context injection overhead by 85-95% versus full-history injection while preserving governance fidelity.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Dynamic Task Prioritization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session-start scoring methodology in which every backlog item is scored on Revenue, Unblock, Dependency, and Effort dimensions, producing a ranked execution order that maximizes commercial velocity without fixed scheduling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Layer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4 of the ContextKeeper chat interface architecture. Logs all decisions and state transitions to the platform database, applies DEL-v2 gate enforcement when configured, and triggers the bootstrap protocol on any model switch.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(Large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neural network trained on large text corpora capable of generating and analyzing natural language and code. Active models as of March 2026: GPT-4o, GPT-4.1 family, GPT-5.4 family, o3, o4-mini (OpenAI); Claude Haiku 4.5, Sonnet 4.6, Opus 4.6 (Anthropic); Gemini 2.5 Flash/Pro, Gemini 3.1 Pro Preview (Google); Llama 4 Scout/Maverick, Llama 3.3 70B Versatile (via Groq); DeepSeek V3.2.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model_pricing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reference table storing input price, output price, cached input discount rate, context window size, maximum output tokens, thinking/reasoning capability flag, batch discount rate, and feature flags for every active model. All cost calculations join against this table at query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Layer 2 of the chat interface architecture. Routes each inference request to the user-selected provider or local inference backend, passes thinking configuration parameters to reasoning-capable models, and enforces BYOK credential isolation.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Planning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feature that treats multi-task engineering projects as persistent, governed, database-backed DAG objects rather than transient text within a single model context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Thinking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Tokens generated by a model's internal reasoning process before producing its response. Billed as output tokens by all providers. Tracked in separate fields: completion_tokens_details.reasoning_tokens (OpenAI), usageMetadata.thoughtsTokenCount (Gemini), and inferred from content block length (Anthropic, where no dedicated usage field exists). Included in the token_usage table's thinking_tokens column.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atomic unit of text processed by a language model. Approximately 0.75 English words on average; the exact ratio depends on the model's vocabulary and tokenizer. All major LLM providers bill in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persistent UI element in the chat interface displaying current session token consumption (input, output, and thinking separately), estimated cost to date, estimated remaining exchanges before context exhaustion, and the color-coded context health status indicator.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TokenMeter.php</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PHP middleware class that intercepts provider API responses in the chat proxy, extracts the usage object including thinking/reasoning token sub-fields, calculates cost from model_pricing, writes a row to token_usage, and appends a metadata block to the forwarded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library that converts text into the token sequence a specific model would produce, enabling pre-call cost estimation and post-hoc transcript analysis. tiktoken is used for OpenAI model families (GPT-4o, GPT-4.1, GPT-5.4, o-series); the Anthropic tokenizer library is used for Claude models.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platform table recording provider, model, input/output/thinking token counts, estimated cost in USD, context window size, and context utilization percentage for every API call routed through the ContextKeeper proxy.</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[State machine, bootstrap protocol, multi-agent role model, and gate enforcement referenced throughout this paper.]</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[Task Governance Schema, delivery contract fields, and extended execution prompt template referenced in Sections 4 and 6.]</w:t>
      </w:r>
    </w:p>
    <w:p>
      <w:pPr>
        <w:spacing w:before="80" w:after="0"/>
      </w:pPr>
    </w:p>
    <w:p>
      <w:pPr>
        <w:spacing w:before="0" w:after="200" w:line="276" w:lineRule="auto"/>
      </w:pPr>
      <w:r>
        <w:rPr>
          <w:rFonts w:ascii="Arial" w:cs="Arial" w:eastAsia="Arial" w:hAnsi="Arial"/>
          <w:color w:val="2C2C2C"/>
          <w:sz w:val="22"/>
          <w:szCs w:val="22"/>
        </w:rPr>
        <w:t xml:space="preserve">OpenAI. (2025, April 14). Introducing GPT-4.1 in the API. openai.com. [GPT-4.1/4.1 mini/4.1 nano pricing ($2.00/$8.00, $0.40/$1.60, $0.10/$0.40 per 1M tokens), 1,047,576-token context window, and reasoning token billing sub-fields referenced in Sections 3.2.4 and Table 3.]</w:t>
      </w:r>
    </w:p>
    <w:p>
      <w:pPr>
        <w:spacing w:before="0" w:after="200" w:line="276" w:lineRule="auto"/>
      </w:pPr>
      <w:r>
        <w:rPr>
          <w:rFonts w:ascii="Arial" w:cs="Arial" w:eastAsia="Arial" w:hAnsi="Arial"/>
          <w:color w:val="2C2C2C"/>
          <w:sz w:val="22"/>
          <w:szCs w:val="22"/>
        </w:rPr>
        <w:t xml:space="preserve">OpenAI. (2026, March 5). Introducing GPT-5.4. openai.com. [GPT-5.4 pricing ($2.50/$15.00 per 1M tokens up to 272K context), 1,047,576-token context window, tiered long-context pricing, and GPT-5.4 mini/nano releases referenced in Sections 3.2.4 and Table 3.]</w:t>
      </w:r>
    </w:p>
    <w:p>
      <w:pPr>
        <w:spacing w:before="0" w:after="200" w:line="276" w:lineRule="auto"/>
      </w:pPr>
      <w:r>
        <w:rPr>
          <w:rFonts w:ascii="Arial" w:cs="Arial" w:eastAsia="Arial" w:hAnsi="Arial"/>
          <w:color w:val="2C2C2C"/>
          <w:sz w:val="22"/>
          <w:szCs w:val="22"/>
        </w:rPr>
        <w:t xml:space="preserve">OpenAI. (2025, April 16). Introducing OpenAI o3 and o4-mini. openai.com. [o3 pricing ($2.00/$8.00), o4-mini pricing ($1.10/$4.40), 200K context, reasoning token billing documented in completion_tokens_details.reasoning_tokens referenced in Sections 3.2.2 and Table 1.]</w:t>
      </w:r>
    </w:p>
    <w:p>
      <w:pPr>
        <w:spacing w:before="0" w:after="200" w:line="276" w:lineRule="auto"/>
      </w:pPr>
      <w:r>
        <w:rPr>
          <w:rFonts w:ascii="Arial" w:cs="Arial" w:eastAsia="Arial" w:hAnsi="Arial"/>
          <w:color w:val="2C2C2C"/>
          <w:sz w:val="22"/>
          <w:szCs w:val="22"/>
        </w:rPr>
        <w:t xml:space="preserve">Anthropic. (2026). Claude API Pricing. platform.claude.com/docs/en/about-claude/pricing. [Claude Haiku 4.5 ($1.00/$5.00, 200K context), Claude Sonnet 4.6 ($3.00/$15.00, 1M context GA), Claude Opus 4.6 ($5.00/$25.00, 1M context GA) pricing confirmed March 2026. Thinking tokens included in output_tokens with no dedicated usage field. Referenced in Sections 3.2.4, Table 3, and throughout.]</w:t>
      </w:r>
    </w:p>
    <w:p>
      <w:pPr>
        <w:spacing w:before="0" w:after="200" w:line="276" w:lineRule="auto"/>
      </w:pPr>
      <w:r>
        <w:rPr>
          <w:rFonts w:ascii="Arial" w:cs="Arial" w:eastAsia="Arial" w:hAnsi="Arial"/>
          <w:color w:val="2C2C2C"/>
          <w:sz w:val="22"/>
          <w:szCs w:val="22"/>
        </w:rPr>
        <w:t xml:space="preserve">Google. (2026). Gemini Developer API Pricing. ai.google.dev/gemini-api/docs/pricing. [Gemini 2.5 Flash ($0.30/$2.50, 1M context), Gemini 2.5 Pro ($1.25/$10.00, 1M context), thinking tokens in usageMetadata.thoughtsTokenCount confirmed March 2026. Critical note: candidatesTokenCount includes thinking tokens on Developer API but excludes them on Vertex AI. Referenced in Sections 3.2.2, 3.2.4, Table 1, and Table 3.]</w:t>
      </w:r>
    </w:p>
    <w:p>
      <w:pPr>
        <w:spacing w:before="0" w:after="200" w:line="276" w:lineRule="auto"/>
      </w:pPr>
      <w:r>
        <w:rPr>
          <w:rFonts w:ascii="Arial" w:cs="Arial" w:eastAsia="Arial" w:hAnsi="Arial"/>
          <w:color w:val="2C2C2C"/>
          <w:sz w:val="22"/>
          <w:szCs w:val="22"/>
        </w:rPr>
        <w:t xml:space="preserve">Groq. (2026). Groq On-demand Pricing. groq.com/pricing. [Llama 4 Scout ($0.11/$0.34), Llama 4 Maverick ($0.20/$0.60), Llama 3.3 70B Versatile ($0.59/$0.79) per 1M tokens confirmed March 18, 2026. Llama 3.1 70B no longer listed. Referenced in Section 3.2.4 and Table 3.]</w:t>
      </w:r>
    </w:p>
    <w:p>
      <w:pPr>
        <w:spacing w:before="0" w:after="200" w:line="276" w:lineRule="auto"/>
      </w:pPr>
      <w:r>
        <w:rPr>
          <w:rFonts w:ascii="Arial" w:cs="Arial" w:eastAsia="Arial" w:hAnsi="Arial"/>
          <w:color w:val="2C2C2C"/>
          <w:sz w:val="22"/>
          <w:szCs w:val="22"/>
        </w:rPr>
        <w:t xml:space="preserve">DeepSeek. (2025). DeepSeek API Pricing. api-docs.deepseek.com/quick_start/pricing. [DeepSeek V3.2 at $0.28/$0.42 per 1M tokens referenced in Table 3.]</w:t>
      </w:r>
    </w:p>
    <w:p>
      <w:pPr>
        <w:spacing w:before="80" w:after="0"/>
      </w:pPr>
    </w:p>
    <w:p>
      <w:pPr>
        <w:spacing w:before="0" w:after="200" w:line="276" w:lineRule="auto"/>
      </w:pPr>
      <w:r>
        <w:rPr>
          <w:rFonts w:ascii="Arial" w:cs="Arial" w:eastAsia="Arial" w:hAnsi="Arial"/>
          <w:color w:val="2C2C2C"/>
          <w:sz w:val="22"/>
          <w:szCs w:val="22"/>
        </w:rPr>
        <w:t xml:space="preserve">All other concepts, architectures, protocols, and systems described in this paper are original contributions of the author, developed during the design and production engineering of the ContextKeeper platform.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Platform Architecture and Token Intelligence  |  WP-003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2026-03-18T17:43:10.852Z</dcterms:created>
  <dcterms:modified xsi:type="dcterms:W3CDTF">2026-03-18T17:43:10.853Z</dcterms:modified>
</cp:coreProperties>
</file>

<file path=docProps/custom.xml><?xml version="1.0" encoding="utf-8"?>
<Properties xmlns="http://schemas.openxmlformats.org/officeDocument/2006/custom-properties" xmlns:vt="http://schemas.openxmlformats.org/officeDocument/2006/docPropsVTypes"/>
</file>