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60"/>
        <w:jc w:val="center"/>
      </w:pPr>
      <w:r>
        <w:rPr>
          <w:rFonts w:ascii="Arial" w:cs="Arial" w:eastAsia="Arial" w:hAnsi="Arial"/>
          <w:b/>
          <w:bCs/>
          <w:color w:val="1B2A4A"/>
          <w:sz w:val="56"/>
          <w:szCs w:val="56"/>
        </w:rPr>
        <w:t xml:space="preserve">Agent Orchestration, Marketplace,</w:t>
      </w:r>
    </w:p>
    <w:p>
      <w:pPr>
        <w:spacing w:before="0" w:after="100"/>
        <w:jc w:val="center"/>
      </w:pPr>
      <w:r>
        <w:rPr>
          <w:rFonts w:ascii="Arial" w:cs="Arial" w:eastAsia="Arial" w:hAnsi="Arial"/>
          <w:b/>
          <w:bCs/>
          <w:color w:val="1B2A4A"/>
          <w:sz w:val="56"/>
          <w:szCs w:val="56"/>
        </w:rPr>
        <w:t xml:space="preserve">and Revenue Architecture</w:t>
      </w:r>
    </w:p>
    <w:p>
      <w:pPr>
        <w:spacing w:before="60" w:after="40"/>
        <w:jc w:val="center"/>
      </w:pPr>
      <w:r>
        <w:rPr>
          <w:rFonts w:ascii="Arial" w:cs="Arial" w:eastAsia="Arial" w:hAnsi="Arial"/>
          <w:b/>
          <w:bCs/>
          <w:color w:val="1B2A4A"/>
          <w:sz w:val="36"/>
          <w:szCs w:val="36"/>
        </w:rPr>
        <w:t xml:space="preserve">Agent Builder Hub, Execution Engine, Community Marketplace,</w:t>
      </w:r>
    </w:p>
    <w:p>
      <w:pPr>
        <w:spacing w:before="40" w:after="60"/>
        <w:jc w:val="center"/>
      </w:pPr>
      <w:r>
        <w:rPr>
          <w:rFonts w:ascii="Arial" w:cs="Arial" w:eastAsia="Arial" w:hAnsi="Arial"/>
          <w:b w:val="false"/>
          <w:bCs w:val="false"/>
          <w:color w:val="555555"/>
          <w:sz w:val="28"/>
          <w:szCs w:val="28"/>
        </w:rPr>
        <w:t xml:space="preserve">Connector-Powered Agent Architecture, and Revenue Model Extension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WP-005  |  Version 1.2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AutoGen/Semantic Kernel competitive entry updated to reflect Microsoft Agent Framework merger (October 2025); LangGraph production adoption data updated; CrewAI funding and adoption metrics corrected; governance gap analysis verified accurate.</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research pass: LangGraph GitHub stars corrected to 26,200 (not 38M monthly PyPI downloads as stated in v1.1 -- that figure was downloads, not stars); CrewAI Fortune 500 claims reframed as unverified marketing assertions; Google ADK and Vertex AI governance stack added to competitive analysis; Microsoft Agent Governance Toolkit noted; OWASP Top 10 for Agentic Applications added to security section; marketplace commission benchmarks added; regulatory stance corrected to reflect that no regulation currently mandates cryptographic audit trails.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6</w:t>
      </w:r>
    </w:p>
    <w:p>
      <w:pPr>
        <w:spacing w:before="0" w:after="200" w:line="276" w:lineRule="auto"/>
      </w:pPr>
      <w:r>
        <w:rPr>
          <w:rFonts w:ascii="Arial" w:cs="Arial" w:eastAsia="Arial" w:hAnsi="Arial"/>
          <w:color w:val="2C2C2C"/>
          <w:sz w:val="22"/>
          <w:szCs w:val="22"/>
        </w:rPr>
        <w:t xml:space="preserve">   2.1 The Governance Gap in Agent Platforms ..... 6</w:t>
      </w:r>
    </w:p>
    <w:p>
      <w:pPr>
        <w:spacing w:before="0" w:after="200" w:line="276" w:lineRule="auto"/>
      </w:pPr>
      <w:r>
        <w:rPr>
          <w:rFonts w:ascii="Arial" w:cs="Arial" w:eastAsia="Arial" w:hAnsi="Arial"/>
          <w:color w:val="2C2C2C"/>
          <w:sz w:val="22"/>
          <w:szCs w:val="22"/>
        </w:rPr>
        <w:t xml:space="preserve">   2.2 The Plan Persistence Gap ..... 6</w:t>
      </w:r>
    </w:p>
    <w:p>
      <w:pPr>
        <w:spacing w:before="0" w:after="200" w:line="276" w:lineRule="auto"/>
      </w:pPr>
      <w:r>
        <w:rPr>
          <w:rFonts w:ascii="Arial" w:cs="Arial" w:eastAsia="Arial" w:hAnsi="Arial"/>
          <w:color w:val="2C2C2C"/>
          <w:sz w:val="22"/>
          <w:szCs w:val="22"/>
        </w:rPr>
        <w:t xml:space="preserve">   2.3 The Marketplace Gap ..... 7</w:t>
      </w:r>
    </w:p>
    <w:p>
      <w:pPr>
        <w:spacing w:before="0" w:after="200" w:line="276" w:lineRule="auto"/>
      </w:pPr>
      <w:r>
        <w:rPr>
          <w:rFonts w:ascii="Arial" w:cs="Arial" w:eastAsia="Arial" w:hAnsi="Arial"/>
          <w:color w:val="2C2C2C"/>
          <w:sz w:val="22"/>
          <w:szCs w:val="22"/>
        </w:rPr>
        <w:t xml:space="preserve">   2.4 The Revenue Ceiling of Pure SaaS ..... 7</w:t>
      </w:r>
    </w:p>
    <w:p>
      <w:pPr>
        <w:spacing w:before="0" w:after="200" w:line="276" w:lineRule="auto"/>
      </w:pPr>
      <w:r>
        <w:rPr>
          <w:rFonts w:ascii="Arial" w:cs="Arial" w:eastAsia="Arial" w:hAnsi="Arial"/>
          <w:color w:val="2C2C2C"/>
          <w:sz w:val="22"/>
          <w:szCs w:val="22"/>
        </w:rPr>
        <w:t xml:space="preserve">3. Agent Builder Hub Concept ..... 8</w:t>
      </w:r>
    </w:p>
    <w:p>
      <w:pPr>
        <w:spacing w:before="0" w:after="200" w:line="276" w:lineRule="auto"/>
      </w:pPr>
      <w:r>
        <w:rPr>
          <w:rFonts w:ascii="Arial" w:cs="Arial" w:eastAsia="Arial" w:hAnsi="Arial"/>
          <w:color w:val="2C2C2C"/>
          <w:sz w:val="22"/>
          <w:szCs w:val="22"/>
        </w:rPr>
        <w:t xml:space="preserve">   3.1 Platform Evolution: Context Manager to Orchestration Hub ..... 8</w:t>
      </w:r>
    </w:p>
    <w:p>
      <w:pPr>
        <w:spacing w:before="0" w:after="200" w:line="276" w:lineRule="auto"/>
      </w:pPr>
      <w:r>
        <w:rPr>
          <w:rFonts w:ascii="Arial" w:cs="Arial" w:eastAsia="Arial" w:hAnsi="Arial"/>
          <w:color w:val="2C2C2C"/>
          <w:sz w:val="22"/>
          <w:szCs w:val="22"/>
        </w:rPr>
        <w:t xml:space="preserve">   3.2 What an Agent Definition Contains ..... 9</w:t>
      </w:r>
    </w:p>
    <w:p>
      <w:pPr>
        <w:spacing w:before="0" w:after="200" w:line="276" w:lineRule="auto"/>
      </w:pPr>
      <w:r>
        <w:rPr>
          <w:rFonts w:ascii="Arial" w:cs="Arial" w:eastAsia="Arial" w:hAnsi="Arial"/>
          <w:color w:val="2C2C2C"/>
          <w:sz w:val="22"/>
          <w:szCs w:val="22"/>
        </w:rPr>
        <w:t xml:space="preserve">   3.3 Agent Definition Schema ..... 10</w:t>
      </w:r>
    </w:p>
    <w:p>
      <w:pPr>
        <w:spacing w:before="0" w:after="200" w:line="276" w:lineRule="auto"/>
      </w:pPr>
      <w:r>
        <w:rPr>
          <w:rFonts w:ascii="Arial" w:cs="Arial" w:eastAsia="Arial" w:hAnsi="Arial"/>
          <w:color w:val="2C2C2C"/>
          <w:sz w:val="22"/>
          <w:szCs w:val="22"/>
        </w:rPr>
        <w:t xml:space="preserve">   3.4 Agent Database Schema ..... 11</w:t>
      </w:r>
    </w:p>
    <w:p>
      <w:pPr>
        <w:spacing w:before="0" w:after="200" w:line="276" w:lineRule="auto"/>
      </w:pPr>
      <w:r>
        <w:rPr>
          <w:rFonts w:ascii="Arial" w:cs="Arial" w:eastAsia="Arial" w:hAnsi="Arial"/>
          <w:color w:val="2C2C2C"/>
          <w:sz w:val="22"/>
          <w:szCs w:val="22"/>
        </w:rPr>
        <w:t xml:space="preserve">   3.5 Agent Versioning ..... 13</w:t>
      </w:r>
    </w:p>
    <w:p>
      <w:pPr>
        <w:spacing w:before="0" w:after="200" w:line="276" w:lineRule="auto"/>
      </w:pPr>
      <w:r>
        <w:rPr>
          <w:rFonts w:ascii="Arial" w:cs="Arial" w:eastAsia="Arial" w:hAnsi="Arial"/>
          <w:color w:val="2C2C2C"/>
          <w:sz w:val="22"/>
          <w:szCs w:val="22"/>
        </w:rPr>
        <w:t xml:space="preserve">   3.6 Prompt A/B Testing ..... 14</w:t>
      </w:r>
    </w:p>
    <w:p>
      <w:pPr>
        <w:spacing w:before="0" w:after="200" w:line="276" w:lineRule="auto"/>
      </w:pPr>
      <w:r>
        <w:rPr>
          <w:rFonts w:ascii="Arial" w:cs="Arial" w:eastAsia="Arial" w:hAnsi="Arial"/>
          <w:color w:val="2C2C2C"/>
          <w:sz w:val="22"/>
          <w:szCs w:val="22"/>
        </w:rPr>
        <w:t xml:space="preserve">   3.7 Prompt Versioning ..... 16</w:t>
      </w:r>
    </w:p>
    <w:p>
      <w:pPr>
        <w:spacing w:before="0" w:after="200" w:line="276" w:lineRule="auto"/>
      </w:pPr>
      <w:r>
        <w:rPr>
          <w:rFonts w:ascii="Arial" w:cs="Arial" w:eastAsia="Arial" w:hAnsi="Arial"/>
          <w:color w:val="2C2C2C"/>
          <w:sz w:val="22"/>
          <w:szCs w:val="22"/>
        </w:rPr>
        <w:t xml:space="preserve">4. Agent Execution Engine ..... 18</w:t>
      </w:r>
    </w:p>
    <w:p>
      <w:pPr>
        <w:spacing w:before="0" w:after="200" w:line="276" w:lineRule="auto"/>
      </w:pPr>
      <w:r>
        <w:rPr>
          <w:rFonts w:ascii="Arial" w:cs="Arial" w:eastAsia="Arial" w:hAnsi="Arial"/>
          <w:color w:val="2C2C2C"/>
          <w:sz w:val="22"/>
          <w:szCs w:val="22"/>
        </w:rPr>
        <w:t xml:space="preserve">   4.1 Execution Engine Architecture ..... 18</w:t>
      </w:r>
    </w:p>
    <w:p>
      <w:pPr>
        <w:spacing w:before="0" w:after="200" w:line="276" w:lineRule="auto"/>
      </w:pPr>
      <w:r>
        <w:rPr>
          <w:rFonts w:ascii="Arial" w:cs="Arial" w:eastAsia="Arial" w:hAnsi="Arial"/>
          <w:color w:val="2C2C2C"/>
          <w:sz w:val="22"/>
          <w:szCs w:val="22"/>
        </w:rPr>
        <w:t xml:space="preserve">   4.2 Trigger System ..... 20</w:t>
      </w:r>
    </w:p>
    <w:p>
      <w:pPr>
        <w:spacing w:before="0" w:after="200" w:line="276" w:lineRule="auto"/>
      </w:pPr>
      <w:r>
        <w:rPr>
          <w:rFonts w:ascii="Arial" w:cs="Arial" w:eastAsia="Arial" w:hAnsi="Arial"/>
          <w:color w:val="2C2C2C"/>
          <w:sz w:val="22"/>
          <w:szCs w:val="22"/>
        </w:rPr>
        <w:t xml:space="preserve">   4.3 DEL-v2 Governance at Execution Granularity ..... 21</w:t>
      </w:r>
    </w:p>
    <w:p>
      <w:pPr>
        <w:spacing w:before="0" w:after="200" w:line="276" w:lineRule="auto"/>
      </w:pPr>
      <w:r>
        <w:rPr>
          <w:rFonts w:ascii="Arial" w:cs="Arial" w:eastAsia="Arial" w:hAnsi="Arial"/>
          <w:color w:val="2C2C2C"/>
          <w:sz w:val="22"/>
          <w:szCs w:val="22"/>
        </w:rPr>
        <w:t xml:space="preserve">   4.4 Governance Modes ..... 22</w:t>
      </w:r>
    </w:p>
    <w:p>
      <w:pPr>
        <w:spacing w:before="0" w:after="200" w:line="276" w:lineRule="auto"/>
      </w:pPr>
      <w:r>
        <w:rPr>
          <w:rFonts w:ascii="Arial" w:cs="Arial" w:eastAsia="Arial" w:hAnsi="Arial"/>
          <w:color w:val="2C2C2C"/>
          <w:sz w:val="22"/>
          <w:szCs w:val="22"/>
        </w:rPr>
        <w:t xml:space="preserve">      4.4.1 Test Sandbox Specification ..... 23</w:t>
      </w:r>
    </w:p>
    <w:p>
      <w:pPr>
        <w:spacing w:before="0" w:after="200" w:line="276" w:lineRule="auto"/>
      </w:pPr>
      <w:r>
        <w:rPr>
          <w:rFonts w:ascii="Arial" w:cs="Arial" w:eastAsia="Arial" w:hAnsi="Arial"/>
          <w:color w:val="2C2C2C"/>
          <w:sz w:val="22"/>
          <w:szCs w:val="22"/>
        </w:rPr>
        <w:t xml:space="preserve">   4.5 Connector-Powered Agent Architecture ..... 24</w:t>
      </w:r>
    </w:p>
    <w:p>
      <w:pPr>
        <w:spacing w:before="0" w:after="200" w:line="276" w:lineRule="auto"/>
      </w:pPr>
      <w:r>
        <w:rPr>
          <w:rFonts w:ascii="Arial" w:cs="Arial" w:eastAsia="Arial" w:hAnsi="Arial"/>
          <w:color w:val="2C2C2C"/>
          <w:sz w:val="22"/>
          <w:szCs w:val="22"/>
        </w:rPr>
        <w:t xml:space="preserve">   4.6 Token Budget Enforcement ..... 25</w:t>
      </w:r>
    </w:p>
    <w:p>
      <w:pPr>
        <w:spacing w:before="0" w:after="200" w:line="276" w:lineRule="auto"/>
      </w:pPr>
      <w:r>
        <w:rPr>
          <w:rFonts w:ascii="Arial" w:cs="Arial" w:eastAsia="Arial" w:hAnsi="Arial"/>
          <w:color w:val="2C2C2C"/>
          <w:sz w:val="22"/>
          <w:szCs w:val="22"/>
        </w:rPr>
        <w:t xml:space="preserve">      4.6.1 Multi-Tenant Agent Isolation ..... 26</w:t>
      </w:r>
    </w:p>
    <w:p>
      <w:pPr>
        <w:spacing w:before="0" w:after="200" w:line="276" w:lineRule="auto"/>
      </w:pPr>
      <w:r>
        <w:rPr>
          <w:rFonts w:ascii="Arial" w:cs="Arial" w:eastAsia="Arial" w:hAnsi="Arial"/>
          <w:color w:val="2C2C2C"/>
          <w:sz w:val="22"/>
          <w:szCs w:val="22"/>
        </w:rPr>
        <w:t xml:space="preserve">   4.7 Breach Handling ..... 27</w:t>
      </w:r>
    </w:p>
    <w:p>
      <w:pPr>
        <w:spacing w:before="0" w:after="200" w:line="276" w:lineRule="auto"/>
      </w:pPr>
      <w:r>
        <w:rPr>
          <w:rFonts w:ascii="Arial" w:cs="Arial" w:eastAsia="Arial" w:hAnsi="Arial"/>
          <w:color w:val="2C2C2C"/>
          <w:sz w:val="22"/>
          <w:szCs w:val="22"/>
        </w:rPr>
        <w:t xml:space="preserve">   4.8 Webhook Routing ..... 28</w:t>
      </w:r>
    </w:p>
    <w:p>
      <w:pPr>
        <w:spacing w:before="0" w:after="200" w:line="276" w:lineRule="auto"/>
      </w:pPr>
      <w:r>
        <w:rPr>
          <w:rFonts w:ascii="Arial" w:cs="Arial" w:eastAsia="Arial" w:hAnsi="Arial"/>
          <w:color w:val="2C2C2C"/>
          <w:sz w:val="22"/>
          <w:szCs w:val="22"/>
        </w:rPr>
        <w:t xml:space="preserve">   4.9 Agent Pipeline ..... 30</w:t>
      </w:r>
    </w:p>
    <w:p>
      <w:pPr>
        <w:spacing w:before="0" w:after="200" w:line="276" w:lineRule="auto"/>
      </w:pPr>
      <w:r>
        <w:rPr>
          <w:rFonts w:ascii="Arial" w:cs="Arial" w:eastAsia="Arial" w:hAnsi="Arial"/>
          <w:color w:val="2C2C2C"/>
          <w:sz w:val="22"/>
          <w:szCs w:val="22"/>
        </w:rPr>
        <w:t xml:space="preserve">5. Community Marketplace ..... 32</w:t>
      </w:r>
    </w:p>
    <w:p>
      <w:pPr>
        <w:spacing w:before="0" w:after="200" w:line="276" w:lineRule="auto"/>
      </w:pPr>
      <w:r>
        <w:rPr>
          <w:rFonts w:ascii="Arial" w:cs="Arial" w:eastAsia="Arial" w:hAnsi="Arial"/>
          <w:color w:val="2C2C2C"/>
          <w:sz w:val="22"/>
          <w:szCs w:val="22"/>
        </w:rPr>
        <w:t xml:space="preserve">   5.1 Marketplace Architecture ..... 32</w:t>
      </w:r>
    </w:p>
    <w:p>
      <w:pPr>
        <w:spacing w:before="0" w:after="200" w:line="276" w:lineRule="auto"/>
      </w:pPr>
      <w:r>
        <w:rPr>
          <w:rFonts w:ascii="Arial" w:cs="Arial" w:eastAsia="Arial" w:hAnsi="Arial"/>
          <w:color w:val="2C2C2C"/>
          <w:sz w:val="22"/>
          <w:szCs w:val="22"/>
        </w:rPr>
        <w:t xml:space="preserve">   5.2 Fork and Compose Model ..... 34</w:t>
      </w:r>
    </w:p>
    <w:p>
      <w:pPr>
        <w:spacing w:before="0" w:after="200" w:line="276" w:lineRule="auto"/>
      </w:pPr>
      <w:r>
        <w:rPr>
          <w:rFonts w:ascii="Arial" w:cs="Arial" w:eastAsia="Arial" w:hAnsi="Arial"/>
          <w:color w:val="2C2C2C"/>
          <w:sz w:val="22"/>
          <w:szCs w:val="22"/>
        </w:rPr>
        <w:t xml:space="preserve">   5.3 Discovery and Quality Signals ..... 35</w:t>
      </w:r>
    </w:p>
    <w:p>
      <w:pPr>
        <w:spacing w:before="0" w:after="200" w:line="276" w:lineRule="auto"/>
      </w:pPr>
      <w:r>
        <w:rPr>
          <w:rFonts w:ascii="Arial" w:cs="Arial" w:eastAsia="Arial" w:hAnsi="Arial"/>
          <w:color w:val="2C2C2C"/>
          <w:sz w:val="22"/>
          <w:szCs w:val="22"/>
        </w:rPr>
        <w:t xml:space="preserve">6. Revenue Model Extension ..... 36</w:t>
      </w:r>
    </w:p>
    <w:p>
      <w:pPr>
        <w:spacing w:before="0" w:after="200" w:line="276" w:lineRule="auto"/>
      </w:pPr>
      <w:r>
        <w:rPr>
          <w:rFonts w:ascii="Arial" w:cs="Arial" w:eastAsia="Arial" w:hAnsi="Arial"/>
          <w:color w:val="2C2C2C"/>
          <w:sz w:val="22"/>
          <w:szCs w:val="22"/>
        </w:rPr>
        <w:t xml:space="preserve">   6.1 Four Revenue Streams ..... 36</w:t>
      </w:r>
    </w:p>
    <w:p>
      <w:pPr>
        <w:spacing w:before="0" w:after="200" w:line="276" w:lineRule="auto"/>
      </w:pPr>
      <w:r>
        <w:rPr>
          <w:rFonts w:ascii="Arial" w:cs="Arial" w:eastAsia="Arial" w:hAnsi="Arial"/>
          <w:color w:val="2C2C2C"/>
          <w:sz w:val="22"/>
          <w:szCs w:val="22"/>
        </w:rPr>
        <w:t xml:space="preserve">   6.2 Revenue Stream Interactions ..... 40</w:t>
      </w:r>
    </w:p>
    <w:p>
      <w:pPr>
        <w:spacing w:before="0" w:after="200" w:line="276" w:lineRule="auto"/>
      </w:pPr>
      <w:r>
        <w:rPr>
          <w:rFonts w:ascii="Arial" w:cs="Arial" w:eastAsia="Arial" w:hAnsi="Arial"/>
          <w:color w:val="2C2C2C"/>
          <w:sz w:val="22"/>
          <w:szCs w:val="22"/>
        </w:rPr>
        <w:t xml:space="preserve">7. Governance-First Differentiation ..... 41</w:t>
      </w:r>
    </w:p>
    <w:p>
      <w:pPr>
        <w:spacing w:before="0" w:after="200" w:line="276" w:lineRule="auto"/>
      </w:pPr>
      <w:r>
        <w:rPr>
          <w:rFonts w:ascii="Arial" w:cs="Arial" w:eastAsia="Arial" w:hAnsi="Arial"/>
          <w:color w:val="2C2C2C"/>
          <w:sz w:val="22"/>
          <w:szCs w:val="22"/>
        </w:rPr>
        <w:t xml:space="preserve">8. Implementation Evidence ..... 44</w:t>
      </w:r>
    </w:p>
    <w:p>
      <w:pPr>
        <w:spacing w:before="0" w:after="200" w:line="276" w:lineRule="auto"/>
      </w:pPr>
      <w:r>
        <w:rPr>
          <w:rFonts w:ascii="Arial" w:cs="Arial" w:eastAsia="Arial" w:hAnsi="Arial"/>
          <w:color w:val="2C2C2C"/>
          <w:sz w:val="22"/>
          <w:szCs w:val="22"/>
        </w:rPr>
        <w:t xml:space="preserve">9. Integration Points ..... 45</w:t>
      </w:r>
    </w:p>
    <w:p>
      <w:pPr>
        <w:spacing w:before="0" w:after="200" w:line="276" w:lineRule="auto"/>
      </w:pPr>
      <w:r>
        <w:rPr>
          <w:rFonts w:ascii="Arial" w:cs="Arial" w:eastAsia="Arial" w:hAnsi="Arial"/>
          <w:color w:val="2C2C2C"/>
          <w:sz w:val="22"/>
          <w:szCs w:val="22"/>
        </w:rPr>
        <w:t xml:space="preserve">10. Conclusion ..... 47</w:t>
      </w:r>
    </w:p>
    <w:p>
      <w:pPr>
        <w:spacing w:before="0" w:after="200" w:line="276" w:lineRule="auto"/>
      </w:pPr>
      <w:r>
        <w:rPr>
          <w:rFonts w:ascii="Arial" w:cs="Arial" w:eastAsia="Arial" w:hAnsi="Arial"/>
          <w:color w:val="2C2C2C"/>
          <w:sz w:val="22"/>
          <w:szCs w:val="22"/>
        </w:rPr>
        <w:t xml:space="preserve">Appendix A. Glossary ..... 48</w:t>
      </w:r>
    </w:p>
    <w:p>
      <w:pPr>
        <w:spacing w:before="0" w:after="200" w:line="276" w:lineRule="auto"/>
      </w:pPr>
      <w:r>
        <w:rPr>
          <w:rFonts w:ascii="Arial" w:cs="Arial" w:eastAsia="Arial" w:hAnsi="Arial"/>
          <w:color w:val="2C2C2C"/>
          <w:sz w:val="22"/>
          <w:szCs w:val="22"/>
        </w:rPr>
        <w:t xml:space="preserve">References ..... 52</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agent orchestration, marketplace, and revenue architecture for the ContextKeeper platform: the design of a system that evolves ContextKeeper from an AI session continuity tool into a full agent orchestration hub. This paper defines the Agent Builder Hub concept and interface, the agent definition schema, the agent execution engine and its DEL-v2 governance integration, the connector-powered agent architecture, the community marketplace, and the three revenue streams that the agent hub adds to the existing SaaS subscription model.</w:t>
      </w:r>
    </w:p>
    <w:p>
      <w:pPr>
        <w:spacing w:before="0" w:after="200" w:line="276" w:lineRule="auto"/>
      </w:pPr>
      <w:r>
        <w:rPr>
          <w:rFonts w:ascii="Arial" w:cs="Arial" w:eastAsia="Arial" w:hAnsi="Arial"/>
          <w:color w:val="2C2C2C"/>
          <w:sz w:val="22"/>
          <w:szCs w:val="22"/>
        </w:rPr>
        <w:t xml:space="preserve">The central problem addressed is the governance gap in all current agent platforms. Every major agent framework -- LangGraph, CrewAI, the Microsoft Agent Framework (which merged AutoGen and Semantic Kernel in October 2025), and the OpenAI Agents SDK -- provides agent orchestration without formal governance at the system level. An agent can hallucinate a tool call, execute it, and the mistake compounds through subsequent steps without detection. There is no state machine enforcing valid transitions from the outside, no cryptographic verification that outputs match expectations, and no audit trail structured for compliance. ContextKeeper wraps any agent execution in the DEL-v2 10-state governance loop (WP-001), producing provably auditable, breach-detecting, role-separated agent execution that no competing platform provides as a first-class feature.</w:t>
      </w:r>
    </w:p>
    <w:p>
      <w:pPr>
        <w:pBdr>
          <w:left w:val="single" w:color="2E75B6" w:sz="6" w:space="8"/>
        </w:pBdr>
        <w:spacing w:before="120" w:after="120"/>
        <w:ind w:left="720"/>
      </w:pPr>
      <w:r>
        <w:rPr>
          <w:rFonts w:ascii="Arial" w:cs="Arial" w:eastAsia="Arial" w:hAnsi="Arial"/>
          <w:i/>
          <w:iCs/>
          <w:color w:val="555555"/>
          <w:sz w:val="22"/>
          <w:szCs w:val="22"/>
        </w:rPr>
        <w:t xml:space="preserve">The platform evolution from context manager to agent orchestration hub is a platform extension, not a pivot. ContextKeeper already manages the state machine (DEL-v2), tracks decisions, enforces invariants, and operates a 67-connector ecosystem. The jump from 'manage your agents' context' to 'design, configure, and deploy agents' requires adding a definition UI, an execution engine, and a marketplace layer on top of infrastructure that already exists.</w:t>
      </w:r>
    </w:p>
    <w:p>
      <w:pPr>
        <w:spacing w:before="0" w:after="200" w:line="276" w:lineRule="auto"/>
      </w:pPr>
      <w:r>
        <w:rPr>
          <w:rFonts w:ascii="Arial" w:cs="Arial" w:eastAsia="Arial" w:hAnsi="Arial"/>
          <w:color w:val="2C2C2C"/>
          <w:sz w:val="22"/>
          <w:szCs w:val="22"/>
        </w:rPr>
        <w:t xml:space="preserve">The agent definition schema specifies eleven fields covering system prompt template, connector bindings, governance configuration, trigger type, role assignment, and token and cost budgets. The execution engine is an eight-component runtime that loads agent definitions, enforces DEL-v2 governance, routes inference through the token tracking proxy, executes connector operations within permission bounds, and writes a complete audit trail to the platform database. Three governance modes -- light, standard, audited -- allow agents to be configured from minimal-overhead personal tools to cryptographically verified regulated-industry deployments.</w:t>
      </w:r>
    </w:p>
    <w:p>
      <w:pPr>
        <w:spacing w:before="0" w:after="200" w:line="276" w:lineRule="auto"/>
      </w:pPr>
      <w:r>
        <w:rPr>
          <w:rFonts w:ascii="Arial" w:cs="Arial" w:eastAsia="Arial" w:hAnsi="Arial"/>
          <w:color w:val="2C2C2C"/>
          <w:sz w:val="22"/>
          <w:szCs w:val="22"/>
        </w:rPr>
        <w:t xml:space="preserve">The community marketplace is a 'GitHub for agent configurations': users publish blueprints, others fork and adapt them, ratings and usage statistics drive discovery, and premium blueprints can be sold with the platform taking a commission. This creates a network effect: more published blueprints increase platform value for new users; more users increase the incentive for creators to publish quality blueprints.</w:t>
      </w:r>
    </w:p>
    <w:p>
      <w:pPr>
        <w:spacing w:before="0" w:after="200" w:line="276" w:lineRule="auto"/>
      </w:pPr>
      <w:r>
        <w:rPr>
          <w:rFonts w:ascii="Arial" w:cs="Arial" w:eastAsia="Arial" w:hAnsi="Arial"/>
          <w:color w:val="2C2C2C"/>
          <w:sz w:val="22"/>
          <w:szCs w:val="22"/>
        </w:rPr>
        <w:t xml:space="preserve">The revenue model extension adds three streams to the existing subscription: Hosted Execution Credits (consumption-based billing for platform-provided inference), Marketplace Commission (percentage of premium blueprint sales), and Enterprise Agent Fleet Management (annual contracts for organizations running agent fleets under centralized governance). Together these streams transform ContextKeeper from a subscription tool into a platform with compounding revenue as the marketplace catalog and hosted execution volume grow.</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The Governance Gap in Agent Platforms</w:t>
      </w:r>
    </w:p>
    <w:p>
      <w:pPr>
        <w:spacing w:before="0" w:after="200" w:line="276" w:lineRule="auto"/>
      </w:pPr>
      <w:r>
        <w:rPr>
          <w:rFonts w:ascii="Arial" w:cs="Arial" w:eastAsia="Arial" w:hAnsi="Arial"/>
          <w:color w:val="2C2C2C"/>
          <w:sz w:val="22"/>
          <w:szCs w:val="22"/>
        </w:rPr>
        <w:t xml:space="preserve">Every major agent framework shares the same fundamental architectural gap: no formal governance at the system level. LangGraph (the production leader for stateful agent workflows as of 2026, with 26,200 GitHub stars, approximately 40 million monthly PyPI downloads, and confirmed production deployments at LinkedIn, Uber, Klarna, Replit, Elastic, J.P. Morgan, BlackRock, and Vodafone) provides graph-based state machine primitives and built-in checkpointing, but does not enforce a defined lifecycle from the outside; an agent can transition to any state accessible from its current graph position without external validation. There are no cryptographic audit trails, no breach detection, and no external policy enforcement -- LangGraph's enforcement is internal to its own graph execution flow.</w:t>
      </w:r>
    </w:p>
    <w:p>
      <w:pPr>
        <w:spacing w:before="0" w:after="200" w:line="276" w:lineRule="auto"/>
      </w:pPr>
      <w:r>
        <w:rPr>
          <w:rFonts w:ascii="Arial" w:cs="Arial" w:eastAsia="Arial" w:hAnsi="Arial"/>
          <w:color w:val="2C2C2C"/>
          <w:sz w:val="22"/>
          <w:szCs w:val="22"/>
        </w:rPr>
        <w:t xml:space="preserve">CrewAI ($18 million raised as of October 2024, 44,700-plus GitHub stars) defines agent roles that are prompt-level behavioral guidance, not system-level enforcement. The 'role', 'goal', and 'backstory' parameters are strings rendered into the LLM's system prompt; there is no programmatic enforcement preventing an agent from acting outside its defined role. CrewAI's own documentation acknowledges: 'Most agents operate with implicit trust, inheriting the full permissions of the user who launched them.' What IS structurally enforced in CrewAI is tool scoping (agents can only use explicitly assigned tools) and iteration limits -- constraints at the execution boundary, not governance over reasoning and decision quality. Note: CrewAI's widely-cited '60% of Fortune 500' adoption claim is a self-reported marketing assertion; only a handful of customers (PwC, DocuSign, IBM, Konecta) are publicly verifiable.</w:t>
      </w:r>
    </w:p>
    <w:p>
      <w:pPr>
        <w:spacing w:before="0" w:after="200" w:line="276" w:lineRule="auto"/>
      </w:pPr>
      <w:r>
        <w:rPr>
          <w:rFonts w:ascii="Arial" w:cs="Arial" w:eastAsia="Arial" w:hAnsi="Arial"/>
          <w:color w:val="2C2C2C"/>
          <w:sz w:val="22"/>
          <w:szCs w:val="22"/>
        </w:rPr>
        <w:t xml:space="preserve">The Microsoft Agent Framework -- which reached Release Candidate February 19, 2026 following the October 2025 merger of AutoGen and Semantic Kernel -- provides Azure RBAC, Entra Agent ID, and OpenTelemetry-based observability. A separately published Microsoft Agent Governance Toolkit (github.com/microsoft/agent-governance-toolkit) provides Ed25519 cryptographic agent identity, append-only audit logs, and 4-tier privilege rings, but this toolkit is early-stage (46 commits as of March 2026) and is not integrated into the Agent Framework SDK. Google's Agent Development Kit (ADK), released April 2025, pairs with Vertex AI Agent Engine, which provides Agent Identity via IAM principals, Security Command Center threat detection, VPC Service Controls, and Model Armor for prompt injection protection -- the most comprehensive native governance stack among current frameworks. The OpenAI Agents SDK enables handoff patterns and developer-configured guardrails but requires manual compliance instrumentation.</w:t>
      </w:r>
    </w:p>
    <w:p>
      <w:pPr>
        <w:spacing w:before="0" w:after="200" w:line="276" w:lineRule="auto"/>
      </w:pPr>
      <w:r>
        <w:rPr>
          <w:rFonts w:ascii="Arial" w:cs="Arial" w:eastAsia="Arial" w:hAnsi="Arial"/>
          <w:color w:val="2C2C2C"/>
          <w:sz w:val="22"/>
          <w:szCs w:val="22"/>
        </w:rPr>
        <w:t xml:space="preserve">The consequence is that enterprise deployments of current agent frameworks are ungoverned at the level that regulated industries increasingly require. The KPMG Q4 2025 AI Pulse Survey found 75% of enterprise leaders prioritize security, compliance, and auditability as the most critical requirements for agent deployment. The OWASP Top 10 for Agentic Applications (December 2025) identifies Agent Goal Hijack, Tool Misuse, Identity and Privilege Abuse, and Cascading Failures as the leading attack vectors -- all of which formal state machine enforcement directly addresses. No current regulation explicitly mandates cryptographic audit trails or formal state machine enforcement, but NIST's AI Agent Standards Initiative (launched early 2026, targeting agent identity, credentialing, and privilege escalation safeguards) signals that mandatory standards are forming. Enterprise buyers are consistently ahead of regulators: 50% of enterprise leaders surveyed by KPMG plan to allocate $10-50 million to secure agentic architectures in 2026.</w:t>
      </w:r>
    </w:p>
    <w:p>
      <w:pPr>
        <w:pStyle w:val="Heading2"/>
        <w:spacing w:before="240" w:after="80" w:line="276" w:lineRule="auto"/>
      </w:pPr>
      <w:r>
        <w:rPr>
          <w:rFonts w:ascii="Arial" w:cs="Arial" w:eastAsia="Arial" w:hAnsi="Arial"/>
          <w:b/>
          <w:bCs/>
          <w:color w:val="2E75B6"/>
          <w:sz w:val="28"/>
          <w:szCs w:val="28"/>
        </w:rPr>
        <w:t xml:space="preserve">2.2 The Plan Persistence Gap</w:t>
      </w:r>
    </w:p>
    <w:p>
      <w:pPr>
        <w:spacing w:before="0" w:after="200" w:line="276" w:lineRule="auto"/>
      </w:pPr>
      <w:r>
        <w:rPr>
          <w:rFonts w:ascii="Arial" w:cs="Arial" w:eastAsia="Arial" w:hAnsi="Arial"/>
          <w:color w:val="2C2C2C"/>
          <w:sz w:val="22"/>
          <w:szCs w:val="22"/>
        </w:rPr>
        <w:t xml:space="preserve">Agent frameworks generate plans at runtime and execute them within a single session. These plans are not database objects: they cannot be paused and resumed across sessions, cannot be handed to a different model mid-execution, and do not accumulate a versioned history of state transitions. When a context window fills mid-plan, the agent loses access to earlier tasks and may re-execute them, produce contradictory outputs, or silently violate constraints established before the context boundary. LangGraph's checkpointing addresses this partially, but checkpoints are session-scoped and do not survive model switches or multi-session handoffs at the protocol level.</w:t>
      </w:r>
    </w:p>
    <w:p>
      <w:pPr>
        <w:spacing w:before="0" w:after="200" w:line="276" w:lineRule="auto"/>
      </w:pPr>
      <w:r>
        <w:rPr>
          <w:rFonts w:ascii="Arial" w:cs="Arial" w:eastAsia="Arial" w:hAnsi="Arial"/>
          <w:color w:val="2C2C2C"/>
          <w:sz w:val="22"/>
          <w:szCs w:val="22"/>
        </w:rPr>
        <w:t xml:space="preserve">ContextKeeper's Planning Mode (WP-003, Section 4) solves this at the plan level. The agent orchestration layer in this paper extends that solution to the agent execution level: every agent run is a governed, database-backed state machine instance that survives context exhaustion and model switches. The database, not the model's memory, is the source of truth for execution progress.</w:t>
      </w:r>
    </w:p>
    <w:p>
      <w:pPr>
        <w:pStyle w:val="Heading2"/>
        <w:spacing w:before="240" w:after="80" w:line="276" w:lineRule="auto"/>
      </w:pPr>
      <w:r>
        <w:rPr>
          <w:rFonts w:ascii="Arial" w:cs="Arial" w:eastAsia="Arial" w:hAnsi="Arial"/>
          <w:b/>
          <w:bCs/>
          <w:color w:val="2E75B6"/>
          <w:sz w:val="28"/>
          <w:szCs w:val="28"/>
        </w:rPr>
        <w:t xml:space="preserve">2.3 The Marketplace Gap</w:t>
      </w:r>
    </w:p>
    <w:p>
      <w:pPr>
        <w:spacing w:before="0" w:after="200" w:line="276" w:lineRule="auto"/>
      </w:pPr>
      <w:r>
        <w:rPr>
          <w:rFonts w:ascii="Arial" w:cs="Arial" w:eastAsia="Arial" w:hAnsi="Arial"/>
          <w:color w:val="2C2C2C"/>
          <w:sz w:val="22"/>
          <w:szCs w:val="22"/>
        </w:rPr>
        <w:t xml:space="preserve">Agent configurations are currently non-portable and non-discoverable. A data engineer who builds an effective database audit agent using LangGraph must rebuild it from scratch for every new deployment, cannot share it with colleagues without sharing code, and cannot discover that someone else has already solved the same problem. There is no marketplace for governed agent configurations analogous to the npm registry for JavaScript packages or the Hugging Face Hub for model weights.</w:t>
      </w:r>
    </w:p>
    <w:p>
      <w:pPr>
        <w:spacing w:before="0" w:after="200" w:line="276" w:lineRule="auto"/>
      </w:pPr>
      <w:r>
        <w:rPr>
          <w:rFonts w:ascii="Arial" w:cs="Arial" w:eastAsia="Arial" w:hAnsi="Arial"/>
          <w:color w:val="2C2C2C"/>
          <w:sz w:val="22"/>
          <w:szCs w:val="22"/>
        </w:rPr>
        <w:t xml:space="preserve">The absence of this marketplace is a missed coordination mechanism. Agent configurations encode substantial value: the system prompt that makes an agent effective for a specific domain, the governance configuration that makes it safe to deploy, the connector bindings that make it actionable. These configurations are reusable artifacts that should be composable, forkable, and discoverable. The community marketplace defined in Section 5 addresses this gap.</w:t>
      </w:r>
    </w:p>
    <w:p>
      <w:pPr>
        <w:pStyle w:val="Heading2"/>
        <w:spacing w:before="240" w:after="80" w:line="276" w:lineRule="auto"/>
      </w:pPr>
      <w:r>
        <w:rPr>
          <w:rFonts w:ascii="Arial" w:cs="Arial" w:eastAsia="Arial" w:hAnsi="Arial"/>
          <w:b/>
          <w:bCs/>
          <w:color w:val="2E75B6"/>
          <w:sz w:val="28"/>
          <w:szCs w:val="28"/>
        </w:rPr>
        <w:t xml:space="preserve">2.4 The Revenue Ceiling of Pure SaaS</w:t>
      </w:r>
    </w:p>
    <w:p>
      <w:pPr>
        <w:spacing w:before="0" w:after="200" w:line="276" w:lineRule="auto"/>
      </w:pPr>
      <w:r>
        <w:rPr>
          <w:rFonts w:ascii="Arial" w:cs="Arial" w:eastAsia="Arial" w:hAnsi="Arial"/>
          <w:color w:val="2C2C2C"/>
          <w:sz w:val="22"/>
          <w:szCs w:val="22"/>
        </w:rPr>
        <w:t xml:space="preserve">A subscription-only SaaS model has a linear revenue ceiling: revenue grows proportionally to user count, and user count grows at a rate bounded by marketing and sales capacity. An agent platform with hosted execution and a marketplace creates compounding revenue dynamics: the marketplace catalog grows as creators publish blueprints; each new blueprint attracts new users; each new user generates execution revenue and potentially becomes a creator. This compounding dynamic is structurally unavailable to a tool that provides only session continuity for individual engineers.</w:t>
      </w:r>
    </w:p>
    <w:p>
      <w:pPr>
        <w:pStyle w:val="Heading1"/>
        <w:pageBreakBefore/>
        <w:spacing w:before="360" w:after="120" w:line="276" w:lineRule="auto"/>
      </w:pPr>
      <w:r>
        <w:rPr>
          <w:rFonts w:ascii="Arial" w:cs="Arial" w:eastAsia="Arial" w:hAnsi="Arial"/>
          <w:b/>
          <w:bCs/>
          <w:color w:val="1B2A4A"/>
          <w:sz w:val="36"/>
          <w:szCs w:val="36"/>
        </w:rPr>
        <w:t xml:space="preserve">3. Agent Builder Hub Concept</w:t>
      </w:r>
    </w:p>
    <w:p>
      <w:pPr>
        <w:pStyle w:val="Heading2"/>
        <w:spacing w:before="240" w:after="80" w:line="276" w:lineRule="auto"/>
      </w:pPr>
      <w:r>
        <w:rPr>
          <w:rFonts w:ascii="Arial" w:cs="Arial" w:eastAsia="Arial" w:hAnsi="Arial"/>
          <w:b/>
          <w:bCs/>
          <w:color w:val="2E75B6"/>
          <w:sz w:val="28"/>
          <w:szCs w:val="28"/>
        </w:rPr>
        <w:t xml:space="preserve">3.1 Platform Evolution: Context Manager to Orchestration Hub</w:t>
      </w:r>
    </w:p>
    <w:p>
      <w:pPr>
        <w:spacing w:before="0" w:after="200" w:line="276" w:lineRule="auto"/>
      </w:pPr>
      <w:r>
        <w:rPr>
          <w:rFonts w:ascii="Arial" w:cs="Arial" w:eastAsia="Arial" w:hAnsi="Arial"/>
          <w:color w:val="2C2C2C"/>
          <w:sz w:val="22"/>
          <w:szCs w:val="22"/>
        </w:rPr>
        <w:t xml:space="preserve">ContextKeeper's current platform provides: AI session continuity across model switches, a 67-connector ecosystem for external service integration, a REST API with 19 endpoints, and the DEL-v2 governance protocol managing state machine transitions. These components are not a context management tool that has been expanded. They are the prerequisite infrastructure for an agent orchestration platform: state management enables agent persistence, connectors enable agent tool access, the governance protocol enables agent compliance, and the API enables programmatic agent invocation.</w:t>
      </w:r>
    </w:p>
    <w:p>
      <w:pPr>
        <w:spacing w:before="0" w:after="200" w:line="276" w:lineRule="auto"/>
      </w:pPr>
      <w:r>
        <w:rPr>
          <w:rFonts w:ascii="Arial" w:cs="Arial" w:eastAsia="Arial" w:hAnsi="Arial"/>
          <w:color w:val="2C2C2C"/>
          <w:sz w:val="22"/>
          <w:szCs w:val="22"/>
        </w:rPr>
        <w:t xml:space="preserve">The evolution to an agent orchestration hub requires three additions: a definition interface where users configure agents, an execution engine that runs agents under governance, and a marketplace where agent configurations are shared. All three additions are layered on top of existing infrastructure. No existing capability is replaced or restructured; the agent hub is an extension layer.</w:t>
      </w:r>
    </w:p>
    <w:p>
      <w:pPr>
        <w:pBdr>
          <w:left w:val="single" w:color="2E75B6" w:sz="6" w:space="8"/>
        </w:pBdr>
        <w:spacing w:before="120" w:after="120"/>
        <w:ind w:left="720"/>
      </w:pPr>
      <w:r>
        <w:rPr>
          <w:rFonts w:ascii="Arial" w:cs="Arial" w:eastAsia="Arial" w:hAnsi="Arial"/>
          <w:i/>
          <w:iCs/>
          <w:color w:val="555555"/>
          <w:sz w:val="22"/>
          <w:szCs w:val="22"/>
        </w:rPr>
        <w:t xml:space="preserve">The differentiator versus every other agent platform -- LangGraph, CrewAI, the Microsoft Agent Framework, the OpenAI Agents SDK, Google ADK, Zapier AI -- is deterministic governance applied as a first-class platform feature. Competing platforms offer execution models with varying degrees of observability. ContextKeeper offers formal state machines with SHA256-verified transitions, breach detection that halts on invariant violation, and cryptographic audit trails that prove what happened -- as a database-backed, connector-scoped, role-enforced system, not as a developer-configured add-on. That architecture is the enterprise compliance moat.</w:t>
      </w:r>
    </w:p>
    <w:p>
      <w:pPr>
        <w:pStyle w:val="Heading2"/>
        <w:spacing w:before="240" w:after="80" w:line="276" w:lineRule="auto"/>
      </w:pPr>
      <w:r>
        <w:rPr>
          <w:rFonts w:ascii="Arial" w:cs="Arial" w:eastAsia="Arial" w:hAnsi="Arial"/>
          <w:b/>
          <w:bCs/>
          <w:color w:val="2E75B6"/>
          <w:sz w:val="28"/>
          <w:szCs w:val="28"/>
        </w:rPr>
        <w:t xml:space="preserve">3.2 What an Agent Definition Contains</w:t>
      </w:r>
    </w:p>
    <w:p>
      <w:pPr>
        <w:spacing w:before="0" w:after="200" w:line="276" w:lineRule="auto"/>
      </w:pPr>
      <w:r>
        <w:rPr>
          <w:rFonts w:ascii="Arial" w:cs="Arial" w:eastAsia="Arial" w:hAnsi="Arial"/>
          <w:color w:val="2C2C2C"/>
          <w:sz w:val="22"/>
          <w:szCs w:val="22"/>
        </w:rPr>
        <w:t xml:space="preserve">An agent definition is the complete, persistent specification of an agent: its instructions, its tool access, its governance rules, its invocation mechanism, and its resource constraints. The definition is the unit of configuration; agent_runs records the execution history. Five categories of fields compose a complete agent definition.</w:t>
      </w:r>
    </w:p>
    <w:p>
      <w:pPr>
        <w:spacing w:before="0" w:after="200" w:line="276" w:lineRule="auto"/>
      </w:pPr>
      <w:r>
        <w:rPr>
          <w:rFonts w:ascii="Arial" w:cs="Arial" w:eastAsia="Arial" w:hAnsi="Arial"/>
          <w:color w:val="2C2C2C"/>
          <w:sz w:val="22"/>
          <w:szCs w:val="22"/>
        </w:rPr>
        <w:t xml:space="preserve">System prompt template: the agent's instructions, personality, and constraints. Supports template variables that resolve at runtime (for example, {{project_name}}, {{user_role}}, {{connector_name}}), allowing a single template to serve multiple contexts without modification. The system prompt is the primary determinant of agent behavior and the primary input for marketplace quality evaluation.</w:t>
      </w:r>
    </w:p>
    <w:p>
      <w:pPr>
        <w:spacing w:before="0" w:after="200" w:line="276" w:lineRule="auto"/>
      </w:pPr>
      <w:r>
        <w:rPr>
          <w:rFonts w:ascii="Arial" w:cs="Arial" w:eastAsia="Arial" w:hAnsi="Arial"/>
          <w:color w:val="2C2C2C"/>
          <w:sz w:val="22"/>
          <w:szCs w:val="22"/>
        </w:rPr>
        <w:t xml:space="preserve">Connector bindings: the set of external services the agent can access, stored in the agent_connectors junction table with a per-binding permission level (read, write, or read_write). An agent bound to a GitHub connector with read permission and a PostgreSQL connector with read_write permission can query the repository and read and write the database; it cannot write to the repository. Connector access outside the defined bindings is blocked at the execution engine level regardless of what the model requests.</w:t>
      </w:r>
    </w:p>
    <w:p>
      <w:pPr>
        <w:spacing w:before="0" w:after="200" w:line="276" w:lineRule="auto"/>
      </w:pPr>
      <w:r>
        <w:rPr>
          <w:rFonts w:ascii="Arial" w:cs="Arial" w:eastAsia="Arial" w:hAnsi="Arial"/>
          <w:color w:val="2C2C2C"/>
          <w:sz w:val="22"/>
          <w:szCs w:val="22"/>
        </w:rPr>
        <w:t xml:space="preserve">Governance configuration: the DEL-v2 state machine template (light, standard, or audited), specific gate conditions, the invariant set that must hold at each gate, and breach handling behavior. This configuration is what makes an agent deployable in a regulated environment; it is also the primary marketplace differentiation between a casual personal tool and a production enterprise agent.</w:t>
      </w:r>
    </w:p>
    <w:p>
      <w:pPr>
        <w:spacing w:before="0" w:after="200" w:line="276" w:lineRule="auto"/>
      </w:pPr>
      <w:r>
        <w:rPr>
          <w:rFonts w:ascii="Arial" w:cs="Arial" w:eastAsia="Arial" w:hAnsi="Arial"/>
          <w:color w:val="2C2C2C"/>
          <w:sz w:val="22"/>
          <w:szCs w:val="22"/>
        </w:rPr>
        <w:t xml:space="preserve">Execution triggers: the invocation mechanism (manual, API, webhook, or schedule), authentication requirements per trigger type, and cron expression for scheduled agents. The trigger type determines the entry point for execution and the authentication contract that external systems must satisfy.</w:t>
      </w:r>
    </w:p>
    <w:p>
      <w:pPr>
        <w:spacing w:before="0" w:after="200" w:line="276" w:lineRule="auto"/>
      </w:pPr>
      <w:r>
        <w:rPr>
          <w:rFonts w:ascii="Arial" w:cs="Arial" w:eastAsia="Arial" w:hAnsi="Arial"/>
          <w:color w:val="2C2C2C"/>
          <w:sz w:val="22"/>
          <w:szCs w:val="22"/>
        </w:rPr>
        <w:t xml:space="preserve">Resource constraints: the maximum token count and maximum USD cost per execution run. When a run approaches its token or cost budget, the execution engine pauses and presents the user with continuation, model switch, or abort options. These constraints integrate directly with the token tracking infrastructure (WP-003, Section 3.4).</w:t>
      </w:r>
    </w:p>
    <w:p>
      <w:pPr>
        <w:pStyle w:val="Heading2"/>
        <w:spacing w:before="240" w:after="80" w:line="276" w:lineRule="auto"/>
      </w:pPr>
      <w:r>
        <w:rPr>
          <w:rFonts w:ascii="Arial" w:cs="Arial" w:eastAsia="Arial" w:hAnsi="Arial"/>
          <w:b/>
          <w:bCs/>
          <w:color w:val="2E75B6"/>
          <w:sz w:val="28"/>
          <w:szCs w:val="28"/>
        </w:rPr>
        <w:t xml:space="preserve">3.3 Agent Definition Schema</w:t>
      </w:r>
    </w:p>
    <w:p>
      <w:pPr>
        <w:spacing w:before="0" w:after="200" w:line="276" w:lineRule="auto"/>
      </w:pPr>
      <w:r>
        <w:rPr>
          <w:rFonts w:ascii="Arial" w:cs="Arial" w:eastAsia="Arial" w:hAnsi="Arial"/>
          <w:color w:val="2C2C2C"/>
          <w:sz w:val="22"/>
          <w:szCs w:val="22"/>
        </w:rPr>
        <w:t xml:space="preserve">Table 1 defines the complete schema for the agents table with field-level specifications.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 and Values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name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VARCHAR(255), required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Human-readable agent identifier displayed in the dashboard and marketplace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purpose and intended use case; displayed in marketplace listings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system_prompt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required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agent's instructions, personality, and constraints; supports template variables resolving at runtime (e.g., {{project_name}}, {{user_role}})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governance_template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VARCHAR(50), default 'standard'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Selects the DEL-v2 state machine template: 'standard' (full 10-state), 'light' (state tracking only), or 'audited' (full gates plus SHA verification)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governance_config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JSON, optional</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Override configuration for specific gate conditions, invariant sets, and breach handling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 manual, api, webhook, schedule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the agent is invoked; determines the execution entry point and authentication requirements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schedule_cron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VARCHAR(100), nullable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Cron expression for scheduled triggers; null for non-scheduled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token_budget_per_run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tokens allowed per execution run; null means no per-run limit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cost_budget_per_run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DECIMAL(10,4), nullable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allowed per execution run; null means no per-run cost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is_public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the agent definition is visible in the community marketplace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status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 draft, active, paused, archived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Lifecycle state of the agent definition; only active agents can be triggered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3.4 Agent Database Schema</w:t>
      </w:r>
    </w:p>
    <w:p>
      <w:pPr>
        <w:spacing w:before="0" w:after="200" w:line="276" w:lineRule="auto"/>
      </w:pPr>
      <w:r>
        <w:rPr>
          <w:rFonts w:ascii="Arial" w:cs="Arial" w:eastAsia="Arial" w:hAnsi="Arial"/>
          <w:color w:val="2C2C2C"/>
          <w:sz w:val="22"/>
          <w:szCs w:val="22"/>
        </w:rPr>
        <w:t xml:space="preserve">Four tables implement the agent data model. Table 2 defines each table with its key fields and purpose.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Fields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 user_id, name, system_prompt, governance_template, governance_config, trigger_type, schedule_cron, token_budget_per_run, cost_budget_per_run, is_public, status, runs_count, total_tokens_used, created_at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Stores the complete agent definition; references users table; tracks aggregate execution metrics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agent_connectors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 agent_id, connector_id, permissions (read/write/read_write)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Junction table binding connectors to agents with per-binding permission level; agent can only access its bound connectors during execution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agent_runs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 agent_id, triggered_by, model_used, del_v2_state, input_tokens, output_tokens, total_cost_usd, decisions_made, invariants_checked, breaches, status, error_message, started_at, completed_at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every execution run with full metrics; links to agent; status includes pending, running, completed, failed, breached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agent_templates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 agent_id, author_id, name, description, category, tags, is_premium, price_usd, forks_count, uses_count, avg_rating, created_at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listing for a published agent blueprint; references both the agent definition and the publishing user</w:t>
            </w:r>
          </w:p>
        </w:tc>
      </w:tr>
    </w:tbl>
    <w:p>
      <w:pPr>
        <w:spacing w:before="120" w:after="0"/>
      </w:pPr>
    </w:p>
    <w:p>
      <w:pPr>
        <w:spacing w:before="0" w:after="200" w:line="276" w:lineRule="auto"/>
      </w:pPr>
      <w:r>
        <w:rPr>
          <w:rFonts w:ascii="Arial" w:cs="Arial" w:eastAsia="Arial" w:hAnsi="Arial"/>
          <w:color w:val="2C2C2C"/>
          <w:sz w:val="22"/>
          <w:szCs w:val="22"/>
        </w:rPr>
        <w:t xml:space="preserve">The agents table is the authoritative definition store. The agent_connectors junction table implements the connector binding architecture with permission-level enforcement. The agent_runs table is the primary audit trail: every execution instance creates a row, and the row accumulates state as the run progresses, enabling both real-time monitoring and historical compliance reporting. The agent_templates table is the marketplace layer, extending the agent definition with discovery metadata (category, tags) and commercial metadata (is_premium, price_usd).</w:t>
      </w:r>
    </w:p>
    <w:p>
      <w:pPr>
        <w:spacing w:before="0" w:after="200" w:line="276" w:lineRule="auto"/>
      </w:pPr>
      <w:r>
        <w:rPr>
          <w:rFonts w:ascii="Arial" w:cs="Arial" w:eastAsia="Arial" w:hAnsi="Arial"/>
          <w:color w:val="2C2C2C"/>
          <w:sz w:val="22"/>
          <w:szCs w:val="22"/>
        </w:rPr>
        <w:t xml:space="preserve">These four tables extend the existing seven-table platform schema (users, projects, sessions_log, decisions, invariants, connectors, usage_log) and the token tracking tables defined in WP-003, Section 3.3. The full post-agent-hub schema totals 17 tables (7 existing + 6 token and planning tables from WP-003 + 4 agent tables from this paper).</w:t>
      </w:r>
    </w:p>
    <w:p>
      <w:pPr>
        <w:pStyle w:val="Heading2"/>
        <w:spacing w:before="240" w:after="80" w:line="276" w:lineRule="auto"/>
      </w:pPr>
      <w:r>
        <w:rPr>
          <w:rFonts w:ascii="Arial" w:cs="Arial" w:eastAsia="Arial" w:hAnsi="Arial"/>
          <w:b/>
          <w:bCs/>
          <w:color w:val="2E75B6"/>
          <w:sz w:val="28"/>
          <w:szCs w:val="28"/>
        </w:rPr>
        <w:t xml:space="preserve">3.5 Agent Versioning</w:t>
      </w:r>
    </w:p>
    <w:p>
      <w:pPr>
        <w:spacing w:before="0" w:after="200" w:line="276" w:lineRule="auto"/>
      </w:pPr>
      <w:r>
        <w:rPr>
          <w:rFonts w:ascii="Arial" w:cs="Arial" w:eastAsia="Arial" w:hAnsi="Arial"/>
          <w:color w:val="2C2C2C"/>
          <w:sz w:val="22"/>
          <w:szCs w:val="22"/>
        </w:rPr>
        <w:t xml:space="preserve">Every modification to an agent definition produces a new version record rather than overwriting the existing record in place. The agent_versions table stores the complete agent definition snapshot at each version: agent_id (foreign key), version_number (monotonically increasing integer per agent), the full system_prompt, governance_config, and trigger_type values at that version, a change_summary field describing what changed, and created_at timestamp. The agents table continues to store the current active definition; agent_versions stores the history.</w:t>
      </w:r>
    </w:p>
    <w:p>
      <w:pPr>
        <w:spacing w:before="0" w:after="200" w:line="276" w:lineRule="auto"/>
      </w:pPr>
      <w:r>
        <w:rPr>
          <w:rFonts w:ascii="Arial" w:cs="Arial" w:eastAsia="Arial" w:hAnsi="Arial"/>
          <w:color w:val="2C2C2C"/>
          <w:sz w:val="22"/>
          <w:szCs w:val="22"/>
        </w:rPr>
        <w:t xml:space="preserve">Version activation is explicit: the operator selects a specific version to activate, which copies that version's fields into the agents table and records the activation event. This makes rollback a first-class operation rather than a manual database edit. A rollback from version 7 to version 5 requires one operator action and produces an audit record: 'Agent definition rolled back from v7 to v5 by [operator] at [timestamp] with reason: [operator-provided reason].'</w:t>
      </w:r>
    </w:p>
    <w:p>
      <w:pPr>
        <w:spacing w:before="0" w:after="200" w:line="276" w:lineRule="auto"/>
      </w:pPr>
      <w:r>
        <w:rPr>
          <w:rFonts w:ascii="Arial" w:cs="Arial" w:eastAsia="Arial" w:hAnsi="Arial"/>
          <w:color w:val="2C2C2C"/>
          <w:sz w:val="22"/>
          <w:szCs w:val="22"/>
        </w:rPr>
        <w:t xml:space="preserve">Agent diffs are computed between any two version records and rendered in the agent management UI: fields that changed are highlighted, with before and after values shown side by side. This is the semantic diff capability at the agent definition level: a data engineer reviewing a colleague's agent modification sees exactly which invariants were added, which connector permissions were changed, and whether the governance mode was altered, without reading raw JSON.</w:t>
      </w:r>
    </w:p>
    <w:p>
      <w:pPr>
        <w:spacing w:before="0" w:after="200" w:line="276" w:lineRule="auto"/>
      </w:pPr>
      <w:r>
        <w:rPr>
          <w:rFonts w:ascii="Arial" w:cs="Arial" w:eastAsia="Arial" w:hAnsi="Arial"/>
          <w:color w:val="2C2C2C"/>
          <w:sz w:val="22"/>
          <w:szCs w:val="22"/>
        </w:rPr>
        <w:t xml:space="preserve">Version history is immutable: versions are never deleted. An agent with 20 versions has 20 permanently accessible historical snapshots. This immutability property is required for the audited governance mode (Section 4.4) where regulators may need to verify exactly what configuration was active during a specific run. The agent_runs table already records which agent_id produced each run; adding a version_number foreign key to agent_runs links each run permanently to the exact definition version that governed it.</w:t>
      </w:r>
    </w:p>
    <w:p>
      <w:pPr>
        <w:pStyle w:val="Heading2"/>
        <w:spacing w:before="240" w:after="80" w:line="276" w:lineRule="auto"/>
      </w:pPr>
      <w:r>
        <w:rPr>
          <w:rFonts w:ascii="Arial" w:cs="Arial" w:eastAsia="Arial" w:hAnsi="Arial"/>
          <w:b/>
          <w:bCs/>
          <w:color w:val="2E75B6"/>
          <w:sz w:val="28"/>
          <w:szCs w:val="28"/>
        </w:rPr>
        <w:t xml:space="preserve">3.6 Prompt A/B Testing</w:t>
      </w:r>
    </w:p>
    <w:p>
      <w:pPr>
        <w:spacing w:before="0" w:after="200" w:line="276" w:lineRule="auto"/>
      </w:pPr>
      <w:r>
        <w:rPr>
          <w:rFonts w:ascii="Arial" w:cs="Arial" w:eastAsia="Arial" w:hAnsi="Arial"/>
          <w:color w:val="2C2C2C"/>
          <w:sz w:val="22"/>
          <w:szCs w:val="22"/>
        </w:rPr>
        <w:t xml:space="preserve">Prompt A/B testing is the mechanism by which two or more system prompt variants for the same agent are evaluated against each other under controlled conditions, with governance enforcement applied identically to both variants, and winner selection based on objective outcome metrics rather than developer intuition. It addresses a structural deficiency of agent development without formal experimentation: without A/B testing, prompt changes are either applied speculatively to production (risking governance degradation) or evaluated manually in ad-hoc sessions (producing non-reproducible results that cannot be compared across variants). ContextKeeper's A/B testing framework embeds the experiment within the governance structure, ensuring that governance quality -- measured by gate pass rate, breach frequency, and invariant stability -- is a first-class evaluation criterion alongside task performance.</w:t>
      </w:r>
    </w:p>
    <w:p>
      <w:pPr>
        <w:spacing w:before="0" w:after="200" w:line="276" w:lineRule="auto"/>
      </w:pPr>
      <w:r>
        <w:rPr>
          <w:rFonts w:ascii="Arial" w:cs="Arial" w:eastAsia="Arial" w:hAnsi="Arial"/>
          <w:color w:val="2C2C2C"/>
          <w:sz w:val="22"/>
          <w:szCs w:val="22"/>
        </w:rPr>
        <w:t xml:space="preserve">The agent_ab_tests table stores the experiment configuration. The schema is: id (primary key), agent_id (foreign key, the base agent under test), name (VARCHAR(255), human-readable experiment name), status (ENUM: draft, running, paused, completed, archived), variant_a_prompt_version (INTEGER, references agent_versions.version_number), variant_b_prompt_version (INTEGER, references agent_versions.version_number), traffic_split (DECIMAL(3,2), fraction of runs routed to variant B, range 0.01 to 0.99, default 0.50), min_runs_per_variant (INTEGER, minimum run count required before statistical significance is evaluated, default 30), significance_threshold (DECIMAL(4,3), required p-value to declare a winner, default 0.050), primary_metric (ENUM: gate_pass_rate, breach_rate, task_completion_rate, output_quality_score), started_at (TIMESTAMP), completed_at (TIMESTAMP), winner_variant (ENUM: A, B, null when undecided), operator_notes (TEXT).</w:t>
      </w:r>
    </w:p>
    <w:p>
      <w:pPr>
        <w:pBdr>
          <w:left w:val="single" w:color="2E75B6" w:sz="6" w:space="8"/>
        </w:pBdr>
        <w:spacing w:before="120" w:after="120"/>
        <w:ind w:left="720"/>
      </w:pPr>
      <w:r>
        <w:rPr>
          <w:rFonts w:ascii="Arial" w:cs="Arial" w:eastAsia="Arial" w:hAnsi="Arial"/>
          <w:i/>
          <w:iCs/>
          <w:color w:val="555555"/>
          <w:sz w:val="22"/>
          <w:szCs w:val="22"/>
        </w:rPr>
        <w:t xml:space="preserve">Governance quality is a non-negotiable evaluation criterion in every A/B test. A variant that achieves higher task completion rate by relaxing invariant enforcement is not a better variant -- it is a governance regression. The A/B testing framework enforces this by requiring that the winning variant not increase breach_rate or decrease gate_pass_rate relative to the control variant. A variant that wins on primary metric but loses on governance metrics is reported as inconclusive, not as a winner.</w:t>
      </w:r>
    </w:p>
    <w:p>
      <w:pPr>
        <w:spacing w:before="0" w:after="200" w:line="276" w:lineRule="auto"/>
      </w:pPr>
      <w:r>
        <w:rPr>
          <w:rFonts w:ascii="Arial" w:cs="Arial" w:eastAsia="Arial" w:hAnsi="Arial"/>
          <w:color w:val="2C2C2C"/>
          <w:sz w:val="22"/>
          <w:szCs w:val="22"/>
        </w:rPr>
        <w:t xml:space="preserve">Traffic routing during an active experiment uses a deterministic hash of the run's request identifier modulo 100 to assign each run to variant A or B according to the traffic_split. This approach is deterministic -- the same request always routes to the same variant -- which prevents the same run from being counted in both variants and ensures reproducibility of the routing assignment. Statistical significance is evaluated after each run once min_runs_per_variant is satisfied. The evaluation uses a two-proportion z-test for rate metrics and a Welch's t-test for continuous metrics. The z-statistic for two-proportion comparison is: z = (p_A - p_B) / sqrt(p_pooled * (1 - p_pooled) * (1/n_A + 1/n_B)), where p_pooled = (successes_A + successes_B) / (n_A + n_B). When the computed p-value falls below significance_threshold on the primary_metric, the experiment is flagged for operator review. The system never auto-promotes a winning variant to production; the operator activates the winning version explicitly.</w:t>
      </w:r>
    </w:p>
    <w:p>
      <w:pPr>
        <w:pStyle w:val="Heading2"/>
        <w:spacing w:before="240" w:after="80" w:line="276" w:lineRule="auto"/>
      </w:pPr>
      <w:r>
        <w:rPr>
          <w:rFonts w:ascii="Arial" w:cs="Arial" w:eastAsia="Arial" w:hAnsi="Arial"/>
          <w:b/>
          <w:bCs/>
          <w:color w:val="2E75B6"/>
          <w:sz w:val="28"/>
          <w:szCs w:val="28"/>
        </w:rPr>
        <w:t xml:space="preserve">3.7 Prompt Versioning</w:t>
      </w:r>
    </w:p>
    <w:p>
      <w:pPr>
        <w:spacing w:before="0" w:after="200" w:line="276" w:lineRule="auto"/>
      </w:pPr>
      <w:r>
        <w:rPr>
          <w:rFonts w:ascii="Arial" w:cs="Arial" w:eastAsia="Arial" w:hAnsi="Arial"/>
          <w:color w:val="2C2C2C"/>
          <w:sz w:val="22"/>
          <w:szCs w:val="22"/>
        </w:rPr>
        <w:t xml:space="preserve">Prompt versioning is the extension of the agent versioning mechanism (Section 3.5) to the level of the system prompt text itself. While agent versioning tracks the complete agent definition snapshot, prompt versioning provides a finer-grained history specifically of system prompt evolution: a dedicated record for each distinct prompt text that has been associated with the agent, independent of other definition changes. This distinction matters because system prompt changes are the most frequent and highest-risk modifications in agent development.</w:t>
      </w:r>
    </w:p>
    <w:p>
      <w:pPr>
        <w:spacing w:before="0" w:after="200" w:line="276" w:lineRule="auto"/>
      </w:pPr>
      <w:r>
        <w:rPr>
          <w:rFonts w:ascii="Arial" w:cs="Arial" w:eastAsia="Arial" w:hAnsi="Arial"/>
          <w:color w:val="2C2C2C"/>
          <w:sz w:val="22"/>
          <w:szCs w:val="22"/>
        </w:rPr>
        <w:t xml:space="preserve">The prompt_versions table stores each distinct system prompt with its evaluation history. The schema is: id (primary key), agent_id (foreign key), prompt_text (TEXT, the full system prompt), prompt_hash (VARCHAR(64), SHA-256 of the prompt text for deduplication and integrity verification), version_label (VARCHAR(100), operator-assigned label such as 'v3-stricter-pii-guard'), created_at (TIMESTAMP), created_by (VARCHAR(255), operator identifier), total_runs (INTEGER), gate_pass_rate (DECIMAL(5,4), rolling rate computed across all runs using this prompt), breach_count (INTEGER, cumulative breaches across all runs), mean_tokens_per_run (DECIMAL(10,2), rolling mean), status (ENUM: active, retired, experimental). The prompt_hash field serves two purposes: deduplication (attempting to save a prompt that already exists for this agent returns the existing record rather than creating a duplicate) and integrity verification.</w:t>
      </w:r>
    </w:p>
    <w:p>
      <w:pPr>
        <w:spacing w:before="0" w:after="200" w:line="276" w:lineRule="auto"/>
      </w:pPr>
      <w:r>
        <w:rPr>
          <w:rFonts w:ascii="Arial" w:cs="Arial" w:eastAsia="Arial" w:hAnsi="Arial"/>
          <w:color w:val="2C2C2C"/>
          <w:sz w:val="22"/>
          <w:szCs w:val="22"/>
        </w:rPr>
        <w:t xml:space="preserve">The rolling metrics on prompt_versions accumulate across all runs using that prompt regardless of when they occurred. This produces a lifetime performance record for each prompt that survives agent version changes. An operator who reverts to a prompt used six months and 400 runs ago can immediately see that prompt's historical gate_pass_rate (0.94) and breach_count (3) before deciding whether to reactivate it. This historical governance intelligence is structurally unavailable in agent frameworks that overwrite the system prompt rather than versioning it.</w:t>
      </w:r>
    </w:p>
    <w:p>
      <w:pPr>
        <w:pStyle w:val="Heading1"/>
        <w:pageBreakBefore/>
        <w:spacing w:before="360" w:after="120" w:line="276" w:lineRule="auto"/>
      </w:pPr>
      <w:r>
        <w:rPr>
          <w:rFonts w:ascii="Arial" w:cs="Arial" w:eastAsia="Arial" w:hAnsi="Arial"/>
          <w:b/>
          <w:bCs/>
          <w:color w:val="1B2A4A"/>
          <w:sz w:val="36"/>
          <w:szCs w:val="36"/>
        </w:rPr>
        <w:t xml:space="preserve">4. Agent Execution Engine</w:t>
      </w:r>
    </w:p>
    <w:p>
      <w:pPr>
        <w:spacing w:before="0" w:after="200" w:line="276" w:lineRule="auto"/>
      </w:pPr>
      <w:r>
        <w:rPr>
          <w:rFonts w:ascii="Arial" w:cs="Arial" w:eastAsia="Arial" w:hAnsi="Arial"/>
          <w:color w:val="2C2C2C"/>
          <w:sz w:val="22"/>
          <w:szCs w:val="22"/>
        </w:rPr>
        <w:t xml:space="preserve">The Agent Execution Engine is the server-side runtime that loads an agent definition, enforces the DEL-v2 governance loop throughout the run, dispatches inference calls through the token tracking proxy, executes connector operations within permission bounds, and writes a complete audit trail to the platform database. It is an eight-component system designed for correctness over throughput: every component has a defined failure mode and every failure is logged before the error propagates.</w:t>
      </w:r>
    </w:p>
    <w:p>
      <w:pPr>
        <w:pStyle w:val="Heading2"/>
        <w:spacing w:before="240" w:after="80" w:line="276" w:lineRule="auto"/>
      </w:pPr>
      <w:r>
        <w:rPr>
          <w:rFonts w:ascii="Arial" w:cs="Arial" w:eastAsia="Arial" w:hAnsi="Arial"/>
          <w:b/>
          <w:bCs/>
          <w:color w:val="2E75B6"/>
          <w:sz w:val="28"/>
          <w:szCs w:val="28"/>
        </w:rPr>
        <w:t xml:space="preserve">4.1 Execution Engine Architecture</w:t>
      </w:r>
    </w:p>
    <w:p>
      <w:pPr>
        <w:spacing w:before="0" w:after="200" w:line="276" w:lineRule="auto"/>
      </w:pPr>
      <w:r>
        <w:rPr>
          <w:rFonts w:ascii="Arial" w:cs="Arial" w:eastAsia="Arial" w:hAnsi="Arial"/>
          <w:color w:val="2C2C2C"/>
          <w:sz w:val="22"/>
          <w:szCs w:val="22"/>
        </w:rPr>
        <w:t xml:space="preserve">Table 3 defines all eight components of the execution engine with their responsibilities and integration 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Engine 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Responsibility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 Point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 Dispatcher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Receives invocation from manual, API, webhook, or schedule source; validates authentication; creates agent_runs record with status=pending</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Entry point for all trigger types; writes initial agent_runs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Config Loader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Reads agent definition from agents table; loads connector bindings from agent_connectors; resolves governance template to concrete DEL-v2 config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Reads agents and agent_connectors; resolves governance_template to state machine parameters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State Machine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Enforces the 10-state task lifecycle for the execution run; validates transitions; logs every state change; triggers PROTOCOL_BREACH on invariant violation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Implements WP-001 state machine at run granularity; writes state changes to agent_runs.del_v2_state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Dispatcher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Selects model per agent config or user preference; routes request through TokenMeter.php proxy; appends connector context to prompt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Calls TokenMeter.php for token logging (WP-003, Section 3.2.2); uses Model Router (WP-003, Section 5.1.2)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Executor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Resolves tool calls in model output to bound connector operations; enforces permission level (read vs write) per agent_connectors binding</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Calls ConnectorInterface.php methods; checks agent_connectors.permissions before executing write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Evaluator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Checks gate conditions at configured transition points; evaluates invariant assertions against current state; triggers breach on failure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Implements delivery contract gate logic (WP-002, Section 3.2); writes gate results to agent_runs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Logger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every decision, state transition, invariant check, and connector call to the platform database with timestamps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Writes to decisions, agent_runs, and sessions_log tables; produces the compliance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Breach 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 PROTOCOL_BREACH: halts all execution, records breach details, notifies user via configured alert channel, prevents further runs until operator resolves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Sets agent_runs.status=breached; sets agents.status=paused; triggers alert delivery system</w:t>
            </w:r>
          </w:p>
        </w:tc>
      </w:tr>
    </w:tbl>
    <w:p>
      <w:pPr>
        <w:spacing w:before="120" w:after="0"/>
      </w:pPr>
    </w:p>
    <w:p>
      <w:pPr>
        <w:spacing w:before="0" w:after="200" w:line="276" w:lineRule="auto"/>
      </w:pPr>
      <w:r>
        <w:rPr>
          <w:rFonts w:ascii="Arial" w:cs="Arial" w:eastAsia="Arial" w:hAnsi="Arial"/>
          <w:color w:val="2C2C2C"/>
          <w:sz w:val="22"/>
          <w:szCs w:val="22"/>
        </w:rPr>
        <w:t xml:space="preserve">The execution engine is sequential within a single run: components execute in the order listed in Table 3 for each invocation. The Trigger Dispatcher creates the agent_runs record and passes control to the Config Loader, which resolves the full agent definition. The DEL-v2 State Machine instance is initialized for the run, transitions through UNINITIATED to ACTIVE_DEVELOPMENT, and governs all subsequent state changes. The LLM Dispatcher and Connector Executor operate in alternating cycles as the model produces tool calls and receives connector responses. The Gate Evaluator runs at configured transition points, and the Audit Logger writes continuously throughout.</w:t>
      </w:r>
    </w:p>
    <w:p>
      <w:pPr>
        <w:pStyle w:val="Heading2"/>
        <w:spacing w:before="240" w:after="80" w:line="276" w:lineRule="auto"/>
      </w:pPr>
      <w:r>
        <w:rPr>
          <w:rFonts w:ascii="Arial" w:cs="Arial" w:eastAsia="Arial" w:hAnsi="Arial"/>
          <w:b/>
          <w:bCs/>
          <w:color w:val="2E75B6"/>
          <w:sz w:val="28"/>
          <w:szCs w:val="28"/>
        </w:rPr>
        <w:t xml:space="preserve">4.2 Trigger System</w:t>
      </w:r>
    </w:p>
    <w:p>
      <w:pPr>
        <w:spacing w:before="0" w:after="200" w:line="276" w:lineRule="auto"/>
      </w:pPr>
      <w:r>
        <w:rPr>
          <w:rFonts w:ascii="Arial" w:cs="Arial" w:eastAsia="Arial" w:hAnsi="Arial"/>
          <w:color w:val="2C2C2C"/>
          <w:sz w:val="22"/>
          <w:szCs w:val="22"/>
        </w:rPr>
        <w:t xml:space="preserve">Four trigger types are supported. Table 4 defines each trigger with its invocation mechanism, authentication requirement, and primary use 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Invocation Mechanism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 Case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clicks 'Run' in the agent dashboard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session authentication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Interactive testing, on-demand execution, and supervised runs requiring human oversight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 system sends a POST request to the agent's API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Agent-scoped API key in Authorization header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CI/CD pipeline integration, programmatic orchestration, and service-to-service triggers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webhook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receives an event payload from an external service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Webhook secret signature verification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Event-driven execution triggered by GitHub pushes, Stripe events, database changes, or any HTTP-capable event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cron runner invokes the agent at the defined 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Internal platform scheduling; no external authentication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data pipelines, monitoring agents, report generation, and periodic compliance checks</w:t>
            </w:r>
          </w:p>
        </w:tc>
      </w:tr>
    </w:tbl>
    <w:p>
      <w:pPr>
        <w:spacing w:before="120" w:after="0"/>
      </w:pPr>
    </w:p>
    <w:p>
      <w:pPr>
        <w:spacing w:before="0" w:after="200" w:line="276" w:lineRule="auto"/>
      </w:pPr>
      <w:r>
        <w:rPr>
          <w:rFonts w:ascii="Arial" w:cs="Arial" w:eastAsia="Arial" w:hAnsi="Arial"/>
          <w:color w:val="2C2C2C"/>
          <w:sz w:val="22"/>
          <w:szCs w:val="22"/>
        </w:rPr>
        <w:t xml:space="preserve">The trigger system is designed for composability: a single agent definition can support multiple trigger types simultaneously. An agent that monitors a PostgreSQL database for anomalous records might run on a schedule (hourly check) and also support a webhook trigger (immediate run when an external system detects a specific condition) and a manual trigger (for supervised one-off runs during investigation).</w:t>
      </w:r>
    </w:p>
    <w:p>
      <w:pPr>
        <w:pStyle w:val="Heading2"/>
        <w:spacing w:before="240" w:after="80" w:line="276" w:lineRule="auto"/>
      </w:pPr>
      <w:r>
        <w:rPr>
          <w:rFonts w:ascii="Arial" w:cs="Arial" w:eastAsia="Arial" w:hAnsi="Arial"/>
          <w:b/>
          <w:bCs/>
          <w:color w:val="2E75B6"/>
          <w:sz w:val="28"/>
          <w:szCs w:val="28"/>
        </w:rPr>
        <w:t xml:space="preserve">4.3 DEL-v2 Governance at Execution Granularity</w:t>
      </w:r>
    </w:p>
    <w:p>
      <w:pPr>
        <w:spacing w:before="0" w:after="200" w:line="276" w:lineRule="auto"/>
      </w:pPr>
      <w:r>
        <w:rPr>
          <w:rFonts w:ascii="Arial" w:cs="Arial" w:eastAsia="Arial" w:hAnsi="Arial"/>
          <w:color w:val="2C2C2C"/>
          <w:sz w:val="22"/>
          <w:szCs w:val="22"/>
        </w:rPr>
        <w:t xml:space="preserve">Every agent run is a DEL-v2 state machine instance. The 10-state lifecycle (WP-001, Section 4) applies at the run level: the run begins at UNINITIATED, transitions through ACTIVE_DEVELOPMENT as the agent executes, reaches AWAITING_GATE at configured checkpoints, and advances to COMPLETED or FAILED based on gate results. The full transition sequence is identical to the project-level DEL-v2 lifecycle; the scope is narrowed to a single agent execution run rather than a multi-session engineering project.</w:t>
      </w:r>
    </w:p>
    <w:p>
      <w:pPr>
        <w:spacing w:before="0" w:after="200" w:line="276" w:lineRule="auto"/>
      </w:pPr>
      <w:r>
        <w:rPr>
          <w:rFonts w:ascii="Arial" w:cs="Arial" w:eastAsia="Arial" w:hAnsi="Arial"/>
          <w:color w:val="2C2C2C"/>
          <w:sz w:val="22"/>
          <w:szCs w:val="22"/>
        </w:rPr>
        <w:t xml:space="preserve">Gate conditions for agent runs are specified in the agent's governance_config. Examples: 'the output must not contain PII' (verified by a regex or classification check), 'the connector write must produce a confirmation response' (verified by checking the connector's return value), 'the model's stated confidence must exceed 0.8' (verified by parsing the model's structured output). Gates can be defined as pre-conditions (must hold before a step executes), post-conditions (must hold after a step completes), or invariants (must hold throughout the entire run).</w:t>
      </w:r>
    </w:p>
    <w:p>
      <w:pPr>
        <w:spacing w:before="0" w:after="200" w:line="276" w:lineRule="auto"/>
      </w:pPr>
      <w:r>
        <w:rPr>
          <w:rFonts w:ascii="Arial" w:cs="Arial" w:eastAsia="Arial" w:hAnsi="Arial"/>
          <w:color w:val="2C2C2C"/>
          <w:sz w:val="22"/>
          <w:szCs w:val="22"/>
        </w:rPr>
        <w:t xml:space="preserve">The DEL-v2 state machine for agent runs does not require human-in-the-loop validation at every transition by default. The AWAITING_MANUAL_VALIDATION state (WP-001, Section 4) is activated only for agents configured with requires_human_validation=true for specific gate conditions. This configuration is appropriate for agents that take consequential irreversible actions (database deletions, financial transactions, production deployments) where a human must confirm before the action executes.</w:t>
      </w:r>
    </w:p>
    <w:p>
      <w:pPr>
        <w:pStyle w:val="Heading2"/>
        <w:spacing w:before="240" w:after="80" w:line="276" w:lineRule="auto"/>
      </w:pPr>
      <w:r>
        <w:rPr>
          <w:rFonts w:ascii="Arial" w:cs="Arial" w:eastAsia="Arial" w:hAnsi="Arial"/>
          <w:b/>
          <w:bCs/>
          <w:color w:val="2E75B6"/>
          <w:sz w:val="28"/>
          <w:szCs w:val="28"/>
        </w:rPr>
        <w:t xml:space="preserve">4.4 Governance Modes</w:t>
      </w:r>
    </w:p>
    <w:p>
      <w:pPr>
        <w:spacing w:before="0" w:after="200" w:line="276" w:lineRule="auto"/>
      </w:pPr>
      <w:r>
        <w:rPr>
          <w:rFonts w:ascii="Arial" w:cs="Arial" w:eastAsia="Arial" w:hAnsi="Arial"/>
          <w:color w:val="2C2C2C"/>
          <w:sz w:val="22"/>
          <w:szCs w:val="22"/>
        </w:rPr>
        <w:t xml:space="preserve">Three governance modes are available, selected via the governance_template field. Table 5 defines each mode, what it enforces, and when it is appropriate.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Is Enforced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Appropriate For</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light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state tracking and decision logging only; no gate conditions; no invariant assertions; no SHA verification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Exploratory agents, personal productivity tools, and low-stakes automation where audit trail is desired but enforcement overhead is not justified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DEL-v2 10-state lifecycle; configurable gate conditions at task boundaries; invariant assertions evaluated at each gate; breach detection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agents handling external data, API integrations, or decisions with downstream consequences; the default for all new agents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audited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 mode plus SHA256-verified state transitions (WP-001, Section 9); cryptographic audit trail stored in MANIFEST records; reproducibility contract fields captured per run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Regulated industry deployments; agents handling financial, medical, or legal data; enterprise compliance reporting requirements</w:t>
            </w:r>
          </w:p>
        </w:tc>
      </w:tr>
    </w:tbl>
    <w:p>
      <w:pPr>
        <w:spacing w:before="120" w:after="0"/>
      </w:pPr>
    </w:p>
    <w:p>
      <w:pPr>
        <w:pBdr>
          <w:left w:val="single" w:color="2E75B6" w:sz="6" w:space="8"/>
        </w:pBdr>
        <w:spacing w:before="120" w:after="120"/>
        <w:ind w:left="720"/>
      </w:pPr>
      <w:r>
        <w:rPr>
          <w:rFonts w:ascii="Arial" w:cs="Arial" w:eastAsia="Arial" w:hAnsi="Arial"/>
          <w:i/>
          <w:iCs/>
          <w:color w:val="555555"/>
          <w:sz w:val="22"/>
          <w:szCs w:val="22"/>
        </w:rPr>
        <w:t xml:space="preserve">Governance mode selection is an architectural decision with compliance implications. An agent handling financial transaction data that uses light mode instead of audited mode creates an unacceptable audit gap for any regulated financial institution. The governance_template field makes this decision explicit and auditable: the agent definition records which enforcement level was applied to each run, and that record is immutable.</w:t>
      </w:r>
    </w:p>
    <w:p>
      <w:pPr>
        <w:pStyle w:val="Heading2"/>
        <w:spacing w:before="240" w:after="80" w:line="276" w:lineRule="auto"/>
      </w:pPr>
      <w:r>
        <w:rPr>
          <w:rFonts w:ascii="Arial" w:cs="Arial" w:eastAsia="Arial" w:hAnsi="Arial"/>
          <w:b/>
          <w:bCs/>
          <w:color w:val="2E75B6"/>
          <w:sz w:val="28"/>
          <w:szCs w:val="28"/>
        </w:rPr>
        <w:t xml:space="preserve">4.4.1 Test Sandbox Specification</w:t>
      </w:r>
    </w:p>
    <w:p>
      <w:pPr>
        <w:spacing w:before="0" w:after="200" w:line="276" w:lineRule="auto"/>
      </w:pPr>
      <w:r>
        <w:rPr>
          <w:rFonts w:ascii="Arial" w:cs="Arial" w:eastAsia="Arial" w:hAnsi="Arial"/>
          <w:color w:val="2C2C2C"/>
          <w:sz w:val="22"/>
          <w:szCs w:val="22"/>
        </w:rPr>
        <w:t xml:space="preserve">The test sandbox is an isolated execution environment in which an agent definition is run against controlled inputs without producing side effects in production systems. It is the primary tool for validating a new or modified agent definition before activating it for production runs.</w:t>
      </w:r>
    </w:p>
    <w:p>
      <w:pPr>
        <w:spacing w:before="0" w:after="200" w:line="276" w:lineRule="auto"/>
      </w:pPr>
      <w:r>
        <w:rPr>
          <w:rFonts w:ascii="Arial" w:cs="Arial" w:eastAsia="Arial" w:hAnsi="Arial"/>
          <w:color w:val="2C2C2C"/>
          <w:sz w:val="22"/>
          <w:szCs w:val="22"/>
        </w:rPr>
        <w:t xml:space="preserve">Isolation model: sandbox runs use a dedicated sandbox connector layer that intercepts all connector operations and routes them to read-only mock responses rather than live external services. A sandbox run against a PostgreSQL connector does not execute queries against the production database; it returns a configurable mock response that the operator defines in the sandbox configuration. A sandbox run against a Slack connector does not post messages; it logs what would have been posted to the sandbox output log.</w:t>
      </w:r>
    </w:p>
    <w:p>
      <w:pPr>
        <w:spacing w:before="0" w:after="200" w:line="276" w:lineRule="auto"/>
      </w:pPr>
      <w:r>
        <w:rPr>
          <w:rFonts w:ascii="Arial" w:cs="Arial" w:eastAsia="Arial" w:hAnsi="Arial"/>
          <w:color w:val="2C2C2C"/>
          <w:sz w:val="22"/>
          <w:szCs w:val="22"/>
        </w:rPr>
        <w:t xml:space="preserve">Governance enforcement in the sandbox: the full DEL-v2 governance loop runs in the sandbox exactly as it runs in production. Gates are evaluated, invariants are checked, and breaches are detected. The difference is that connector side effects are suppressed; the governance evaluation is not. A sandbox run that detects a breach identifies a real governance problem with the agent definition even though no production data was touched.</w:t>
      </w:r>
    </w:p>
    <w:p>
      <w:pPr>
        <w:spacing w:before="0" w:after="200" w:line="276" w:lineRule="auto"/>
      </w:pPr>
      <w:r>
        <w:rPr>
          <w:rFonts w:ascii="Arial" w:cs="Arial" w:eastAsia="Arial" w:hAnsi="Arial"/>
          <w:color w:val="2C2C2C"/>
          <w:sz w:val="22"/>
          <w:szCs w:val="22"/>
        </w:rPr>
        <w:t xml:space="preserve">Sandbox configuration: the operator defines a set of test cases for an agent, each consisting of a trigger input (the prompt or event payload the agent would receive), mock responses for each bound connector, and expected gate outcomes (pass or fail for each configured gate). The sandbox runner executes each test case, compares actual gate outcomes against expected outcomes, and reports pass/fail per test case with the full execution trace for any failure. This is the agent equivalent of a unit test suite: a set of defined inputs with defined expected behaviors that can be run on demand or on every agent definition change.</w:t>
      </w:r>
    </w:p>
    <w:p>
      <w:pPr>
        <w:spacing w:before="0" w:after="200" w:line="276" w:lineRule="auto"/>
      </w:pPr>
      <w:r>
        <w:rPr>
          <w:rFonts w:ascii="Arial" w:cs="Arial" w:eastAsia="Arial" w:hAnsi="Arial"/>
          <w:color w:val="2C2C2C"/>
          <w:sz w:val="22"/>
          <w:szCs w:val="22"/>
        </w:rPr>
        <w:t xml:space="preserve">Sandbox runs are recorded in the agent_runs table with triggered_by='sandbox' to distinguish them from production runs. Sandbox run metrics are visible in the agent status dashboard but are excluded from production analytics and billing calculations.</w:t>
      </w:r>
    </w:p>
    <w:p>
      <w:pPr>
        <w:pStyle w:val="Heading2"/>
        <w:spacing w:before="240" w:after="80" w:line="276" w:lineRule="auto"/>
      </w:pPr>
      <w:r>
        <w:rPr>
          <w:rFonts w:ascii="Arial" w:cs="Arial" w:eastAsia="Arial" w:hAnsi="Arial"/>
          <w:b/>
          <w:bCs/>
          <w:color w:val="2E75B6"/>
          <w:sz w:val="28"/>
          <w:szCs w:val="28"/>
        </w:rPr>
        <w:t xml:space="preserve">4.5 Connector-Powered Agent Architecture</w:t>
      </w:r>
    </w:p>
    <w:p>
      <w:pPr>
        <w:spacing w:before="0" w:after="200" w:line="276" w:lineRule="auto"/>
      </w:pPr>
      <w:r>
        <w:rPr>
          <w:rFonts w:ascii="Arial" w:cs="Arial" w:eastAsia="Arial" w:hAnsi="Arial"/>
          <w:color w:val="2C2C2C"/>
          <w:sz w:val="22"/>
          <w:szCs w:val="22"/>
        </w:rPr>
        <w:t xml:space="preserve">Connector bindings are the mechanism by which agents take actions in the real world. An agent without connector bindings is limited to generating text; an agent bound to a GitHub connector can read and commit code; an agent bound to a PostgreSQL connector with read_write permission can query and modify data; an agent bound to Slack can send notifications. The connector ecosystem (67 types defined, 5 implemented as of March 2026) is the tool catalog for agent actions.</w:t>
      </w:r>
    </w:p>
    <w:p>
      <w:pPr>
        <w:spacing w:before="0" w:after="200" w:line="276" w:lineRule="auto"/>
      </w:pPr>
      <w:r>
        <w:rPr>
          <w:rFonts w:ascii="Arial" w:cs="Arial" w:eastAsia="Arial" w:hAnsi="Arial"/>
          <w:color w:val="2C2C2C"/>
          <w:sz w:val="22"/>
          <w:szCs w:val="22"/>
        </w:rPr>
        <w:t xml:space="preserve">Connector access is enforced at two levels. At the binding level, the agent_connectors table records which connectors an agent can access and at what permission level. At execution time, the Connector Executor checks the agent_connectors binding before executing any connector operation; write operations from an agent with only read permission on a connector are blocked and logged as a governance violation, not silently ignored. This two-level enforcement ensures that the agent definition precisely specifies the agent's capability boundary, and that boundary is enforced in production rather than relying on the model's adherence to instructions.</w:t>
      </w:r>
    </w:p>
    <w:p>
      <w:pPr>
        <w:spacing w:before="0" w:after="200" w:line="276" w:lineRule="auto"/>
      </w:pPr>
      <w:r>
        <w:rPr>
          <w:rFonts w:ascii="Arial" w:cs="Arial" w:eastAsia="Arial" w:hAnsi="Arial"/>
          <w:color w:val="2C2C2C"/>
          <w:sz w:val="22"/>
          <w:szCs w:val="22"/>
        </w:rPr>
        <w:t xml:space="preserve">The connector architecture enables use cases that simple API-calling agents cannot achieve. A data pipeline agent bound to S3 (read), PostgreSQL (read_write), and Slack (write) can: retrieve files from S3, validate them against a schema, load them into Postgres, and notify a Slack channel, all within a single governed execution run. Every connector call is logged to the agent_runs audit trail, and every write operation requires the binding to explicitly grant write permission.</w:t>
      </w:r>
    </w:p>
    <w:p>
      <w:pPr>
        <w:pStyle w:val="Heading2"/>
        <w:spacing w:before="240" w:after="80" w:line="276" w:lineRule="auto"/>
      </w:pPr>
      <w:r>
        <w:rPr>
          <w:rFonts w:ascii="Arial" w:cs="Arial" w:eastAsia="Arial" w:hAnsi="Arial"/>
          <w:b/>
          <w:bCs/>
          <w:color w:val="2E75B6"/>
          <w:sz w:val="28"/>
          <w:szCs w:val="28"/>
        </w:rPr>
        <w:t xml:space="preserve">4.6 Token Budget Enforcement</w:t>
      </w:r>
    </w:p>
    <w:p>
      <w:pPr>
        <w:spacing w:before="0" w:after="200" w:line="276" w:lineRule="auto"/>
      </w:pPr>
      <w:r>
        <w:rPr>
          <w:rFonts w:ascii="Arial" w:cs="Arial" w:eastAsia="Arial" w:hAnsi="Arial"/>
          <w:color w:val="2C2C2C"/>
          <w:sz w:val="22"/>
          <w:szCs w:val="22"/>
        </w:rPr>
        <w:t xml:space="preserve">Token and cost budgets integrate directly with the token tracking infrastructure defined in WP-003. After each inference call, the execution engine checks the cumulative token count and USD cost for the current run against the agent's token_budget_per_run and cost_budget_per_run fields. If either limit is within a configurable warning threshold (default: 80% consumed), the engine injects a budget status notification into the agent's context. If either limit is reached, the engine pauses execution and presents three options: continue at the overrun (requires explicit user confirmation), switch to a cheaper model for the remainder of the run (using the model switch mechanism from WP-003, Section 8), or abort the run and mark it failed with the reason budget_exhausted.</w:t>
      </w:r>
    </w:p>
    <w:p>
      <w:pPr>
        <w:spacing w:before="0" w:after="200" w:line="276" w:lineRule="auto"/>
      </w:pPr>
      <w:r>
        <w:rPr>
          <w:rFonts w:ascii="Arial" w:cs="Arial" w:eastAsia="Arial" w:hAnsi="Arial"/>
          <w:color w:val="2C2C2C"/>
          <w:sz w:val="22"/>
          <w:szCs w:val="22"/>
        </w:rPr>
        <w:t xml:space="preserve">Token budget enforcement at the agent level is distinct from the platform-level budget enforcement (WP-003, Section 3.4). Platform budgets cap total spend across all activity; agent budgets cap spend per run for a specific agent. Both levels of enforcement are active simultaneously; the more restrictive limit takes precedence.</w:t>
      </w:r>
    </w:p>
    <w:p>
      <w:pPr>
        <w:pStyle w:val="Heading2"/>
        <w:spacing w:before="240" w:after="80" w:line="276" w:lineRule="auto"/>
      </w:pPr>
      <w:r>
        <w:rPr>
          <w:rFonts w:ascii="Arial" w:cs="Arial" w:eastAsia="Arial" w:hAnsi="Arial"/>
          <w:b/>
          <w:bCs/>
          <w:color w:val="2E75B6"/>
          <w:sz w:val="28"/>
          <w:szCs w:val="28"/>
        </w:rPr>
        <w:t xml:space="preserve">4.6.1 Multi-Tenant Agent Isolation</w:t>
      </w:r>
    </w:p>
    <w:p>
      <w:pPr>
        <w:spacing w:before="0" w:after="200" w:line="276" w:lineRule="auto"/>
      </w:pPr>
      <w:r>
        <w:rPr>
          <w:rFonts w:ascii="Arial" w:cs="Arial" w:eastAsia="Arial" w:hAnsi="Arial"/>
          <w:color w:val="2C2C2C"/>
          <w:sz w:val="22"/>
          <w:szCs w:val="22"/>
        </w:rPr>
        <w:t xml:space="preserve">In Enterprise fleet management deployments where multiple organizational units share a single ContextKeeper instance, agent isolation ensures that agents belonging to different units cannot access each other's connector credentials, run history, or agent definitions, even within the same enterprise account.</w:t>
      </w:r>
    </w:p>
    <w:p>
      <w:pPr>
        <w:spacing w:before="0" w:after="200" w:line="276" w:lineRule="auto"/>
      </w:pPr>
      <w:r>
        <w:rPr>
          <w:rFonts w:ascii="Arial" w:cs="Arial" w:eastAsia="Arial" w:hAnsi="Arial"/>
          <w:color w:val="2C2C2C"/>
          <w:sz w:val="22"/>
          <w:szCs w:val="22"/>
        </w:rPr>
        <w:t xml:space="preserve">Isolation is enforced at three levels. At the data level, every agents, agent_runs, and agent_connectors record carries an org_unit_id field that is evaluated on every query; the application layer appends a WHERE org_unit_id = [caller's unit] predicate to all agent-related queries, making cross-unit data access impossible through the standard API regardless of the caller's authentication state. At the connector level, connector credentials are scoped to the org_unit_id of their owner; an agent in unit A cannot reference a connector belonging to unit B even if the agent definition attempts to bind it. At the execution level, the Trigger Dispatcher validates that the invoking identity's org_unit_id matches the agent definition's org_unit_id before initiating any run; mismatches are rejected and logged as security events rather than governance breaches.</w:t>
      </w:r>
    </w:p>
    <w:p>
      <w:pPr>
        <w:spacing w:before="0" w:after="200" w:line="276" w:lineRule="auto"/>
      </w:pPr>
      <w:r>
        <w:rPr>
          <w:rFonts w:ascii="Arial" w:cs="Arial" w:eastAsia="Arial" w:hAnsi="Arial"/>
          <w:color w:val="2C2C2C"/>
          <w:sz w:val="22"/>
          <w:szCs w:val="22"/>
        </w:rPr>
        <w:t xml:space="preserve">An enterprise administrator with org_unit_id=null (the root administrator role) can view aggregate fleet metrics across all units but cannot invoke, modify, or access the run history of agents belonging to specific units without explicitly assuming a unit-scoped role. All cross-unit administrative actions are logged to the immutable audit trail.</w:t>
      </w:r>
    </w:p>
    <w:p>
      <w:pPr>
        <w:pStyle w:val="Heading2"/>
        <w:spacing w:before="240" w:after="80" w:line="276" w:lineRule="auto"/>
      </w:pPr>
      <w:r>
        <w:rPr>
          <w:rFonts w:ascii="Arial" w:cs="Arial" w:eastAsia="Arial" w:hAnsi="Arial"/>
          <w:b/>
          <w:bCs/>
          <w:color w:val="2E75B6"/>
          <w:sz w:val="28"/>
          <w:szCs w:val="28"/>
        </w:rPr>
        <w:t xml:space="preserve">4.7 Breach Handling</w:t>
      </w:r>
    </w:p>
    <w:p>
      <w:pPr>
        <w:spacing w:before="0" w:after="200" w:line="276" w:lineRule="auto"/>
      </w:pPr>
      <w:r>
        <w:rPr>
          <w:rFonts w:ascii="Arial" w:cs="Arial" w:eastAsia="Arial" w:hAnsi="Arial"/>
          <w:color w:val="2C2C2C"/>
          <w:sz w:val="22"/>
          <w:szCs w:val="22"/>
        </w:rPr>
        <w:t xml:space="preserve">When any governance rule is violated during execution, the Breach Handler executes the following sequence with no exceptions and no retry mechanism. First, execution halts immediately: the LLM Dispatcher does not issue another inference call, and the Connector Executor does not execute any pending connector operations. Second, the agent_runs record is updated: status is set to breached, error_message is populated with the specific violation, breaches counter is incremented, and completed_at is set. Third, the agent definition is paused: agents.status is set to paused to prevent new runs from starting until the operator resolves the breach. Fourth, the user is notified through configured alert channels (in-app notification, email if configured, webhook if configured).</w:t>
      </w:r>
    </w:p>
    <w:p>
      <w:pPr>
        <w:spacing w:before="0" w:after="200" w:line="276" w:lineRule="auto"/>
      </w:pPr>
      <w:r>
        <w:rPr>
          <w:rFonts w:ascii="Arial" w:cs="Arial" w:eastAsia="Arial" w:hAnsi="Arial"/>
          <w:color w:val="2C2C2C"/>
          <w:sz w:val="22"/>
          <w:szCs w:val="22"/>
        </w:rPr>
        <w:t xml:space="preserve">The operator must explicitly resolve a breach before the agent can run again. Resolution requires: diagnosing the root cause of the invariant violation, modifying the agent definition to prevent recurrence (either adjusting the system prompt, modifying governance_config, or adjusting connector permissions), and setting agents.status back to active. This manual resolution requirement is not a usability limitation; it is a compliance property. An agent that automatically recovers from governance violations provides weaker guarantees than one that halts and waits for human judgment.</w:t>
      </w:r>
    </w:p>
    <w:p>
      <w:pPr>
        <w:pStyle w:val="Heading2"/>
        <w:spacing w:before="240" w:after="80" w:line="276" w:lineRule="auto"/>
      </w:pPr>
      <w:r>
        <w:rPr>
          <w:rFonts w:ascii="Arial" w:cs="Arial" w:eastAsia="Arial" w:hAnsi="Arial"/>
          <w:b/>
          <w:bCs/>
          <w:color w:val="2E75B6"/>
          <w:sz w:val="28"/>
          <w:szCs w:val="28"/>
        </w:rPr>
        <w:t xml:space="preserve">4.8 Webhook Routing</w:t>
      </w:r>
    </w:p>
    <w:p>
      <w:pPr>
        <w:spacing w:before="0" w:after="200" w:line="276" w:lineRule="auto"/>
      </w:pPr>
      <w:r>
        <w:rPr>
          <w:rFonts w:ascii="Arial" w:cs="Arial" w:eastAsia="Arial" w:hAnsi="Arial"/>
          <w:color w:val="2C2C2C"/>
          <w:sz w:val="22"/>
          <w:szCs w:val="22"/>
        </w:rPr>
        <w:t xml:space="preserve">Webhook routing is the mechanism by which external systems trigger agent runs in response to events they generate. It completes the agent trigger model defined in Section 4.2: alongside scheduled (cron-based) and manual (operator-initiated) triggers, webhook routing enables event-driven execution in which a GitHub push, a Stripe payment event, a Slack message, or any HTTP POST from any configured source initiates a governed agent run without human intervention.</w:t>
      </w:r>
    </w:p>
    <w:p>
      <w:pPr>
        <w:spacing w:before="0" w:after="200" w:line="276" w:lineRule="auto"/>
      </w:pPr>
      <w:r>
        <w:rPr>
          <w:rFonts w:ascii="Arial" w:cs="Arial" w:eastAsia="Arial" w:hAnsi="Arial"/>
          <w:color w:val="2C2C2C"/>
          <w:sz w:val="22"/>
          <w:szCs w:val="22"/>
        </w:rPr>
        <w:t xml:space="preserve">The webhook_routes table stores the routing configuration. The schema is: id (primary key), user_id (foreign key), name (VARCHAR(255)), source_type (ENUM: github, stripe, slack, linear, jira, custom_http), endpoint_token (VARCHAR(64), unique random token used as the URL path component to authenticate the webhook source), signature_header (VARCHAR(100), the HTTP header containing the HMAC signature, e.g., X-Hub-Signature-256 for GitHub), signature_secret_encrypted (TEXT, the webhook signing secret stored with application-layer encryption per WP-009, Section 3), routing_rules (JSON array), default_agent_id (INTEGER, foreign key, the agent invoked when no routing rule matches), status (ENUM: active, paused), created_at (TIMESTAMP).</w:t>
      </w:r>
    </w:p>
    <w:p>
      <w:pPr>
        <w:spacing w:before="0" w:after="200" w:line="276" w:lineRule="auto"/>
      </w:pPr>
      <w:r>
        <w:rPr>
          <w:rFonts w:ascii="Arial" w:cs="Arial" w:eastAsia="Arial" w:hAnsi="Arial"/>
          <w:color w:val="2C2C2C"/>
          <w:sz w:val="22"/>
          <w:szCs w:val="22"/>
        </w:rPr>
        <w:t xml:space="preserve">Each routing rule in the routing_rules JSON array is an object with three fields: condition (a JSONPath expression evaluated against the webhook payload), operator (one of: equals, contains, starts_with, regex_match, exists, not_exists), and agent_id (the agent to invoke when the condition matches). Rules are evaluated in array order; the first matching rule determines the agent. Example: a GitHub webhook route might have two rules -- condition $.action, operator equals, agent_id 12 (for pull_request opened events routed to a code review agent) and condition $.ref, operator starts_with, value refs/heads/main, agent_id 15 (for push events to main routed to a deployment validation agent).</w:t>
      </w:r>
    </w:p>
    <w:p>
      <w:pPr>
        <w:pBdr>
          <w:left w:val="single" w:color="2E75B6" w:sz="6" w:space="8"/>
        </w:pBdr>
        <w:spacing w:before="120" w:after="120"/>
        <w:ind w:left="720"/>
      </w:pPr>
      <w:r>
        <w:rPr>
          <w:rFonts w:ascii="Arial" w:cs="Arial" w:eastAsia="Arial" w:hAnsi="Arial"/>
          <w:i/>
          <w:iCs/>
          <w:color w:val="555555"/>
          <w:sz w:val="22"/>
          <w:szCs w:val="22"/>
        </w:rPr>
        <w:t xml:space="preserve">Webhook signature verification is mandatory and non-bypassable. Every incoming webhook request is verified against the configured signature_secret_encrypted before any routing rule evaluation occurs. An event that fails signature verification is rejected with HTTP 401 and logged to webhook_events with routing_outcome=signature_invalid. No agent is invoked. This property prevents external parties from triggering governed agent runs by sending unauthorized POST requests to the webhook endpoint.</w:t>
      </w:r>
    </w:p>
    <w:p>
      <w:pPr>
        <w:spacing w:before="0" w:after="200" w:line="276" w:lineRule="auto"/>
      </w:pPr>
      <w:r>
        <w:rPr>
          <w:rFonts w:ascii="Arial" w:cs="Arial" w:eastAsia="Arial" w:hAnsi="Arial"/>
          <w:color w:val="2C2C2C"/>
          <w:sz w:val="22"/>
          <w:szCs w:val="22"/>
        </w:rPr>
        <w:t xml:space="preserve">The agent invoked by a webhook route receives a structured context object derived from the webhook payload rather than the raw JSON. The context extraction layer parses the payload according to the source_type and produces a normalized context with defined fields: event_type (string), source (the source_type value), timestamp (ISO 8601 from the event), actor (the entity that generated the event, e.g., GitHub username or Stripe customer ID), payload_summary (a JSON object containing the most relevant fields for the agent's task), and raw_payload_ref (a reference to the full payload stored in webhook_events, available to the agent via a connector tool call if needed).</w:t>
      </w:r>
    </w:p>
    <w:p>
      <w:pPr>
        <w:pStyle w:val="Heading2"/>
        <w:spacing w:before="240" w:after="80" w:line="276" w:lineRule="auto"/>
      </w:pPr>
      <w:r>
        <w:rPr>
          <w:rFonts w:ascii="Arial" w:cs="Arial" w:eastAsia="Arial" w:hAnsi="Arial"/>
          <w:b/>
          <w:bCs/>
          <w:color w:val="2E75B6"/>
          <w:sz w:val="28"/>
          <w:szCs w:val="28"/>
        </w:rPr>
        <w:t xml:space="preserve">4.9 Agent Pipeline</w:t>
      </w:r>
    </w:p>
    <w:p>
      <w:pPr>
        <w:spacing w:before="0" w:after="200" w:line="276" w:lineRule="auto"/>
      </w:pPr>
      <w:r>
        <w:rPr>
          <w:rFonts w:ascii="Arial" w:cs="Arial" w:eastAsia="Arial" w:hAnsi="Arial"/>
          <w:color w:val="2C2C2C"/>
          <w:sz w:val="22"/>
          <w:szCs w:val="22"/>
        </w:rPr>
        <w:t xml:space="preserve">An agent pipeline is a directed acyclic graph of agent runs in which the output of one agent stage becomes the input context of the next. Pipelines address the structural limitation of single-agent execution for complex multi-step workflows: a data validation agent, a transformation agent, and a reporting agent each have well-defined responsibilities and governance configurations; chaining them into a pipeline enforces that each stage's output is gate-verified before the next stage begins, and that a breach in any stage halts the pipeline rather than propagating potentially invalid data downstream. This is the agent-level expression of the same cascading halt principle that Planning Mode applies to task-level DAG execution (WP-003, Section 4.4).</w:t>
      </w:r>
    </w:p>
    <w:p>
      <w:pPr>
        <w:spacing w:before="0" w:after="200" w:line="276" w:lineRule="auto"/>
      </w:pPr>
      <w:r>
        <w:rPr>
          <w:rFonts w:ascii="Arial" w:cs="Arial" w:eastAsia="Arial" w:hAnsi="Arial"/>
          <w:color w:val="2C2C2C"/>
          <w:sz w:val="22"/>
          <w:szCs w:val="22"/>
        </w:rPr>
        <w:t xml:space="preserve">The agent pipeline data model uses two tables. The agent_pipelines table stores pipeline-level metadata: id (primary key), user_id (foreign key), name (VARCHAR(255)), description (TEXT), status (ENUM: draft, active, paused, archived), trigger_type (ENUM: manual, scheduled, webhook), trigger_config (JSON), created_at (TIMESTAMP). The agent_pipeline_stages table stores each stage: id (primary key), pipeline_id (foreign key with index), agent_id (foreign key, the agent that executes this stage), stage_order (INTEGER, the execution sequence position, 0-indexed), depends_on_stage_id (INTEGER, foreign key self-referencing agent_pipeline_stages, null for the first stage), context_mapping (JSON, specifies how the prior stage's output fields map to this stage's input context fields), gate_required (BOOLEAN, whether this stage's gates must pass before the next stage begins, default true), on_failure (ENUM: halt_pipeline, skip_stage, notify_only). The dependency structure supports both linear pipelines and fan-out/fan-in topologies.</w:t>
      </w:r>
    </w:p>
    <w:p>
      <w:pPr>
        <w:spacing w:before="0" w:after="200" w:line="276" w:lineRule="auto"/>
      </w:pPr>
      <w:r>
        <w:rPr>
          <w:rFonts w:ascii="Arial" w:cs="Arial" w:eastAsia="Arial" w:hAnsi="Arial"/>
          <w:color w:val="2C2C2C"/>
          <w:sz w:val="22"/>
          <w:szCs w:val="22"/>
        </w:rPr>
        <w:t xml:space="preserve">Pipeline execution proceeds stage by stage. When a pipeline is triggered, the execution engine creates a pipeline_run record. For each stage in topological order, the engine checks that all dependency stages have completed with gate_passed=true before dispatching the current stage. Stage execution is identical to single-agent execution: the agent's full DEL-v2 governance loop runs, connector calls are made within permission bounds, and a complete agent_runs record is written. The context_mapping step extracts specified fields from the prior stage's agent_runs.output_summary and injects them into the current stage's input context. This structured data handoff is the technical foundation of agent-to-agent communication in ContextKeeper: agents do not call each other directly; they communicate through verified, gate-checked outputs stored in the platform database and mapped by the pipeline engine.</w:t>
      </w:r>
    </w:p>
    <w:p>
      <w:pPr>
        <w:pBdr>
          <w:left w:val="single" w:color="2E75B6" w:sz="6" w:space="8"/>
        </w:pBdr>
        <w:spacing w:before="120" w:after="120"/>
        <w:ind w:left="720"/>
      </w:pPr>
      <w:r>
        <w:rPr>
          <w:rFonts w:ascii="Arial" w:cs="Arial" w:eastAsia="Arial" w:hAnsi="Arial"/>
          <w:i/>
          <w:iCs/>
          <w:color w:val="555555"/>
          <w:sz w:val="22"/>
          <w:szCs w:val="22"/>
        </w:rPr>
        <w:t xml:space="preserve">The agent pipeline architecture is the enterprise use case that separates ContextKeeper from every competing agent platform. A pipeline that validates input data, transforms it, generates a governed output, routes it through a human approval gate, and delivers the confirmed result to a downstream system -- with a complete governance audit trail for every stage -- is the agentic workflow that regulated industries require. No current agent framework provides this structure natively. ContextKeeper provides it as a first-class platform feature with schema-defined stages, verified inter-stage data handoff, and immutable run records.</w:t>
      </w:r>
    </w:p>
    <w:p>
      <w:pPr>
        <w:pStyle w:val="Heading1"/>
        <w:pageBreakBefore/>
        <w:spacing w:before="360" w:after="120" w:line="276" w:lineRule="auto"/>
      </w:pPr>
      <w:r>
        <w:rPr>
          <w:rFonts w:ascii="Arial" w:cs="Arial" w:eastAsia="Arial" w:hAnsi="Arial"/>
          <w:b/>
          <w:bCs/>
          <w:color w:val="1B2A4A"/>
          <w:sz w:val="36"/>
          <w:szCs w:val="36"/>
        </w:rPr>
        <w:t xml:space="preserve">5. Community Marketplace</w:t>
      </w:r>
    </w:p>
    <w:p>
      <w:pPr>
        <w:spacing w:before="0" w:after="200" w:line="276" w:lineRule="auto"/>
      </w:pPr>
      <w:r>
        <w:rPr>
          <w:rFonts w:ascii="Arial" w:cs="Arial" w:eastAsia="Arial" w:hAnsi="Arial"/>
          <w:color w:val="2C2C2C"/>
          <w:sz w:val="22"/>
          <w:szCs w:val="22"/>
        </w:rPr>
        <w:t xml:space="preserve">The community marketplace is the agent discovery and distribution layer: a 'GitHub for agent configurations' where users publish governed agent blueprints, others fork and adapt them, ratings and usage statistics drive quality signal, and premium blueprints can be sold. The marketplace creates a network effect on top of the agent execution infrastructure: every published blueprint increases the value of the platform for new users; every new user increases the incentive for experienced users to publish quality blueprints.</w:t>
      </w:r>
    </w:p>
    <w:p>
      <w:pPr>
        <w:pStyle w:val="Heading2"/>
        <w:spacing w:before="240" w:after="80" w:line="276" w:lineRule="auto"/>
      </w:pPr>
      <w:r>
        <w:rPr>
          <w:rFonts w:ascii="Arial" w:cs="Arial" w:eastAsia="Arial" w:hAnsi="Arial"/>
          <w:b/>
          <w:bCs/>
          <w:color w:val="2E75B6"/>
          <w:sz w:val="28"/>
          <w:szCs w:val="28"/>
        </w:rPr>
        <w:t xml:space="preserve">5.1 Marketplace Architecture</w:t>
      </w:r>
    </w:p>
    <w:p>
      <w:pPr>
        <w:spacing w:before="0" w:after="200" w:line="276" w:lineRule="auto"/>
      </w:pPr>
      <w:r>
        <w:rPr>
          <w:rFonts w:ascii="Arial" w:cs="Arial" w:eastAsia="Arial" w:hAnsi="Arial"/>
          <w:color w:val="2C2C2C"/>
          <w:sz w:val="22"/>
          <w:szCs w:val="22"/>
        </w:rPr>
        <w:t xml:space="preserve">Table 6 defines the six marketplace features with their mechanisms and the value delivered by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Marketplace Feature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Delivered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blueprint publishing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sets is_public=true and creates an agent_templates record with category, tags, and description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Creators share validated, working agent configurations with the community; reduces time-to-value for new users from hours to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Fork and clone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copies the source agent definition to the user's account as a new draft; connector bindings are copied but credentials are not transferred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adapt published blueprints to their own connector bindings and governance requirements without starting from scratch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Browse, search, and filter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UI queries agent_templates with full-text search on name and description; filter by category, tags, connector requirements, and governance mode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discover agents relevant to their use case; connector-based filtering ensures users only see agents compatible with their connected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Rating and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Authenticated users submit integer ratings (1 to 5) and text reviews; avg_rating computed from all submissions; forks_count and uses_count updated on events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Social proof mechanism drives quality signal; high-rated blueprints surface in default sort order; creator reputation compounds over time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analytics per template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tracks uses_count (total runs of any fork), forks_count (distinct clones), and avg_rating per agent_templates row</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Creators see adoption data; marketplace sorts by engagement; platform identifies high-value agent categories for product development prioritization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user has a public profile listing their published templates, aggregate stats, and social links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Establishes creator identity and reputation; supports premium creator programs and revenue sharing; enables community-driven quality curation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5.2 Fork and Compose Model</w:t>
      </w:r>
    </w:p>
    <w:p>
      <w:pPr>
        <w:spacing w:before="0" w:after="200" w:line="276" w:lineRule="auto"/>
      </w:pPr>
      <w:r>
        <w:rPr>
          <w:rFonts w:ascii="Arial" w:cs="Arial" w:eastAsia="Arial" w:hAnsi="Arial"/>
          <w:color w:val="2C2C2C"/>
          <w:sz w:val="22"/>
          <w:szCs w:val="22"/>
        </w:rPr>
        <w:t xml:space="preserve">The fork mechanism is the primary value delivery vehicle of the marketplace. When a user forks a blueprint: the source agent definition is copied to the user's account as a new draft with status=draft; the system prompt template, governance configuration (governance_template and governance_config), and connector binding structure (the list of required connectors and permission levels) are copied; connector credentials are explicitly not copied, as credentials are user-specific and must be provided by the forking user for their own connector instances; and the source agent_templates record has its forks_count incremented.</w:t>
      </w:r>
    </w:p>
    <w:p>
      <w:pPr>
        <w:spacing w:before="0" w:after="200" w:line="276" w:lineRule="auto"/>
      </w:pPr>
      <w:r>
        <w:rPr>
          <w:rFonts w:ascii="Arial" w:cs="Arial" w:eastAsia="Arial" w:hAnsi="Arial"/>
          <w:color w:val="2C2C2C"/>
          <w:sz w:val="22"/>
          <w:szCs w:val="22"/>
        </w:rPr>
        <w:t xml:space="preserve">After forking, the user connects their own instances of the required connector types and activates the agent. For a user who has the relevant connectors already configured in their ContextKeeper account, the time from fork to first run is measured in minutes rather than hours. This is the primary time-to-value proposition of the marketplace: a validated, governed agent definition that would take hours to build from scratch is available in a form that requires only credential substitution.</w:t>
      </w:r>
    </w:p>
    <w:p>
      <w:pPr>
        <w:spacing w:before="0" w:after="200" w:line="276" w:lineRule="auto"/>
      </w:pPr>
      <w:r>
        <w:rPr>
          <w:rFonts w:ascii="Arial" w:cs="Arial" w:eastAsia="Arial" w:hAnsi="Arial"/>
          <w:color w:val="2C2C2C"/>
          <w:sz w:val="22"/>
          <w:szCs w:val="22"/>
        </w:rPr>
        <w:t xml:space="preserve">Compose behavior extends forking: users can take multiple published blueprints and combine their connector bindings and system prompt elements into a new agent definition. A user might combine a 'Database Schema Auditor' blueprint (PostgreSQL read binding, schema validation logic) with a 'Slack Reporter' blueprint (Slack write binding, notification formatting) into a single agent that audits a schema and reports findings to a channel. Composition is performed in the agent definition editor, not through automated merging; the user is responsible for ensuring the combined system prompt and governance configuration are coherent.</w:t>
      </w:r>
    </w:p>
    <w:p>
      <w:pPr>
        <w:pStyle w:val="Heading2"/>
        <w:spacing w:before="240" w:after="80" w:line="276" w:lineRule="auto"/>
      </w:pPr>
      <w:r>
        <w:rPr>
          <w:rFonts w:ascii="Arial" w:cs="Arial" w:eastAsia="Arial" w:hAnsi="Arial"/>
          <w:b/>
          <w:bCs/>
          <w:color w:val="2E75B6"/>
          <w:sz w:val="28"/>
          <w:szCs w:val="28"/>
        </w:rPr>
        <w:t xml:space="preserve">5.3 Discovery and Quality Signals</w:t>
      </w:r>
    </w:p>
    <w:p>
      <w:pPr>
        <w:spacing w:before="0" w:after="200" w:line="276" w:lineRule="auto"/>
      </w:pPr>
      <w:r>
        <w:rPr>
          <w:rFonts w:ascii="Arial" w:cs="Arial" w:eastAsia="Arial" w:hAnsi="Arial"/>
          <w:color w:val="2C2C2C"/>
          <w:sz w:val="22"/>
          <w:szCs w:val="22"/>
        </w:rPr>
        <w:t xml:space="preserve">The marketplace surfaces agent blueprints through three primary quality signals: average rating (computed from all submitted reviews), uses_count (total runs across all forks of the blueprint), and forks_count (number of distinct clones). The default marketplace sort order weights these signals: high-rated blueprints with high usage appear first; newly published blueprints with no engagement history appear in a 'New' category rather than competing with established blueprints on the primary sort.</w:t>
      </w:r>
    </w:p>
    <w:p>
      <w:pPr>
        <w:spacing w:before="0" w:after="200" w:line="276" w:lineRule="auto"/>
      </w:pPr>
      <w:r>
        <w:rPr>
          <w:rFonts w:ascii="Arial" w:cs="Arial" w:eastAsia="Arial" w:hAnsi="Arial"/>
          <w:color w:val="2C2C2C"/>
          <w:sz w:val="22"/>
          <w:szCs w:val="22"/>
        </w:rPr>
        <w:t xml:space="preserve">Category and tag filtering allow users to narrow discovery by domain (data pipelines, code review, monitoring, content generation) and by connector requirements (show only blueprints compatible with connectors I have configured). Connector-based filtering is the highest-value filter: a user with a Snowflake connector has no use for a blueprint that requires only PostgreSQL, and showing incompatible blueprints degrades discovery quality.</w:t>
      </w:r>
    </w:p>
    <w:p>
      <w:pPr>
        <w:spacing w:before="0" w:after="200" w:line="276" w:lineRule="auto"/>
      </w:pPr>
      <w:r>
        <w:rPr>
          <w:rFonts w:ascii="Arial" w:cs="Arial" w:eastAsia="Arial" w:hAnsi="Arial"/>
          <w:color w:val="2C2C2C"/>
          <w:sz w:val="22"/>
          <w:szCs w:val="22"/>
        </w:rPr>
        <w:t xml:space="preserve">The creator profile system establishes authorship identity and reputation. A creator with 10 published blueprints averaging 4.5 stars and 500 total uses has a demonstrably different quality signal than an anonymous first-time publisher. Creator reputation compounds across the catalog: high-reputation creators attract more users to their new blueprints; more users generate more review data; more review data strengthens the rating signal.</w:t>
      </w:r>
    </w:p>
    <w:p>
      <w:pPr>
        <w:pStyle w:val="Heading1"/>
        <w:pageBreakBefore/>
        <w:spacing w:before="360" w:after="120" w:line="276" w:lineRule="auto"/>
      </w:pPr>
      <w:r>
        <w:rPr>
          <w:rFonts w:ascii="Arial" w:cs="Arial" w:eastAsia="Arial" w:hAnsi="Arial"/>
          <w:b/>
          <w:bCs/>
          <w:color w:val="1B2A4A"/>
          <w:sz w:val="36"/>
          <w:szCs w:val="36"/>
        </w:rPr>
        <w:t xml:space="preserve">6. Revenue Model Extension</w:t>
      </w:r>
    </w:p>
    <w:p>
      <w:pPr>
        <w:pStyle w:val="Heading2"/>
        <w:spacing w:before="240" w:after="80" w:line="276" w:lineRule="auto"/>
      </w:pPr>
      <w:r>
        <w:rPr>
          <w:rFonts w:ascii="Arial" w:cs="Arial" w:eastAsia="Arial" w:hAnsi="Arial"/>
          <w:b/>
          <w:bCs/>
          <w:color w:val="2E75B6"/>
          <w:sz w:val="28"/>
          <w:szCs w:val="28"/>
        </w:rPr>
        <w:t xml:space="preserve">6.1 Four Revenue Streams</w:t>
      </w:r>
    </w:p>
    <w:p>
      <w:pPr>
        <w:spacing w:before="0" w:after="200" w:line="276" w:lineRule="auto"/>
      </w:pPr>
      <w:r>
        <w:rPr>
          <w:rFonts w:ascii="Arial" w:cs="Arial" w:eastAsia="Arial" w:hAnsi="Arial"/>
          <w:color w:val="2C2C2C"/>
          <w:sz w:val="22"/>
          <w:szCs w:val="22"/>
        </w:rPr>
        <w:t xml:space="preserve">The agent hub adds three revenue streams to the existing SaaS subscription. Table 7 defines all four revenue streams with their mechanisms and pricing models.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Stream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SaaS Subscription (existing)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Monthly subscription at Free ($0), Pro ($12/month), Team ($29/user/month), and Enterprise (custom) tiers; plan gates access to connector count, API rate limits, and governance features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subscription; existing revenue model extended by making agent features available at Pro tier and above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Hosted Execution Credits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purchase execution credit bundles or pay per agent-run; metered via token tracking infrastructure (WP-003, Section 3); credits consumed at token-cost plus platform margin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Consumption-based billing layered on top of subscription; users who exhaust BYOK budgets or prefer not to manage API keys pay for platform-hosted inference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Commission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takes a percentage of each premium agent template sale; creator sets price_usd on agent_templates; buyer pays through Stripe; platform retains commission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Commission model (analogous to app store economics); percentage rate configurable; creates recurring passive revenue as marketplace catalog grows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Agent Fleet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Organizations purchase a fleet management tier providing centralized governance dashboards, compliance reporting exports, role-based access control for agent definitions, and SLA-backed support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High-value annual contract; targets organizations running 10+ agents requiring centralized audit, compliance reporting, and administrative control</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6.1.1 SaaS Subscription (Existing, Extended)</w:t>
      </w:r>
    </w:p>
    <w:p>
      <w:pPr>
        <w:spacing w:before="0" w:after="200" w:line="276" w:lineRule="auto"/>
      </w:pPr>
      <w:r>
        <w:rPr>
          <w:rFonts w:ascii="Arial" w:cs="Arial" w:eastAsia="Arial" w:hAnsi="Arial"/>
          <w:color w:val="2C2C2C"/>
          <w:sz w:val="22"/>
          <w:szCs w:val="22"/>
        </w:rPr>
        <w:t xml:space="preserve">The existing four-tier subscription model (Free, Pro at $12/month, Team at $29/user/month, Enterprise at custom pricing) is extended by making agent features available at Pro tier and above. Free tier users can view the marketplace but cannot create agents or execute runs. Pro tier users can create and run agents with BYOK inference and up to a defined monthly run quota. Team tier adds collaborative agent management (shared agent definitions, team-level run history, multi-user governance dashboards). Enterprise tier adds fleet management, compliance reporting, SSO integration, and SLA-backed support.</w:t>
      </w:r>
    </w:p>
    <w:p>
      <w:pPr>
        <w:pStyle w:val="Heading2"/>
        <w:spacing w:before="240" w:after="80" w:line="276" w:lineRule="auto"/>
      </w:pPr>
      <w:r>
        <w:rPr>
          <w:rFonts w:ascii="Arial" w:cs="Arial" w:eastAsia="Arial" w:hAnsi="Arial"/>
          <w:b/>
          <w:bCs/>
          <w:color w:val="2E75B6"/>
          <w:sz w:val="28"/>
          <w:szCs w:val="28"/>
        </w:rPr>
        <w:t xml:space="preserve">6.1.2 Hosted Execution Credits</w:t>
      </w:r>
    </w:p>
    <w:p>
      <w:pPr>
        <w:spacing w:before="0" w:after="200" w:line="276" w:lineRule="auto"/>
      </w:pPr>
      <w:r>
        <w:rPr>
          <w:rFonts w:ascii="Arial" w:cs="Arial" w:eastAsia="Arial" w:hAnsi="Arial"/>
          <w:color w:val="2C2C2C"/>
          <w:sz w:val="22"/>
          <w:szCs w:val="22"/>
        </w:rPr>
        <w:t xml:space="preserve">Hosted Execution Credits address the segment of users who prefer not to manage their own API keys or who need to execute agents at volumes that exceed their provider's free tier. Users purchase credit bundles (for example, $10 for 1,000 execution credits, $50 for 6,000 credits) or enable pay-as-you-go billing. Each agent run consumes credits proportional to its token usage at a rate that includes the underlying provider cost plus a platform margin. The token tracking infrastructure (WP-003, Section 3) provides the per-run cost data that the credit deduction system reads.</w:t>
      </w:r>
    </w:p>
    <w:p>
      <w:pPr>
        <w:spacing w:before="0" w:after="200" w:line="276" w:lineRule="auto"/>
      </w:pPr>
      <w:r>
        <w:rPr>
          <w:rFonts w:ascii="Arial" w:cs="Arial" w:eastAsia="Arial" w:hAnsi="Arial"/>
          <w:color w:val="2C2C2C"/>
          <w:sz w:val="22"/>
          <w:szCs w:val="22"/>
        </w:rPr>
        <w:t xml:space="preserve">Hosted Execution Credits create a consumption-based revenue layer that grows with platform usage independent of subscription count. A single enterprise user running 100 agents daily generates more execution revenue than 100 casual users running one agent per month. This revenue stream is therefore disproportionately valuable for the enterprise tier, where agent usage volume is high and the willingness to pay for governance and audit trail properties is established.</w:t>
      </w:r>
    </w:p>
    <w:p>
      <w:pPr>
        <w:pStyle w:val="Heading2"/>
        <w:spacing w:before="240" w:after="80" w:line="276" w:lineRule="auto"/>
      </w:pPr>
      <w:r>
        <w:rPr>
          <w:rFonts w:ascii="Arial" w:cs="Arial" w:eastAsia="Arial" w:hAnsi="Arial"/>
          <w:b/>
          <w:bCs/>
          <w:color w:val="2E75B6"/>
          <w:sz w:val="28"/>
          <w:szCs w:val="28"/>
        </w:rPr>
        <w:t xml:space="preserve">6.1.3 Marketplace Commission</w:t>
      </w:r>
    </w:p>
    <w:p>
      <w:pPr>
        <w:spacing w:before="0" w:after="200" w:line="276" w:lineRule="auto"/>
      </w:pPr>
      <w:r>
        <w:rPr>
          <w:rFonts w:ascii="Arial" w:cs="Arial" w:eastAsia="Arial" w:hAnsi="Arial"/>
          <w:color w:val="2C2C2C"/>
          <w:sz w:val="22"/>
          <w:szCs w:val="22"/>
        </w:rPr>
        <w:t xml:space="preserve">Creators who publish premium blueprints (is_premium=true) set a price_usd on the agent_templates record. Buyers pay through the Stripe integration; the platform retains a commission percentage and remits the remainder to the creator. The commission rate is configurable; initial rates in the range of 20 to 30% are consistent with established marketplace economics (App Store, Shopify App Store). Premium blueprint pricing is expected to range from $5 for simple utility agents to $200 for complex enterprise domain agents with validated governance configurations.</w:t>
      </w:r>
    </w:p>
    <w:p>
      <w:pPr>
        <w:spacing w:before="0" w:after="200" w:line="276" w:lineRule="auto"/>
      </w:pPr>
      <w:r>
        <w:rPr>
          <w:rFonts w:ascii="Arial" w:cs="Arial" w:eastAsia="Arial" w:hAnsi="Arial"/>
          <w:color w:val="2C2C2C"/>
          <w:sz w:val="22"/>
          <w:szCs w:val="22"/>
        </w:rPr>
        <w:t xml:space="preserve">The marketplace commission stream compounds with marketplace growth: every new creator who publishes premium blueprints adds to the catalog; a larger catalog attracts more buyers; more buyers create more commission revenue and more incentive for creators to publish. This compounding is the structural advantage of the marketplace model over a pure subscription.</w:t>
      </w:r>
    </w:p>
    <w:p>
      <w:pPr>
        <w:pStyle w:val="Heading2"/>
        <w:spacing w:before="240" w:after="80" w:line="276" w:lineRule="auto"/>
      </w:pPr>
      <w:r>
        <w:rPr>
          <w:rFonts w:ascii="Arial" w:cs="Arial" w:eastAsia="Arial" w:hAnsi="Arial"/>
          <w:b/>
          <w:bCs/>
          <w:color w:val="2E75B6"/>
          <w:sz w:val="28"/>
          <w:szCs w:val="28"/>
        </w:rPr>
        <w:t xml:space="preserve">6.1.4 Enterprise Agent Fleet Management</w:t>
      </w:r>
    </w:p>
    <w:p>
      <w:pPr>
        <w:spacing w:before="0" w:after="200" w:line="276" w:lineRule="auto"/>
      </w:pPr>
      <w:r>
        <w:rPr>
          <w:rFonts w:ascii="Arial" w:cs="Arial" w:eastAsia="Arial" w:hAnsi="Arial"/>
          <w:color w:val="2C2C2C"/>
          <w:sz w:val="22"/>
          <w:szCs w:val="22"/>
        </w:rPr>
        <w:t xml:space="preserve">Enterprise Agent Fleet Management is a high-value annual contract tier targeting organizations that run 10 or more agents requiring centralized administration. Fleet management capabilities include: a centralized governance dashboard showing all agent definitions, run histories, breach records, and compliance metrics across the organization; compliance reporting exports in CSV and JSON for regulatory submission; role-based access control for agent definitions (who can create, modify, activate, or view each agent); organization-level token and cost budget enforcement across all agents and all users; and SLA-backed support with a defined response time for breach events.</w:t>
      </w:r>
    </w:p>
    <w:p>
      <w:pPr>
        <w:spacing w:before="0" w:after="200" w:line="276" w:lineRule="auto"/>
      </w:pPr>
      <w:r>
        <w:rPr>
          <w:rFonts w:ascii="Arial" w:cs="Arial" w:eastAsia="Arial" w:hAnsi="Arial"/>
          <w:color w:val="2C2C2C"/>
          <w:sz w:val="22"/>
          <w:szCs w:val="22"/>
        </w:rPr>
        <w:t xml:space="preserve">The target buyer for Enterprise Fleet Management is the engineering or compliance leadership at a regulated-industry organization: a fintech company running automated trading agents, a healthcare organization running data processing agents over patient records, or a legal firm running document review agents. The governance properties that DEL-v2 provides (formal state machines, cryptographic audit trails, breach detection, role separation) are the specific compliance features these buyers require and cannot obtain from ungoverned agent frameworks.</w:t>
      </w:r>
    </w:p>
    <w:p>
      <w:pPr>
        <w:pStyle w:val="Heading2"/>
        <w:spacing w:before="240" w:after="80" w:line="276" w:lineRule="auto"/>
      </w:pPr>
      <w:r>
        <w:rPr>
          <w:rFonts w:ascii="Arial" w:cs="Arial" w:eastAsia="Arial" w:hAnsi="Arial"/>
          <w:b/>
          <w:bCs/>
          <w:color w:val="2E75B6"/>
          <w:sz w:val="28"/>
          <w:szCs w:val="28"/>
        </w:rPr>
        <w:t xml:space="preserve">6.2 Revenue Stream Interactions</w:t>
      </w:r>
    </w:p>
    <w:p>
      <w:pPr>
        <w:spacing w:before="0" w:after="200" w:line="276" w:lineRule="auto"/>
      </w:pPr>
      <w:r>
        <w:rPr>
          <w:rFonts w:ascii="Arial" w:cs="Arial" w:eastAsia="Arial" w:hAnsi="Arial"/>
          <w:color w:val="2C2C2C"/>
          <w:sz w:val="22"/>
          <w:szCs w:val="22"/>
        </w:rPr>
        <w:t xml:space="preserve">The four revenue streams are mutually reinforcing rather than competing. A user who begins with a SaaS subscription encounters agent capabilities, which drives hosted execution usage. High execution volume users become marketplace consumers, discovering blueprints that solve problems they have not yet built solutions for. Successful marketplace consumers may become marketplace creators, publishing their own blueprints and generating commission revenue. Enterprise customers combine all four streams: they pay the enterprise subscription, purchase hosted execution credits for their agent fleet, may purchase premium blueprints from the marketplace, and pay for the fleet management tier.</w:t>
      </w:r>
    </w:p>
    <w:p>
      <w:pPr>
        <w:spacing w:before="0" w:after="200" w:line="276" w:lineRule="auto"/>
      </w:pPr>
      <w:r>
        <w:rPr>
          <w:rFonts w:ascii="Arial" w:cs="Arial" w:eastAsia="Arial" w:hAnsi="Arial"/>
          <w:color w:val="2C2C2C"/>
          <w:sz w:val="22"/>
          <w:szCs w:val="22"/>
        </w:rPr>
        <w:t xml:space="preserve">The marketplace creates a user acquisition channel that does not require direct sales: a data engineer who discovers a published blueprint that solves a specific problem becomes a ContextKeeper user through the marketplace rather than through a marketing funnel. This organic acquisition dynamic reduces the customer acquisition cost for marketplace-driven users relative to subscription-driven acquisition, improving the unit economics of the revenue model as the marketplace catalog matures.</w:t>
      </w:r>
    </w:p>
    <w:p>
      <w:pPr>
        <w:pStyle w:val="Heading1"/>
        <w:pageBreakBefore/>
        <w:spacing w:before="360" w:after="120" w:line="276" w:lineRule="auto"/>
      </w:pPr>
      <w:r>
        <w:rPr>
          <w:rFonts w:ascii="Arial" w:cs="Arial" w:eastAsia="Arial" w:hAnsi="Arial"/>
          <w:b/>
          <w:bCs/>
          <w:color w:val="1B2A4A"/>
          <w:sz w:val="36"/>
          <w:szCs w:val="36"/>
        </w:rPr>
        <w:t xml:space="preserve">7. Governance-First Differentiation</w:t>
      </w:r>
    </w:p>
    <w:p>
      <w:pPr>
        <w:spacing w:before="0" w:after="200" w:line="276" w:lineRule="auto"/>
      </w:pPr>
      <w:r>
        <w:rPr>
          <w:rFonts w:ascii="Arial" w:cs="Arial" w:eastAsia="Arial" w:hAnsi="Arial"/>
          <w:color w:val="2C2C2C"/>
          <w:sz w:val="22"/>
          <w:szCs w:val="22"/>
        </w:rPr>
        <w:t xml:space="preserve">The governance-first differentiation of ContextKeeper agents is not a feature among others; it is the architectural property that makes the platform viable for enterprise deployment in regulated industries where competing frameworks are not viable. Table 8 maps each competing platform to its governance gap and the specific ContextKeeper resolution. The competitive landscape as of March 2026: LangGraph (26,200 GitHub stars, approximately 40 million monthly PyPI downloads, production deployments at LinkedIn, Uber, Klarna, J.P. Morgan, and Vodafone) is the open-source leader for stateful workflows; Microsoft Agent Framework reached Release Candidate February 19, 2026 (GA expected imminently); CrewAI holds 44,700 GitHub stars with $18 million raised; Google ADK (17,600 GitHub stars) pairs with Vertex AI's comprehensive native governance stack; and the OpenAI Agents SDK offers the fastest path to working agents for OpenAI-native teams.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Competing Platform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Provides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ContextKeeper Adds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(LangChain)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Graph-based agent workflows with typed state, built-in checkpointing (PostgresSaver/Redis), visual debugging via LangGraph Studio. ~40M monthly PyPI downloads. Production at LinkedIn, Uber, Klarna, Replit, Elastic, J.P. Morgan, BlackRock, Vodafone. LangSmith provides observability with SOC 2 Type II and HIPAA compliance. LangChain has officially recommended LangGraph for all new agent work.</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DEL-v2 governance wrapper applied from the outside -- LangGraph's enforcement is internal to its graph; SHA256-verified state transitions; PROTOCOL_BREACH halt with no auto-recovery; cryptographic audit trail; connector ecosystem with permission-scoped bindings enforced at the database level, not the prompt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Role-specialized multi-agent teams. $18M raised (October 2024). 44,700+ GitHub stars. Tool scoping and iteration limits are structurally enforced; agent roles are prompt-level behavioral guidance. Named customers: PwC, DocuSign, IBM, Konecta. Fortune 500 adoption claims (60%) are self-reported and unverified by independent audit. First-class MCP integration; CrewAI Enterprise includes RBAC, immutable audit logs, and on-premise deployment.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role enforcement (not advisory); no single agent can self-approve; breach detection across role boundaries; formal state machine replacing heuristic role adherence; cryptographic audit trail independent of CrewAI's closed enterprise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 (unifying AutoGen + Semantic Kernel)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RC February 2026. Azure RBAC, Entra Agent ID, VNet isolation, OpenTelemetry tracing, Purview integration for DLP and audit logging. A separate Agent Governance Toolkit (early-stage, 46 commits) provides Ed25519 cryptographic agent identity and append-only audit logs. Agent 365 (GA May 2026) will extend Microsoft Defender to AI agents.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Portable plan persistence across model switches and context exhaustion (WP-003, Section 4); formal DEL-v2 lifecycle independent of Azure infrastructure; marketplace for governed agent configurations; connector ecosystem with 67 service types; breach detection as a first-class platform feature rather than a separate toolkit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 + Vertex AI Agent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ADK released April 2025 (17,600 GitHub stars, Apache 2.0). Vertex AI governance stack: Agent Identity via IAM principals, Security Command Center threat detection, VPC Service Controls, Model Armor (prompt injection protection), Cloud API Registry for tool governance, Automated Reasoning Checks for factual verification. Most comprehensive native governance among cloud providers.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Portable governance independent of GCP infrastructure; formal DEL-v2 state machine with external breach enforcement; community marketplace of governed blueprints with transaction infrastructure; connector permission scoping across 67 service types beyond Google's tool ecosystem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Released March 2025 (18,900 GitHub stars, v0.12.3). Provider-agnostic via LiteLLM despite OpenAI optimization. Guardrails and tracing are developer-configured; formal compliance features available only at Enterprise platform level. AgentKit adds visual Agent Builder and Connector Registry.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Model-agnostic governance as platform feature (not per-agent configuration); formal state machine enforcement; breach detection with mandatory human resolution; community marketplace of governed blueprints; connector permission scoping at the database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Zapier AI / Make.com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No-code workflow automation with AI action steps; large pre-built integration catalog.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governance with breach detection; developer-grade connector access (not simplified connectors); open-weight model support; community marketplace for governed agent blueprints; full DEL-v2 audit trail for compliance reporting</w:t>
            </w:r>
          </w:p>
        </w:tc>
      </w:tr>
    </w:tbl>
    <w:p>
      <w:pPr>
        <w:spacing w:before="120" w:after="0"/>
      </w:pPr>
    </w:p>
    <w:p>
      <w:pPr>
        <w:spacing w:before="0" w:after="200" w:line="276" w:lineRule="auto"/>
      </w:pPr>
      <w:r>
        <w:rPr>
          <w:rFonts w:ascii="Arial" w:cs="Arial" w:eastAsia="Arial" w:hAnsi="Arial"/>
          <w:color w:val="2C2C2C"/>
          <w:sz w:val="22"/>
          <w:szCs w:val="22"/>
        </w:rPr>
        <w:t xml:space="preserve">The competitive moat is cumulative: each layer of governance property adds to the defensibility of the differentiation. SHA256-verified state transitions alone could be replicated. The combination of SHA256 verification, formal 10-state lifecycle enforcement, breach detection with mandatory human resolution, multi-agent role separation that cannot be circumvented by model instructions, connector permission-scoped bindings that enforce at the database level, and a community marketplace of validated governed blueprints is a differentiation surface that requires significant engineering investment to replicate from any single product.</w:t>
      </w:r>
    </w:p>
    <w:p>
      <w:pPr>
        <w:spacing w:before="0" w:after="200" w:line="276" w:lineRule="auto"/>
      </w:pPr>
      <w:r>
        <w:rPr>
          <w:rFonts w:ascii="Arial" w:cs="Arial" w:eastAsia="Arial" w:hAnsi="Arial"/>
          <w:color w:val="2C2C2C"/>
          <w:sz w:val="22"/>
          <w:szCs w:val="22"/>
        </w:rPr>
        <w:t xml:space="preserve">The governance differentiation must be framed accurately. The OWASP Top 10 for Agentic Applications (December 2025) identifies Agent Goal Hijack, Tool Misuse, Identity and Privilege Abuse, Cascading Failures, and Memory and Context Poisoning as the leading agent security risks. ContextKeeper's DEL-v2 state machine directly addresses all five: formal state transitions prevent goal hijack by external enforcement; connector permission scoping prevents tool misuse; multi-agent role separation prevents identity and privilege abuse; gate-verified inter-stage handoff prevents cascade failures; cryptographic bundle integrity prevents context poisoning. No single competing platform addresses all five from a unified architecture.</w:t>
      </w:r>
    </w:p>
    <w:p>
      <w:pPr>
        <w:spacing w:before="0" w:after="200" w:line="276" w:lineRule="auto"/>
      </w:pPr>
      <w:r>
        <w:rPr>
          <w:rFonts w:ascii="Arial" w:cs="Arial" w:eastAsia="Arial" w:hAnsi="Arial"/>
          <w:color w:val="2C2C2C"/>
          <w:sz w:val="22"/>
          <w:szCs w:val="22"/>
        </w:rPr>
        <w:t xml:space="preserve">The enterprise buyer requirement is validated by market data. KPMG Q4 2025: 75% of enterprise leaders prioritize security, compliance, and auditability for agent deployment; 50% plan $10-50 million investment in secure agentic architectures in 2026; 60% restrict agent access to sensitive data without human oversight. Current regulatory frameworks (EU AI Act Annex III, NIST AI RMF, NIST AI Agent Standards Initiative launched 2026) do not yet mandate cryptographic audit trails, but NIST's explicit focus on agent identity, credentialing, and privilege escalation safeguards signals that mandatory standards are forming. ContextKeeper's architecture positions it ahead of where regulation is going.</w:t>
      </w:r>
    </w:p>
    <w:p>
      <w:pPr>
        <w:pBdr>
          <w:left w:val="single" w:color="2E75B6" w:sz="6" w:space="8"/>
        </w:pBdr>
        <w:spacing w:before="120" w:after="120"/>
        <w:ind w:left="720"/>
      </w:pPr>
      <w:r>
        <w:rPr>
          <w:rFonts w:ascii="Arial" w:cs="Arial" w:eastAsia="Arial" w:hAnsi="Arial"/>
          <w:i/>
          <w:iCs/>
          <w:color w:val="555555"/>
          <w:sz w:val="22"/>
          <w:szCs w:val="22"/>
        </w:rPr>
        <w:t xml:space="preserve">The enterprise compliance argument is not aspirational. The specific governance properties ContextKeeper provides -- formal state machines with provable transitions, cryptographic audit trails, breach detection with fail-closed behavior, role separation preventing self-approval -- are the properties that enterprise risk and compliance teams require when evaluating AI agent deployments for regulated workloads. No competing platform provides this combination as a first-class database-backed feature, independent of cloud infrastructure, with a governed community marketplace for configuration sharing.</w:t>
      </w:r>
    </w:p>
    <w:p>
      <w:pPr>
        <w:spacing w:before="0" w:after="200" w:line="276" w:lineRule="auto"/>
      </w:pPr>
      <w:r>
        <w:rPr>
          <w:rFonts w:ascii="Arial" w:cs="Arial" w:eastAsia="Arial" w:hAnsi="Arial"/>
          <w:color w:val="2C2C2C"/>
          <w:sz w:val="22"/>
          <w:szCs w:val="22"/>
        </w:rPr>
        <w:t xml:space="preserve">The marketplace lock-in effect compounds the technical differentiation. Agent blueprints published in the ContextKeeper marketplace encode ContextKeeper governance configurations. A blueprint specifying governance_template='audited' with specific gate conditions for financial data handling is not directly portable to LangGraph or CrewAI, because those frameworks do not implement the same governance primitives. Developer tool marketplace commission benchmarks -- GitHub Marketplace at 5%, Salesforce AppExchange at 15%, Atlassian Marketplace at 20-25% -- provide validated pricing references for ContextKeeper's own commission model.</w:t>
      </w:r>
    </w:p>
    <w:p>
      <w:pPr>
        <w:pStyle w:val="Heading1"/>
        <w:pageBreakBefore/>
        <w:spacing w:before="360" w:after="120" w:line="276" w:lineRule="auto"/>
      </w:pPr>
      <w:r>
        <w:rPr>
          <w:rFonts w:ascii="Arial" w:cs="Arial" w:eastAsia="Arial" w:hAnsi="Arial"/>
          <w:b/>
          <w:bCs/>
          <w:color w:val="1B2A4A"/>
          <w:sz w:val="36"/>
          <w:szCs w:val="36"/>
        </w:rPr>
        <w:t xml:space="preserve">8. Implementation Evidence</w:t>
      </w:r>
    </w:p>
    <w:p>
      <w:pPr>
        <w:spacing w:before="0" w:after="200" w:line="276" w:lineRule="auto"/>
      </w:pPr>
      <w:r>
        <w:rPr>
          <w:rFonts w:ascii="Arial" w:cs="Arial" w:eastAsia="Arial" w:hAnsi="Arial"/>
          <w:color w:val="2C2C2C"/>
          <w:sz w:val="22"/>
          <w:szCs w:val="22"/>
        </w:rPr>
        <w:t xml:space="preserve">The agent orchestration capabilities defined in this paper are in the vision and design phase as of March 2026. This section documents the current state accurately, consistent with the series-wide commitment to distinguishing between what exists, what is specified, and what is planned.</w:t>
      </w:r>
    </w:p>
    <w:p>
      <w:pPr>
        <w:spacing w:before="0" w:after="200" w:line="276" w:lineRule="auto"/>
      </w:pPr>
      <w:r>
        <w:rPr>
          <w:rFonts w:ascii="Arial" w:cs="Arial" w:eastAsia="Arial" w:hAnsi="Arial"/>
          <w:color w:val="2C2C2C"/>
          <w:sz w:val="22"/>
          <w:szCs w:val="22"/>
        </w:rPr>
        <w:t xml:space="preserve">Infrastructure that exists and supports agent orchestration: the DEL-v2 governance protocol (WP-001) that provides the execution wrapper for all agent runs is live and validated across 29 sealed engineering milestones; the connector ecosystem with 67 type definitions and 5 functional implementations (GitHub, Google Drive, S3, PostgreSQL, LocalFile) provides the tool access layer for agents; the REST API with 19 endpoints provides the invocation surface for API-triggered agents; the token tracking infrastructure (WP-003, Section 3) is fully specified and ready for implementation, providing the metering layer for hosted execution billing.</w:t>
      </w:r>
    </w:p>
    <w:p>
      <w:pPr>
        <w:spacing w:before="0" w:after="200" w:line="276" w:lineRule="auto"/>
      </w:pPr>
      <w:r>
        <w:rPr>
          <w:rFonts w:ascii="Arial" w:cs="Arial" w:eastAsia="Arial" w:hAnsi="Arial"/>
          <w:color w:val="2C2C2C"/>
          <w:sz w:val="22"/>
          <w:szCs w:val="22"/>
        </w:rPr>
        <w:t xml:space="preserve">Design-phase components with complete specifications: the agent definition schema (Section 3.3, Table 1), the agent database schema (Section 3.4, Table 2), the execution engine architecture (Section 4.1, Table 3), the trigger system (Section 4.2, Table 4), governance modes (Section 4.4, Table 5), and the marketplace feature set (Section 5.1, Table 6) are fully specified with database schemas, component APIs, and integration dependencies defined. These specifications are implementation-ready; the remaining work is engineering execution.</w:t>
      </w:r>
    </w:p>
    <w:p>
      <w:pPr>
        <w:spacing w:before="0" w:after="200" w:line="276" w:lineRule="auto"/>
      </w:pPr>
      <w:r>
        <w:rPr>
          <w:rFonts w:ascii="Arial" w:cs="Arial" w:eastAsia="Arial" w:hAnsi="Arial"/>
          <w:color w:val="2C2C2C"/>
          <w:sz w:val="22"/>
          <w:szCs w:val="22"/>
        </w:rPr>
        <w:t xml:space="preserve">The build sequence for agent capabilities within the overall platform development plan is: agent data model and API endpoints (Phase C, engineering iteration 15), agent designer UI (Phase C, engineering iteration 16), agent execution engine (Phase C, engineering iteration 17), marketplace foundation (Phase D, engineering iteration 18), and hosted execution and monetization (Phase D, engineering iteration 19). Phase C cannot begin until Phase A (SaaS foundation including payments, auth, and core connectors) and Phase B (team features and enterprise features) are complete, as those phases deliver the prerequisite infrastructure.</w:t>
      </w:r>
    </w:p>
    <w:p>
      <w:pPr>
        <w:pStyle w:val="Heading1"/>
        <w:pageBreakBefore/>
        <w:spacing w:before="360" w:after="120" w:line="276" w:lineRule="auto"/>
      </w:pPr>
      <w:r>
        <w:rPr>
          <w:rFonts w:ascii="Arial" w:cs="Arial" w:eastAsia="Arial" w:hAnsi="Arial"/>
          <w:b/>
          <w:bCs/>
          <w:color w:val="1B2A4A"/>
          <w:sz w:val="36"/>
          <w:szCs w:val="36"/>
        </w:rPr>
        <w:t xml:space="preserve">9. Integration Points</w:t>
      </w:r>
    </w:p>
    <w:p>
      <w:pPr>
        <w:spacing w:before="0" w:after="200" w:line="276" w:lineRule="auto"/>
      </w:pPr>
      <w:r>
        <w:rPr>
          <w:rFonts w:ascii="Arial" w:cs="Arial" w:eastAsia="Arial" w:hAnsi="Arial"/>
          <w:color w:val="2C2C2C"/>
          <w:sz w:val="22"/>
          <w:szCs w:val="22"/>
        </w:rPr>
        <w:t xml:space="preserve">WP-001 (DEL-v2 Technical Reference): the DEL-v2 10-state lifecycle (WP-001, Section 4) is applied at agent run granularity in the execution engine (Section 4.3 of this paper). The SHA256 verification mechanism (WP-001, Section 9) is used in audited governance mode to produce cryptographically verified state transition records. The multi-agent role model (WP-001, Section 7) maps directly to the role_assignment field in the agent definition schema. PROTOCOL_BREACH handling (WP-001, Section 3) is the basis for the breach handler defined in Section 4.7 of this paper.</w:t>
      </w:r>
    </w:p>
    <w:p>
      <w:pPr>
        <w:spacing w:before="0" w:after="200" w:line="276" w:lineRule="auto"/>
      </w:pPr>
      <w:r>
        <w:rPr>
          <w:rFonts w:ascii="Arial" w:cs="Arial" w:eastAsia="Arial" w:hAnsi="Arial"/>
          <w:color w:val="2C2C2C"/>
          <w:sz w:val="22"/>
          <w:szCs w:val="22"/>
        </w:rPr>
        <w:t xml:space="preserve">WP-002 (Enterprise Delivery Governance): the delivery contract gate conditions (WP-002, Section 3.1) are the template for configurable gate conditions in agent governance_config. The Task Governance Schema (WP-002, Section 3.4) maps to the agent definition schema fields governing quality tier and enterprise criticality. The multi-model consensus protocol (WP-002, Section 6) is applicable to agents configured with Auditor role bindings, where a second model reviews the Executor's output before gate passage.</w:t>
      </w:r>
    </w:p>
    <w:p>
      <w:pPr>
        <w:spacing w:before="0" w:after="200" w:line="276" w:lineRule="auto"/>
      </w:pPr>
      <w:r>
        <w:rPr>
          <w:rFonts w:ascii="Arial" w:cs="Arial" w:eastAsia="Arial" w:hAnsi="Arial"/>
          <w:color w:val="2C2C2C"/>
          <w:sz w:val="22"/>
          <w:szCs w:val="22"/>
        </w:rPr>
        <w:t xml:space="preserve">WP-003 (Platform Architecture and Token Intelligence): the token tracking infrastructure (WP-003, Section 3) is the metering layer for hosted execution billing (Section 6.1.2 of this paper). The token budget enforcement mechanism (WP-003, Section 3.4) is the basis for per-run agent token budgets (Section 4.6 of this paper). The model switch mechanism (WP-003, Section 8) is used when an agent hits its cost budget and the user elects to switch to a cheaper model. The chat interface Layer 5 (WP-003, Section 5.1.5) is the natural language entry point for the agent builder hub.</w:t>
      </w:r>
    </w:p>
    <w:p>
      <w:pPr>
        <w:spacing w:before="0" w:after="200" w:line="276" w:lineRule="auto"/>
      </w:pPr>
      <w:r>
        <w:rPr>
          <w:rFonts w:ascii="Arial" w:cs="Arial" w:eastAsia="Arial" w:hAnsi="Arial"/>
          <w:color w:val="2C2C2C"/>
          <w:sz w:val="22"/>
          <w:szCs w:val="22"/>
        </w:rPr>
        <w:t xml:space="preserve">WP-004 (Open Infrastructure and AI Toolkit Reference): the agent frameworks cataloged in WP-004, Section 5 (LangGraph, CrewAI, the Microsoft Agent Framework, the OpenAI Agents SDK) are the execution engines that the ContextKeeper agent execution engine wraps with DEL-v2 governance. The connector-powered RAG pipeline (WP-004, Section 4.4) is the retrieval infrastructure that connector-powered agents use for context retrieval. The inference backends (WP-004, Section 6.2) are the backends used by the LLM Dispatcher component of the execution engine.</w:t>
      </w:r>
    </w:p>
    <w:p>
      <w:pPr>
        <w:spacing w:before="0" w:after="200" w:line="276" w:lineRule="auto"/>
      </w:pPr>
      <w:r>
        <w:rPr>
          <w:rFonts w:ascii="Arial" w:cs="Arial" w:eastAsia="Arial" w:hAnsi="Arial"/>
          <w:color w:val="2C2C2C"/>
          <w:sz w:val="22"/>
          <w:szCs w:val="22"/>
        </w:rPr>
        <w:t xml:space="preserve">WP-006 (Master Execution Plan and Phased Delivery Roadmap, planned): the build sequence for agent capabilities (Phase C: engineering iterations 15 through 17; Phase D: engineering iterations 18 and 19) is incorporated into the phased delivery roadmap in WP-006. The dependency on Phase A and Phase B completion is documented in WP-006's dependency graph.</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We have defined the complete agent orchestration, marketplace, and revenue architecture for the ContextKeeper platform. The Agent Builder Hub provides a web-based interface for defining governed agents with system prompt templates, connector bindings, DEL-v2 governance configurations, trigger types, and resource budgets. The Agent Execution Engine enforces the governance configuration through an eight-component runtime that applies the DEL-v2 10-state lifecycle at run granularity, dispatches connector operations within permission-scoped bindings, and writes a complete audit trail to the platform database. Three governance modes (light, standard, audited) allow agents to be calibrated from minimal-overhead personal tools to cryptographically verified regulated-industry deployments.</w:t>
      </w:r>
    </w:p>
    <w:p>
      <w:pPr>
        <w:spacing w:before="0" w:after="200" w:line="276" w:lineRule="auto"/>
      </w:pPr>
      <w:r>
        <w:rPr>
          <w:rFonts w:ascii="Arial" w:cs="Arial" w:eastAsia="Arial" w:hAnsi="Arial"/>
          <w:color w:val="2C2C2C"/>
          <w:sz w:val="22"/>
          <w:szCs w:val="22"/>
        </w:rPr>
        <w:t xml:space="preserve">The community marketplace creates a 'GitHub for agent configurations': a discovery and distribution layer where governed blueprints are published, forked, and rated, creating a network effect that compounds platform value as the catalog grows. The fork mechanism delivers time-to-value measured in minutes rather than hours for users who discover blueprints compatible with their connector bindings. Creator reputation compounds across the catalog, establishing a quality signal mechanism that improves with scale.</w:t>
      </w:r>
    </w:p>
    <w:p>
      <w:pPr>
        <w:spacing w:before="0" w:after="200" w:line="276" w:lineRule="auto"/>
      </w:pPr>
      <w:r>
        <w:rPr>
          <w:rFonts w:ascii="Arial" w:cs="Arial" w:eastAsia="Arial" w:hAnsi="Arial"/>
          <w:color w:val="2C2C2C"/>
          <w:sz w:val="22"/>
          <w:szCs w:val="22"/>
        </w:rPr>
        <w:t xml:space="preserve">The revenue model extension adds three streams to the existing subscription: Hosted Execution Credits (consumption-based billing that grows with platform usage), Marketplace Commission (compounding revenue as the catalog and transaction volume grow), and Enterprise Agent Fleet Management (high-value annual contracts for regulated industry deployments). These streams are mutually reinforcing: marketplace discovery drives subscription acquisition, subscription users drive execution revenue, execution volume creates enterprise fleet management sales opportunities.</w:t>
      </w:r>
    </w:p>
    <w:p>
      <w:pPr>
        <w:spacing w:before="0" w:after="200" w:line="276" w:lineRule="auto"/>
      </w:pPr>
      <w:r>
        <w:rPr>
          <w:rFonts w:ascii="Arial" w:cs="Arial" w:eastAsia="Arial" w:hAnsi="Arial"/>
          <w:color w:val="2C2C2C"/>
          <w:sz w:val="22"/>
          <w:szCs w:val="22"/>
        </w:rPr>
        <w:t xml:space="preserve">The competitive landscape as of March 2026 confirms the governance gap analysis. LangGraph (26,200 GitHub stars, approximately 40 million monthly PyPI downloads, production at LinkedIn, Uber, Klarna, J.P. Morgan) leads for stateful workflows but provides no external governance enforcement -- its state management is internal to the graph's execution. The Microsoft Agent Framework (RC as of February 19, 2026) provides Azure identity and Purview audit logging but not formal state machine enforcement with cryptographic integrity independent of cloud infrastructure. CrewAI leads for speed and role-based collaboration but enforces roles via prompting, not system-level constraint. Google ADK with Vertex AI governance provides the most comprehensive native governance stack among the cloud providers, but it is infrastructure-bound, has no commercial agent marketplace, and does not provide breach detection as a platform feature. No competing platform provides the combination of formal state machines with provable transitions, cryptographic audit trails, breach detection that halts on invariant violation, role separation that prevents self-approval, and a governed commercial marketplace with transaction infrastructure. That combination is the architecture that enterprise compliance teams and NIST's new AI Agent Standards Initiative are converging on, and it is the moat that makes ContextKeeper's agent platform defensible.</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9 defines all technical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Blueprint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published agent definition in the community marketplace. A blueprint contains the complete agent specification (system prompt, connector bindings, governance configuration) and can be forked by other users who adapt it to their own connector credentials and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Definition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complete specification of an agent stored in the agents table: system prompt template, connector bindings, governance configuration, trigger type, token and cost budgets, and lifecycle status. The definition is the persistent configuration; agent_runs records the execution history.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 Engine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server-side runtime that loads an agent definition, enforces the DEL-v2 governance loop, dispatches inference calls through the token tracking proxy, executes connector operations within permission bounds, and logs every state transition and decision to the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agent_connectors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junction table binding connector instances to agent definitions with a specified permission level (read, write, or read_write). An agent can only access connectors listed in its agent_connectors bindings; connector access outside this set is blocked at the execution engine level.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agent_runs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table recording every execution instance of an agent: trigger source, model used, DEL-v2 state at completion, token counts, total cost, decisions logged, invariants checked, breach count, and timestamps. The primary audit trail for agent executions.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agent_templates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marketplace listing table for published agent blueprints: category, tags, premium flag, price, fork count, use count, and average rating. References both the source agent definition and the publishing user.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Audited Mode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highest governance mode for agent execution: full DEL-v2 10-state lifecycle plus SHA256-verified state transitions and reproducibility contract fields captured per run. Required for regulated industry deployments and enterprise compliance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In the agent execution context, BYOK means the agent's inference calls are routed through the user's own API keys, with token tracking applied by the platform proxy.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Binding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association between an agent definition and a connector instance, stored in agent_connectors with a specified permission level. The binding determines which external services the agent can access and whether it can read, write, or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defined in WP-001 that provides the execution wrapper for every agent run in ContextKeeper. Applied at run granularity: each agent_runs record corresponds to one DEL-v2 state machine instance.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act of copying a published agent blueprint from the marketplace to a user's own account as a new draft agent definition. The fork copies the system prompt, governance configuration, and connector binding structure; it does not copy connector credentials, which must be provided by the forking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enforcement intensity applied to an agent execution run: light (state tracking only), standard (full DEL-v2 lifecycle with gates), or audited (standard plus SHA256 verification and reproducibility contracts). Configured per agent definition via governance_template.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Hosted Execution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revenue stream in which users pay ContextKeeper to provide inference compute for agent runs, rather than supplying their own API keys. Metered via the token tracking infrastructure (WP-003, Section 3); billed through an execution credit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structural assertion that must hold true at defined points in an agent's execution. Invariants are specified in the agent's governance_config and evaluated by the Gate Evaluator at each gate transition. A failed invariant triggers PROTOCOL_BREACH and halts execution.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Commission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revenue stream in which ContextKeeper takes a percentage of each premium agent template sale. The creator sets the price; the buyer pays through Stripe; the platform retains the commission and remits the remainder to the creator.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 (Agent Development Kit)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open-source agent framework released April 2025 (Apache 2.0, 17,600+ GitHub stars). Works with Gemini and 100+ models via LiteLLM. Pairs with Vertex AI Agent Engine, which provides Agent Identity via IAM principals, VPC Service Controls, Security Command Center threat detection, Model Armor for prompt injection protection, and Cloud API Registry for tool governance.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unified Microsoft enterprise agent SDK that merged AutoGen (multi-agent conversation patterns) and Semantic Kernel (enterprise LLM SDK with planning primitives) in October 2025. Release Candidate reached February 19, 2026; GA expected Q1 2026. Provides Azure RBAC, Entra Agent ID, VNet isolation, and OpenTelemetry observability. A separately published Agent Governance Toolkit (early-stage) adds Ed25519 cryptographic agent identity and append-only audit logs. Agent 365 (GA May 2026) will extend Microsoft Defender to AI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OWASP Top 10 for Agentic Applications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definitive security taxonomy for AI agent systems, released December 10, 2025, developed with 100+ experts including NIST, Cisco, AWS, and Microsoft representatives. The ten risks are: Agent Goal Hijack, Tool Misuse, Identity and Privilege Abuse, Agentic Supply Chain Vulnerabilities, Unexpected Code Execution, Memory and Context Poisoning, Insecure Inter-Agent Communication, Cascading Failures, Human-Agent Trust Exploitation, and Rogue Agents. ContextKeeper's DEL-v2 state machine directly addresses risks 1-4 and 7-8 through formal state enforcement, connector permission scoping, and gate-verified inter-stage handoff.</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terminal error state entered when any governance rule is violated during agent execution. On breach: execution halts immediately, the agent_runs record is marked breached, the agent definition is paused, and the user is notified. No automatic recovery; operator resolution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 Assignment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DEL-v2 multi-agent model applied to agent execution: Operator (plans and authorizes work), Executor (performs work), Auditor (verifies work). No single agent can occupy both Executor and Auditor roles for the same run, preventing self-approval of outputs.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Prompt Template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agent's instruction set, personality definition, and operational constraints stored in agents.system_prompt. Supports template variables that resolve at runtime (e.g., {{project_name}}, {{user_role}}, {{connector_name}}) allowing a single template to serve multiple contexts.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Budget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maximum token count or USD cost allowed for a single agent execution run, configured at the agent definition level. When a run approaches its budget, the execution engine pauses and prompts the user to confirm continuation, switch to a cheaper model, or abort.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 Type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invocation mechanism for an agent: manual (dashboard button), api (HTTP POST with API key), webhook (event payload from external service), or schedule (cron expression). The trigger type determines the authentication mechanism and entry point for execution.</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[10-state lifecycle, SHA256 verification, multi-agent role model, and PROTOCOL_BREACH handling referenced throughout this paper.]</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[Delivery contract gate conditions, Task Governance Schema, and multi-model consensus protocol referenced in Sections 4.3 and 9.]</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token budget enforcement, model switch mechanism, and chat interface Layer 5 referenced in Sections 4.6, 6.1.2, and 9.]</w:t>
      </w:r>
    </w:p>
    <w:p>
      <w:pPr>
        <w:spacing w:before="0" w:after="200" w:line="276" w:lineRule="auto"/>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[Agent frameworks, connector-powered RAG pipeline, and inference backends referenced in Sections 4.5 and 9.]</w:t>
      </w:r>
    </w:p>
    <w:p>
      <w:pPr>
        <w:spacing w:before="80" w:after="0"/>
      </w:pPr>
    </w:p>
    <w:p>
      <w:pPr>
        <w:spacing w:before="0" w:after="200" w:line="276" w:lineRule="auto"/>
      </w:pPr>
      <w:r>
        <w:rPr>
          <w:rFonts w:ascii="Arial" w:cs="Arial" w:eastAsia="Arial" w:hAnsi="Arial"/>
          <w:color w:val="2C2C2C"/>
          <w:sz w:val="22"/>
          <w:szCs w:val="22"/>
        </w:rPr>
        <w:t xml:space="preserve">Microsoft. (2025, October). Microsoft Agent Framework: Unifying AutoGen and Semantic Kernel. Microsoft Research and Azure AI. [Merger of AutoGen and Semantic Kernel into unified Microsoft Agent Framework referenced in Sections 2.1 and 7.]</w:t>
      </w:r>
    </w:p>
    <w:p>
      <w:pPr>
        <w:spacing w:before="0" w:after="200" w:line="276" w:lineRule="auto"/>
      </w:pPr>
      <w:r>
        <w:rPr>
          <w:rFonts w:ascii="Arial" w:cs="Arial" w:eastAsia="Arial" w:hAnsi="Arial"/>
          <w:color w:val="2C2C2C"/>
          <w:sz w:val="22"/>
          <w:szCs w:val="22"/>
        </w:rPr>
        <w:t xml:space="preserve">LangChain Inc. (2026). LangGraph v1.0 Production Release. github.com/langchain-ai/langgraph. [LangGraph production adoption metrics, checkpointing capabilities, and graph-based state machine architecture referenced in Sections 2.1 and 7.]</w:t>
      </w:r>
    </w:p>
    <w:p>
      <w:pPr>
        <w:spacing w:before="0" w:after="200" w:line="276" w:lineRule="auto"/>
      </w:pPr>
      <w:r>
        <w:rPr>
          <w:rFonts w:ascii="Arial" w:cs="Arial" w:eastAsia="Arial" w:hAnsi="Arial"/>
          <w:color w:val="2C2C2C"/>
          <w:sz w:val="22"/>
          <w:szCs w:val="22"/>
        </w:rPr>
        <w:t xml:space="preserve">CrewAI Inc. (2025). CrewAI Series A Announcement and Adoption Data. crewai.com. [CrewAI $18M Series A funding, Fortune 500 adoption claims, and monthly workflow metrics referenced in Sections 2.1 and 7.]</w:t>
      </w:r>
    </w:p>
    <w:p>
      <w:pPr>
        <w:spacing w:before="0" w:after="200" w:line="276" w:lineRule="auto"/>
      </w:pPr>
      <w:r>
        <w:rPr>
          <w:rFonts w:ascii="Arial" w:cs="Arial" w:eastAsia="Arial" w:hAnsi="Arial"/>
          <w:color w:val="2C2C2C"/>
          <w:sz w:val="22"/>
          <w:szCs w:val="22"/>
        </w:rPr>
        <w:t xml:space="preserve">Microsoft. (2025, October). Microsoft Agent Framework: Unifying AutoGen and Semantic Kernel. Azure Blog and AutoGen DevBlog. [RC announced February 19, 2026. Merger timeline and governance capabilities referenced in Sections 2.1, 7, 9.]</w:t>
      </w:r>
    </w:p>
    <w:p>
      <w:pPr>
        <w:spacing w:before="0" w:after="200" w:line="276" w:lineRule="auto"/>
      </w:pPr>
      <w:r>
        <w:rPr>
          <w:rFonts w:ascii="Arial" w:cs="Arial" w:eastAsia="Arial" w:hAnsi="Arial"/>
          <w:color w:val="2C2C2C"/>
          <w:sz w:val="22"/>
          <w:szCs w:val="22"/>
        </w:rPr>
        <w:t xml:space="preserve">Google. (2025, April). Agent Development Kit: Making it easy to build multi-agent applications. Google Developers Blog. [ADK Apache 2.0, 17,600+ GitHub stars. Vertex AI Agent Engine governance stack referenced in Sections 2.1 and 7.]</w:t>
      </w:r>
    </w:p>
    <w:p>
      <w:pPr>
        <w:spacing w:before="0" w:after="200" w:line="276" w:lineRule="auto"/>
      </w:pPr>
      <w:r>
        <w:rPr>
          <w:rFonts w:ascii="Arial" w:cs="Arial" w:eastAsia="Arial" w:hAnsi="Arial"/>
          <w:color w:val="2C2C2C"/>
          <w:sz w:val="22"/>
          <w:szCs w:val="22"/>
        </w:rPr>
        <w:t xml:space="preserve">LangChain Inc. (2025, October). Reflections on Three Years of LangChain. blog.langchain.com. [Official recommendation of LangGraph for agent work; $125M Series B at $1.25B valuation; LangSmith 250,000+ signups, 1B traces, 25,000 monthly active teams. Referenced in Sections 2.1 and 7.]</w:t>
      </w:r>
    </w:p>
    <w:p>
      <w:pPr>
        <w:spacing w:before="0" w:after="200" w:line="276" w:lineRule="auto"/>
      </w:pPr>
      <w:r>
        <w:rPr>
          <w:rFonts w:ascii="Arial" w:cs="Arial" w:eastAsia="Arial" w:hAnsi="Arial"/>
          <w:color w:val="2C2C2C"/>
          <w:sz w:val="22"/>
          <w:szCs w:val="22"/>
        </w:rPr>
        <w:t xml:space="preserve">LangChain Inc. (2026). LangGraph v1.1.2 Production Release and Built with LangGraph case studies. langchain.com. [26,200 GitHub stars, ~40M monthly PyPI downloads; confirmed production deployments. Referenced in Sections 2.1 and 7.]</w:t>
      </w:r>
    </w:p>
    <w:p>
      <w:pPr>
        <w:spacing w:before="0" w:after="200" w:line="276" w:lineRule="auto"/>
      </w:pPr>
      <w:r>
        <w:rPr>
          <w:rFonts w:ascii="Arial" w:cs="Arial" w:eastAsia="Arial" w:hAnsi="Arial"/>
          <w:color w:val="2C2C2C"/>
          <w:sz w:val="22"/>
          <w:szCs w:val="22"/>
        </w:rPr>
        <w:t xml:space="preserve">CrewAI Inc. (2024, October 22). CrewAI Launches Multi-Agentic Platform. GlobeNewswire. [$18M funding confirmed; named customers PwC, DocuSign, IBM, Konecta. Fortune 500 adoption claims are self-reported. Referenced in Sections 2.1 and 7.]</w:t>
      </w:r>
    </w:p>
    <w:p>
      <w:pPr>
        <w:spacing w:before="0" w:after="200" w:line="276" w:lineRule="auto"/>
      </w:pPr>
      <w:r>
        <w:rPr>
          <w:rFonts w:ascii="Arial" w:cs="Arial" w:eastAsia="Arial" w:hAnsi="Arial"/>
          <w:color w:val="2C2C2C"/>
          <w:sz w:val="22"/>
          <w:szCs w:val="22"/>
        </w:rPr>
        <w:t xml:space="preserve">OpenAI. (2025, March 11). OpenAI Agents SDK v0.12.3. github.com/openai/openai-agents-python. [18,900 GitHub stars; provider-agnostic via LiteLLM. Referenced in Sections 2.1 and 7.]</w:t>
      </w:r>
    </w:p>
    <w:p>
      <w:pPr>
        <w:spacing w:before="0" w:after="200" w:line="276" w:lineRule="auto"/>
      </w:pPr>
      <w:r>
        <w:rPr>
          <w:rFonts w:ascii="Arial" w:cs="Arial" w:eastAsia="Arial" w:hAnsi="Arial"/>
          <w:color w:val="2C2C2C"/>
          <w:sz w:val="22"/>
          <w:szCs w:val="22"/>
        </w:rPr>
        <w:t xml:space="preserve">OWASP GenAI Working Group. (2025, December 10). OWASP Top 10 for Agentic Applications. genai.owasp.org. [Developed with NIST, Cisco, AWS, Microsoft, Alan Turing Institute. Top risks: Agent Goal Hijack, Tool Misuse, Identity and Privilege Abuse, Cascading Failures. Referenced in Sections 2.1 and 7.]</w:t>
      </w:r>
    </w:p>
    <w:p>
      <w:pPr>
        <w:spacing w:before="0" w:after="200" w:line="276" w:lineRule="auto"/>
      </w:pPr>
      <w:r>
        <w:rPr>
          <w:rFonts w:ascii="Arial" w:cs="Arial" w:eastAsia="Arial" w:hAnsi="Arial"/>
          <w:color w:val="2C2C2C"/>
          <w:sz w:val="22"/>
          <w:szCs w:val="22"/>
        </w:rPr>
        <w:t xml:space="preserve">KPMG. (2025, Q4). AI Pulse Survey: Enterprise Priorities for Agentic AI. [75% prioritize security/compliance/auditability; 50% plan $10-50M investment. Referenced in Sections 2.1 and 7.]</w:t>
      </w:r>
    </w:p>
    <w:p>
      <w:pPr>
        <w:spacing w:before="0" w:after="200" w:line="276" w:lineRule="auto"/>
      </w:pPr>
      <w:r>
        <w:rPr>
          <w:rFonts w:ascii="Arial" w:cs="Arial" w:eastAsia="Arial" w:hAnsi="Arial"/>
          <w:color w:val="2C2C2C"/>
          <w:sz w:val="22"/>
          <w:szCs w:val="22"/>
        </w:rPr>
        <w:t xml:space="preserve">Microsoft. (2026). Agent Governance Toolkit. github.com/microsoft/agent-governance-toolkit. [Ed25519 cryptographic agent identity, append-only audit logs, 4-tier privilege rings. 46 commits as of March 2026. Referenced in Section 7.]</w:t>
      </w:r>
    </w:p>
    <w:p>
      <w:pPr>
        <w:spacing w:before="0" w:after="200" w:line="276" w:lineRule="auto"/>
      </w:pPr>
      <w:r>
        <w:rPr>
          <w:rFonts w:ascii="Arial" w:cs="Arial" w:eastAsia="Arial" w:hAnsi="Arial"/>
          <w:color w:val="2C2C2C"/>
          <w:sz w:val="22"/>
          <w:szCs w:val="22"/>
        </w:rPr>
        <w:t xml:space="preserve">NIST. (2026, early). AI Agent Standards Initiative. pillsburylaw.com/en/news-and-insights/nist-ai-agent-standards.html. [Targeting agent identity, credentialing, privilege escalation safeguards. Comment period closing April 2, 2026. Referenced in Sections 2.1 and 7.]</w:t>
      </w:r>
    </w:p>
    <w:p>
      <w:pPr>
        <w:spacing w:before="80" w:after="0"/>
      </w:pPr>
    </w:p>
    <w:p>
      <w:pPr>
        <w:spacing w:before="0" w:after="200" w:line="276" w:lineRule="auto"/>
      </w:pPr>
      <w:r>
        <w:rPr>
          <w:rFonts w:ascii="Arial" w:cs="Arial" w:eastAsia="Arial" w:hAnsi="Arial"/>
          <w:color w:val="2C2C2C"/>
          <w:sz w:val="22"/>
          <w:szCs w:val="22"/>
        </w:rPr>
        <w:t xml:space="preserve">All other concepts, architectures, protocols,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Agent Orchestration  |  WP-005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2026-03-18T16:09:07.416Z</dcterms:created>
  <dcterms:modified xsi:type="dcterms:W3CDTF">2026-03-18T16:09:07.416Z</dcterms:modified>
</cp:coreProperties>
</file>

<file path=docProps/custom.xml><?xml version="1.0" encoding="utf-8"?>
<Properties xmlns="http://schemas.openxmlformats.org/officeDocument/2006/custom-properties" xmlns:vt="http://schemas.openxmlformats.org/officeDocument/2006/docPropsVTypes"/>
</file>