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6"/>
          <w:szCs w:val="56"/>
        </w:rPr>
        <w:t xml:space="preserve">Pricing and Packaging Architecture</w:t>
      </w:r>
    </w:p>
    <w:p>
      <w:pPr>
        <w:spacing w:before="60" w:after="40"/>
        <w:jc w:val="center"/>
      </w:pPr>
      <w:r>
        <w:rPr>
          <w:rFonts w:ascii="Arial" w:cs="Arial" w:eastAsia="Arial" w:hAnsi="Arial"/>
          <w:b/>
          <w:bCs/>
          <w:color w:val="1B2A4A"/>
          <w:sz w:val="36"/>
          <w:szCs w:val="36"/>
        </w:rPr>
        <w:t xml:space="preserve">Subscription Tiers, Feature Matrix, Execution Credits,</w:t>
      </w:r>
    </w:p>
    <w:p>
      <w:pPr>
        <w:spacing w:before="40" w:after="60"/>
        <w:jc w:val="center"/>
      </w:pPr>
      <w:r>
        <w:rPr>
          <w:rFonts w:ascii="Arial" w:cs="Arial" w:eastAsia="Arial" w:hAnsi="Arial"/>
          <w:b w:val="false"/>
          <w:bCs w:val="false"/>
          <w:color w:val="555555"/>
          <w:sz w:val="28"/>
          <w:szCs w:val="28"/>
        </w:rPr>
        <w:t xml:space="preserve">Marketplace Economics, Enterprise Contracts, BYOI Licensing, and Revenue Composition</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WP-008  |  Version 1.2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Confidential</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pricing architectures, packaging strategies, commercial models, and revenue structures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pricing architecture, tier structure, feature matrix, and commercial model described in this white paper are the original work of Steven Wazlavek, developed during the design and production engineering of the ContextKeeper platform (contextkeeper.org). All pricing figures represent the author's strategic intent and are subject to market validation.</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commercial architecture. The ContextKeeper platform has been under continuous development since March 2026, with version-controlled records maintained in the project repository (github.com/TheRealDataBoss/contextkeeper).</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Confidential. It contains proprietary pricing strategy and commercial architecture. Distribution is restricted to authorized recipients including the engineering team, authorized investors, advisors under NDA, and legal counsel.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Research-verified revision: competitor pricing corrected to current March 2026 rates (GitHub Copilot Pro $10/mo confirmed; LangSmith Developer tier is free; Plus tier is $39/seat/mo (corrected from erroneous $49 in v1.0); W&amp;B updated from $50 to $49/user/mo; Jira updated to $8.15/user/mo Standard; Linear corrected to $10/user/mo Basic tier (billed annually)); marketplace commission benchmarks verified and table added (GitHub 5%, Salesforce 15%, Shopify 0% to $1M then 15%, Atlassian 20-25%); BYOI 5x multiplier validated against market data; annual conversion rate benchmarks verified.</w:t>
            </w:r>
          </w:p>
        </w:tc>
      </w:tr>
      <w:tr>
        <w:tc>
          <w:tcPr>
            <w:tcW w:type="dxa" w:w="1400"/>
          </w:tcPr>
          <w:p>
            <w:pPr>
              <w:spacing w:before="80" w:after="80"/>
            </w:pPr>
            <w:r>
              <w:rPr>
                <w:rFonts w:ascii="Arial" w:hAnsi="Arial"/>
                <w:color w:val="2C2C2C"/>
                <w:sz w:val="20"/>
              </w:rPr>
              <w:t>1.2</w:t>
            </w:r>
          </w:p>
        </w:tc>
        <w:tc>
          <w:tcPr>
            <w:tcW w:type="dxa" w:w="1800"/>
          </w:tcPr>
          <w:p>
            <w:pPr>
              <w:spacing w:before="80" w:after="80"/>
            </w:pPr>
            <w:r>
              <w:rPr>
                <w:rFonts w:ascii="Arial" w:hAnsi="Arial"/>
                <w:color w:val="2C2C2C"/>
                <w:sz w:val="20"/>
              </w:rPr>
              <w:t>March 2026</w:t>
            </w:r>
          </w:p>
        </w:tc>
        <w:tc>
          <w:tcPr>
            <w:tcW w:type="dxa" w:w="6160"/>
          </w:tcPr>
          <w:p>
            <w:pPr>
              <w:spacing w:before="80" w:after="80"/>
            </w:pPr>
            <w:r>
              <w:rPr>
                <w:rFonts w:ascii="Arial" w:hAnsi="Arial"/>
                <w:color w:val="2C2C2C"/>
                <w:sz w:val="20"/>
              </w:rPr>
              <w:t xml:space="preserve">Dual AI research and validation pass. Factual corrections: GitHub Copilot renamed from Individual to Pro; Linear corrected from $8/Plus to $10/Basic billed annually; LangSmith Developer tier corrected to free ($0/seat) with Plus at $39/seat/month (not $49 Developer); W&amp;B corrected from Teams $49 to Pro $60/month following CoreWeave acquisition; Shopify revenue share corrected from ambiguous lifetime framing to earnings on or after January 1, 2025; Atlassian Forge rate corrected with delayed schedule (16% April 2026, 17% October 2026); OpenView 35% annual conversion and Paddle 2025 report citations replaced with verifiable benchmark ranges from First Page Sage, ChartMogul, and High Alpha; trial conversion corrected from 25-40% to 15-25% (developer tools); annual churn advantage corrected from 3-5x to 2-3x; BVP/a16z private cloud 3-7x claim downgraded to internal hypothesis; Auth0 per-MAU corrected from $0.0035 to approximately $0.07 (B2C Essentials); SHA-256 hyphenated; repo URL corrected; all internal WP references updated to current versions. Additions: Section 2.3 hybrid pricing evidence paragraph (Metronome 2025, Maxio/Benchmarkit 2025); GitHub Copilot Free tier competitive note with Cursor/Windsurf/Amazon Q pricing; Section 4.4 Revenue Recognition and Credit Liability Management (ASC 606, breakage, escheat); Section 4.5 Organization-Level Credit Pools and Spend Controls (GitLab Credits, Salesforce Agentforce Flex Credits precedents); Section 5.4 Marketplace Compliance and Seller Due Diligence (DSA, DAC7); Section 10.6 Commercial Control Metrics (10 KPIs). New references added.</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Pricing Philosophy ..... 6</w:t>
      </w:r>
    </w:p>
    <w:p>
      <w:pPr>
        <w:spacing w:before="0" w:after="200" w:line="276" w:lineRule="auto"/>
      </w:pPr>
      <w:r>
        <w:rPr>
          <w:rFonts w:ascii="Arial" w:cs="Arial" w:eastAsia="Arial" w:hAnsi="Arial"/>
          <w:color w:val="2C2C2C"/>
          <w:sz w:val="22"/>
          <w:szCs w:val="22"/>
        </w:rPr>
        <w:t xml:space="preserve">   2.1 Value-Based Anchoring ..... 6</w:t>
      </w:r>
    </w:p>
    <w:p>
      <w:pPr>
        <w:spacing w:before="0" w:after="200" w:line="276" w:lineRule="auto"/>
      </w:pPr>
      <w:r>
        <w:rPr>
          <w:rFonts w:ascii="Arial" w:cs="Arial" w:eastAsia="Arial" w:hAnsi="Arial"/>
          <w:color w:val="2C2C2C"/>
          <w:sz w:val="22"/>
          <w:szCs w:val="22"/>
        </w:rPr>
        <w:t xml:space="preserve">   2.2 Competitive Positioning ..... 7</w:t>
      </w:r>
    </w:p>
    <w:p>
      <w:pPr>
        <w:spacing w:before="0" w:after="200" w:line="276" w:lineRule="auto"/>
      </w:pPr>
      <w:r>
        <w:rPr>
          <w:rFonts w:ascii="Arial" w:cs="Arial" w:eastAsia="Arial" w:hAnsi="Arial"/>
          <w:color w:val="2C2C2C"/>
          <w:sz w:val="22"/>
          <w:szCs w:val="22"/>
        </w:rPr>
        <w:t xml:space="preserve">   2.3 Revenue Composition Strategy ..... 8</w:t>
      </w:r>
    </w:p>
    <w:p>
      <w:pPr>
        <w:spacing w:before="0" w:after="200" w:line="276" w:lineRule="auto"/>
      </w:pPr>
      <w:r>
        <w:rPr>
          <w:rFonts w:ascii="Arial" w:cs="Arial" w:eastAsia="Arial" w:hAnsi="Arial"/>
          <w:color w:val="2C2C2C"/>
          <w:sz w:val="22"/>
          <w:szCs w:val="22"/>
        </w:rPr>
        <w:t xml:space="preserve">3. Subscription Tier Architecture ..... 9</w:t>
      </w:r>
    </w:p>
    <w:p>
      <w:pPr>
        <w:spacing w:before="0" w:after="200" w:line="276" w:lineRule="auto"/>
      </w:pPr>
      <w:r>
        <w:rPr>
          <w:rFonts w:ascii="Arial" w:cs="Arial" w:eastAsia="Arial" w:hAnsi="Arial"/>
          <w:color w:val="2C2C2C"/>
          <w:sz w:val="22"/>
          <w:szCs w:val="22"/>
        </w:rPr>
        <w:t xml:space="preserve">   3.1 Feature Matrix ..... 9</w:t>
      </w:r>
    </w:p>
    <w:p>
      <w:pPr>
        <w:spacing w:before="0" w:after="200" w:line="276" w:lineRule="auto"/>
      </w:pPr>
      <w:r>
        <w:rPr>
          <w:rFonts w:ascii="Arial" w:cs="Arial" w:eastAsia="Arial" w:hAnsi="Arial"/>
          <w:color w:val="2C2C2C"/>
          <w:sz w:val="22"/>
          <w:szCs w:val="22"/>
        </w:rPr>
        <w:t xml:space="preserve">   3.2 Tier Pricing Rationale ..... 11</w:t>
      </w:r>
    </w:p>
    <w:p>
      <w:pPr>
        <w:spacing w:before="0" w:after="200" w:line="276" w:lineRule="auto"/>
      </w:pPr>
      <w:r>
        <w:rPr>
          <w:rFonts w:ascii="Arial" w:cs="Arial" w:eastAsia="Arial" w:hAnsi="Arial"/>
          <w:color w:val="2C2C2C"/>
          <w:sz w:val="22"/>
          <w:szCs w:val="22"/>
        </w:rPr>
        <w:t xml:space="preserve">   3.3 Annual Pricing ..... 12</w:t>
      </w:r>
    </w:p>
    <w:p>
      <w:pPr>
        <w:spacing w:before="0" w:after="200" w:line="276" w:lineRule="auto"/>
      </w:pPr>
      <w:r>
        <w:rPr>
          <w:rFonts w:ascii="Arial" w:cs="Arial" w:eastAsia="Arial" w:hAnsi="Arial"/>
          <w:color w:val="2C2C2C"/>
          <w:sz w:val="22"/>
          <w:szCs w:val="22"/>
        </w:rPr>
        <w:t xml:space="preserve">   3.4 Connector Pack Add-Ons ..... 13</w:t>
      </w:r>
    </w:p>
    <w:p>
      <w:pPr>
        <w:spacing w:before="0" w:after="200" w:line="276" w:lineRule="auto"/>
      </w:pPr>
      <w:r>
        <w:rPr>
          <w:rFonts w:ascii="Arial" w:cs="Arial" w:eastAsia="Arial" w:hAnsi="Arial"/>
          <w:color w:val="2C2C2C"/>
          <w:sz w:val="22"/>
          <w:szCs w:val="22"/>
        </w:rPr>
        <w:t xml:space="preserve">4. Usage-Based Pricing ..... 15</w:t>
      </w:r>
    </w:p>
    <w:p>
      <w:pPr>
        <w:spacing w:before="0" w:after="200" w:line="276" w:lineRule="auto"/>
      </w:pPr>
      <w:r>
        <w:rPr>
          <w:rFonts w:ascii="Arial" w:cs="Arial" w:eastAsia="Arial" w:hAnsi="Arial"/>
          <w:color w:val="2C2C2C"/>
          <w:sz w:val="22"/>
          <w:szCs w:val="22"/>
        </w:rPr>
        <w:t xml:space="preserve">   4.1 Execution Credit System ..... 15</w:t>
      </w:r>
    </w:p>
    <w:p>
      <w:pPr>
        <w:spacing w:before="0" w:after="200" w:line="276" w:lineRule="auto"/>
      </w:pPr>
      <w:r>
        <w:rPr>
          <w:rFonts w:ascii="Arial" w:cs="Arial" w:eastAsia="Arial" w:hAnsi="Arial"/>
          <w:color w:val="2C2C2C"/>
          <w:sz w:val="22"/>
          <w:szCs w:val="22"/>
        </w:rPr>
        <w:t xml:space="preserve">   4.2 Credit Consumption Model ..... 16</w:t>
      </w:r>
    </w:p>
    <w:p>
      <w:pPr>
        <w:spacing w:before="0" w:after="200" w:line="276" w:lineRule="auto"/>
      </w:pPr>
      <w:r>
        <w:rPr>
          <w:rFonts w:ascii="Arial" w:cs="Arial" w:eastAsia="Arial" w:hAnsi="Arial"/>
          <w:color w:val="2C2C2C"/>
          <w:sz w:val="22"/>
          <w:szCs w:val="22"/>
        </w:rPr>
        <w:t xml:space="preserve">   4.3 Overage Billing ..... 17</w:t>
      </w:r>
    </w:p>
    <w:p>
      <w:pPr>
        <w:spacing w:before="0" w:after="200" w:line="276" w:lineRule="auto"/>
      </w:pPr>
      <w:r>
        <w:rPr>
          <w:rFonts w:ascii="Arial" w:cs="Arial" w:eastAsia="Arial" w:hAnsi="Arial"/>
          <w:color w:val="2C2C2C"/>
          <w:sz w:val="22"/>
          <w:szCs w:val="22"/>
        </w:rPr>
        <w:t xml:space="preserve">5. Marketplace Economics ..... 18</w:t>
      </w:r>
    </w:p>
    <w:p>
      <w:pPr>
        <w:spacing w:before="0" w:after="200" w:line="276" w:lineRule="auto"/>
      </w:pPr>
      <w:r>
        <w:rPr>
          <w:rFonts w:ascii="Arial" w:cs="Arial" w:eastAsia="Arial" w:hAnsi="Arial"/>
          <w:color w:val="2C2C2C"/>
          <w:sz w:val="22"/>
          <w:szCs w:val="22"/>
        </w:rPr>
        <w:t xml:space="preserve">   5.1 Commission Structure ..... 18</w:t>
      </w:r>
    </w:p>
    <w:p>
      <w:pPr>
        <w:spacing w:before="0" w:after="200" w:line="276" w:lineRule="auto"/>
      </w:pPr>
      <w:r>
        <w:rPr>
          <w:rFonts w:ascii="Arial" w:cs="Arial" w:eastAsia="Arial" w:hAnsi="Arial"/>
          <w:color w:val="2C2C2C"/>
          <w:sz w:val="22"/>
          <w:szCs w:val="22"/>
        </w:rPr>
        <w:t xml:space="preserve">   5.2 Creator Revenue Share Program ..... 20</w:t>
      </w:r>
    </w:p>
    <w:p>
      <w:pPr>
        <w:spacing w:before="0" w:after="200" w:line="276" w:lineRule="auto"/>
      </w:pPr>
      <w:r>
        <w:rPr>
          <w:rFonts w:ascii="Arial" w:cs="Arial" w:eastAsia="Arial" w:hAnsi="Arial"/>
          <w:color w:val="2C2C2C"/>
          <w:sz w:val="22"/>
          <w:szCs w:val="22"/>
        </w:rPr>
        <w:t xml:space="preserve">   5.3 Blueprint Sponsorship ..... 21</w:t>
      </w:r>
    </w:p>
    <w:p>
      <w:pPr>
        <w:spacing w:before="0" w:after="200" w:line="276" w:lineRule="auto"/>
      </w:pPr>
      <w:r>
        <w:rPr>
          <w:rFonts w:ascii="Arial" w:cs="Arial" w:eastAsia="Arial" w:hAnsi="Arial"/>
          <w:color w:val="2C2C2C"/>
          <w:sz w:val="22"/>
          <w:szCs w:val="22"/>
        </w:rPr>
        <w:t xml:space="preserve">6. Enterprise Contract Architecture ..... 22</w:t>
      </w:r>
    </w:p>
    <w:p>
      <w:pPr>
        <w:spacing w:before="0" w:after="200" w:line="276" w:lineRule="auto"/>
      </w:pPr>
      <w:r>
        <w:rPr>
          <w:rFonts w:ascii="Arial" w:cs="Arial" w:eastAsia="Arial" w:hAnsi="Arial"/>
          <w:color w:val="2C2C2C"/>
          <w:sz w:val="22"/>
          <w:szCs w:val="22"/>
        </w:rPr>
        <w:t xml:space="preserve">   6.1 Enterprise Tier Components ..... 23</w:t>
      </w:r>
    </w:p>
    <w:p>
      <w:pPr>
        <w:spacing w:before="0" w:after="200" w:line="276" w:lineRule="auto"/>
      </w:pPr>
      <w:r>
        <w:rPr>
          <w:rFonts w:ascii="Arial" w:cs="Arial" w:eastAsia="Arial" w:hAnsi="Arial"/>
          <w:color w:val="2C2C2C"/>
          <w:sz w:val="22"/>
          <w:szCs w:val="22"/>
        </w:rPr>
        <w:t xml:space="preserve">   6.2 BYOI Licensing ..... 24</w:t>
      </w:r>
    </w:p>
    <w:p>
      <w:pPr>
        <w:spacing w:before="0" w:after="200" w:line="276" w:lineRule="auto"/>
      </w:pPr>
      <w:r>
        <w:rPr>
          <w:rFonts w:ascii="Arial" w:cs="Arial" w:eastAsia="Arial" w:hAnsi="Arial"/>
          <w:color w:val="2C2C2C"/>
          <w:sz w:val="22"/>
          <w:szCs w:val="22"/>
        </w:rPr>
        <w:t xml:space="preserve">   6.3 Professional Services ..... 26</w:t>
      </w:r>
    </w:p>
    <w:p>
      <w:pPr>
        <w:spacing w:before="0" w:after="200" w:line="276" w:lineRule="auto"/>
      </w:pPr>
      <w:r>
        <w:rPr>
          <w:rFonts w:ascii="Arial" w:cs="Arial" w:eastAsia="Arial" w:hAnsi="Arial"/>
          <w:color w:val="2C2C2C"/>
          <w:sz w:val="22"/>
          <w:szCs w:val="22"/>
        </w:rPr>
        <w:t xml:space="preserve">7. White-Label SDK Licensing ..... 27</w:t>
      </w:r>
    </w:p>
    <w:p>
      <w:pPr>
        <w:spacing w:before="0" w:after="200" w:line="276" w:lineRule="auto"/>
      </w:pPr>
      <w:r>
        <w:rPr>
          <w:rFonts w:ascii="Arial" w:cs="Arial" w:eastAsia="Arial" w:hAnsi="Arial"/>
          <w:color w:val="2C2C2C"/>
          <w:sz w:val="22"/>
          <w:szCs w:val="22"/>
        </w:rPr>
        <w:t xml:space="preserve">8. Certification Program Pricing ..... 29</w:t>
      </w:r>
    </w:p>
    <w:p>
      <w:pPr>
        <w:spacing w:before="0" w:after="200" w:line="276" w:lineRule="auto"/>
      </w:pPr>
      <w:r>
        <w:rPr>
          <w:rFonts w:ascii="Arial" w:cs="Arial" w:eastAsia="Arial" w:hAnsi="Arial"/>
          <w:color w:val="2C2C2C"/>
          <w:sz w:val="22"/>
          <w:szCs w:val="22"/>
        </w:rPr>
        <w:t xml:space="preserve">9. Upgrade Motions and Expansion Revenue ..... 31</w:t>
      </w:r>
    </w:p>
    <w:p>
      <w:pPr>
        <w:spacing w:before="0" w:after="200" w:line="276" w:lineRule="auto"/>
      </w:pPr>
      <w:r>
        <w:rPr>
          <w:rFonts w:ascii="Arial" w:cs="Arial" w:eastAsia="Arial" w:hAnsi="Arial"/>
          <w:color w:val="2C2C2C"/>
          <w:sz w:val="22"/>
          <w:szCs w:val="22"/>
        </w:rPr>
        <w:t xml:space="preserve">10. Revenue Composition and Projections ..... 33</w:t>
      </w:r>
    </w:p>
    <w:p>
      <w:pPr>
        <w:spacing w:before="0" w:after="200" w:line="276" w:lineRule="auto"/>
      </w:pPr>
      <w:r>
        <w:rPr>
          <w:rFonts w:ascii="Arial" w:cs="Arial" w:eastAsia="Arial" w:hAnsi="Arial"/>
          <w:color w:val="2C2C2C"/>
          <w:sz w:val="22"/>
          <w:szCs w:val="22"/>
        </w:rPr>
        <w:t xml:space="preserve">   10.1 Education Pricing ..... 35</w:t>
      </w:r>
    </w:p>
    <w:p>
      <w:pPr>
        <w:spacing w:before="0" w:after="200" w:line="276" w:lineRule="auto"/>
      </w:pPr>
      <w:r>
        <w:rPr>
          <w:rFonts w:ascii="Arial" w:cs="Arial" w:eastAsia="Arial" w:hAnsi="Arial"/>
          <w:color w:val="2C2C2C"/>
          <w:sz w:val="22"/>
          <w:szCs w:val="22"/>
        </w:rPr>
        <w:t xml:space="preserve">   10.2 Audit Service Pricing ..... 36</w:t>
      </w:r>
    </w:p>
    <w:p>
      <w:pPr>
        <w:spacing w:before="0" w:after="200" w:line="276" w:lineRule="auto"/>
      </w:pPr>
      <w:r>
        <w:rPr>
          <w:rFonts w:ascii="Arial" w:cs="Arial" w:eastAsia="Arial" w:hAnsi="Arial"/>
          <w:color w:val="2C2C2C"/>
          <w:sz w:val="22"/>
          <w:szCs w:val="22"/>
        </w:rPr>
        <w:t xml:space="preserve">   10.3 Data Export Pricing ..... 38</w:t>
      </w:r>
    </w:p>
    <w:p>
      <w:pPr>
        <w:spacing w:before="0" w:after="200" w:line="276" w:lineRule="auto"/>
      </w:pPr>
      <w:r>
        <w:rPr>
          <w:rFonts w:ascii="Arial" w:cs="Arial" w:eastAsia="Arial" w:hAnsi="Arial"/>
          <w:color w:val="2C2C2C"/>
          <w:sz w:val="22"/>
          <w:szCs w:val="22"/>
        </w:rPr>
        <w:t xml:space="preserve">   10.4 Reseller Program ..... 39</w:t>
      </w:r>
    </w:p>
    <w:p>
      <w:pPr>
        <w:spacing w:before="0" w:after="200" w:line="276" w:lineRule="auto"/>
      </w:pPr>
      <w:r>
        <w:rPr>
          <w:rFonts w:ascii="Arial" w:cs="Arial" w:eastAsia="Arial" w:hAnsi="Arial"/>
          <w:color w:val="2C2C2C"/>
          <w:sz w:val="22"/>
          <w:szCs w:val="22"/>
        </w:rPr>
        <w:t xml:space="preserve">   10.5 Formal Verification Pricing ..... 41</w:t>
      </w:r>
    </w:p>
    <w:p>
      <w:pPr>
        <w:spacing w:before="0" w:after="200" w:line="276" w:lineRule="auto"/>
      </w:pPr>
      <w:r>
        <w:rPr>
          <w:rFonts w:ascii="Arial" w:cs="Arial" w:eastAsia="Arial" w:hAnsi="Arial"/>
          <w:color w:val="2C2C2C"/>
          <w:sz w:val="22"/>
          <w:szCs w:val="22"/>
        </w:rPr>
        <w:t xml:space="preserve">11. Implementation Requirements ..... 42</w:t>
      </w:r>
    </w:p>
    <w:p>
      <w:pPr>
        <w:spacing w:before="0" w:after="200" w:line="276" w:lineRule="auto"/>
      </w:pPr>
      <w:r>
        <w:rPr>
          <w:rFonts w:ascii="Arial" w:cs="Arial" w:eastAsia="Arial" w:hAnsi="Arial"/>
          <w:color w:val="2C2C2C"/>
          <w:sz w:val="22"/>
          <w:szCs w:val="22"/>
        </w:rPr>
        <w:t xml:space="preserve">12. Integration Points ..... 44</w:t>
      </w:r>
    </w:p>
    <w:p>
      <w:pPr>
        <w:spacing w:before="0" w:after="200" w:line="276" w:lineRule="auto"/>
      </w:pPr>
      <w:r>
        <w:rPr>
          <w:rFonts w:ascii="Arial" w:cs="Arial" w:eastAsia="Arial" w:hAnsi="Arial"/>
          <w:color w:val="2C2C2C"/>
          <w:sz w:val="22"/>
          <w:szCs w:val="22"/>
        </w:rPr>
        <w:t xml:space="preserve">13. Conclusion ..... 45</w:t>
      </w:r>
    </w:p>
    <w:p>
      <w:pPr>
        <w:spacing w:before="0" w:after="200" w:line="276" w:lineRule="auto"/>
      </w:pPr>
      <w:r>
        <w:rPr>
          <w:rFonts w:ascii="Arial" w:cs="Arial" w:eastAsia="Arial" w:hAnsi="Arial"/>
          <w:color w:val="2C2C2C"/>
          <w:sz w:val="22"/>
          <w:szCs w:val="22"/>
        </w:rPr>
        <w:t xml:space="preserve">Appendix A. Glossary ..... 46</w:t>
      </w:r>
    </w:p>
    <w:p>
      <w:pPr>
        <w:spacing w:before="0" w:after="200" w:line="276" w:lineRule="auto"/>
      </w:pPr>
      <w:r>
        <w:rPr>
          <w:rFonts w:ascii="Arial" w:cs="Arial" w:eastAsia="Arial" w:hAnsi="Arial"/>
          <w:color w:val="2C2C2C"/>
          <w:sz w:val="22"/>
          <w:szCs w:val="22"/>
        </w:rPr>
        <w:t xml:space="preserve">References ..... 50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paper defines the complete pricing and packaging architecture for ContextKeeper: the subscription tier structure with its feature matrix and rationale, the execution credit system for consumption-based billing, the marketplace commission and creator economics, the enterprise contract components including BYOI licensing and professional services, the white-label SDK licensing tiers, and the certification program pricing. It consolidates all commercial architecture into a single authoritative reference document accessible to investors, the sales team, enterprise procurement officers, and legal counsel.</w:t>
      </w:r>
    </w:p>
    <w:p>
      <w:pPr>
        <w:spacing w:before="0" w:after="200" w:line="276" w:lineRule="auto"/>
      </w:pPr>
      <w:r>
        <w:rPr>
          <w:rFonts w:ascii="Arial" w:cs="Arial" w:eastAsia="Arial" w:hAnsi="Arial"/>
          <w:color w:val="2C2C2C"/>
          <w:sz w:val="22"/>
          <w:szCs w:val="22"/>
        </w:rPr>
        <w:t xml:space="preserve">Pricing references are scattered across WP-003 (token tracking billing), WP-005 (marketplace commission, hosted execution credits), WP-007 (annual pricing, connector packs, overage billing, white-label SDK, certification), and WP-006 (Enterprise tier features). This paper is the authoritative consolidation of all of those references. Where a discrepancy exists between this paper and any prior paper, this paper governs.</w:t>
      </w:r>
    </w:p>
    <w:p>
      <w:pPr>
        <w:pBdr>
          <w:left w:val="single" w:color="2E75B6" w:sz="6" w:space="8"/>
        </w:pBdr>
        <w:spacing w:before="120" w:after="120"/>
        <w:ind w:left="720"/>
      </w:pPr>
      <w:r>
        <w:rPr>
          <w:rFonts w:ascii="Arial" w:cs="Arial" w:eastAsia="Arial" w:hAnsi="Arial"/>
          <w:i/>
          <w:iCs/>
          <w:color w:val="555555"/>
          <w:sz w:val="22"/>
          <w:szCs w:val="22"/>
        </w:rPr>
        <w:t xml:space="preserve">The central pricing principle is value-based anchoring: every tier price is set relative to the documented value it delivers, not relative to the cost of hosting one user's data. The documented cost of a single speculative implementation failure (4x correction cost, observed in production; WP-002, Section 2.2) exceeds the annual Pro subscription price. This is the value anchor for the individual developer tier: one prevented failure pays for one year of governance.</w:t>
      </w:r>
    </w:p>
    <w:p>
      <w:pPr>
        <w:spacing w:before="0" w:after="200" w:line="276" w:lineRule="auto"/>
      </w:pPr>
      <w:r>
        <w:rPr>
          <w:rFonts w:ascii="Arial" w:cs="Arial" w:eastAsia="Arial" w:hAnsi="Arial"/>
          <w:color w:val="2C2C2C"/>
          <w:sz w:val="22"/>
          <w:szCs w:val="22"/>
        </w:rPr>
        <w:t xml:space="preserve">The platform generates revenue across eight distinct streams that activate progressively as development phases complete. Four streams are activatable now or immediately upon Phase B completion with no new engineering: the SaaS subscription (live), annual pricing (Stripe configuration only), connector pack add-ons (Stripe configuration only), and the certification program (content and exam infrastructure only). The remaining streams (execution credits, marketplace commission, white-label SDK, BYOI licensing, professional services) activate in Phase C and Phase D as defined in WP-006.</w:t>
      </w:r>
    </w:p>
    <w:p>
      <w:pPr>
        <w:spacing w:before="0" w:after="200" w:line="276" w:lineRule="auto"/>
      </w:pPr>
      <w:r>
        <w:rPr>
          <w:rFonts w:ascii="Arial" w:cs="Arial" w:eastAsia="Arial" w:hAnsi="Arial"/>
          <w:color w:val="2C2C2C"/>
          <w:sz w:val="22"/>
          <w:szCs w:val="22"/>
        </w:rPr>
        <w:t xml:space="preserve">The subscription tier structure uses four tiers (Free, Pro ($12/month), Team ($29/user/month), and Enterprise (custom) positioned to minimize friction at the individual developer conversion point, align cost with value at the team level, and capture maximum value from the regulated-industry enterprise segment where governance tooling commands the highest willingness to pay. The feature matrix is designed so that each tier upgrade removes a specific friction: Free removes session and connector limits at Pro; Pro removes collaboration barriers at Team; Team removes compliance and procurement barriers at Enterprise.</w:t>
      </w:r>
    </w:p>
    <w:p>
      <w:pPr>
        <w:spacing w:before="0" w:after="200" w:line="276" w:lineRule="auto"/>
      </w:pPr>
      <w:r>
        <w:rPr>
          <w:rFonts w:ascii="Arial" w:cs="Arial" w:eastAsia="Arial" w:hAnsi="Arial"/>
          <w:color w:val="2C2C2C"/>
          <w:sz w:val="22"/>
          <w:szCs w:val="22"/>
        </w:rPr>
        <w:t xml:space="preserve">The enterprise contract architecture is the highest-ACV opportunity in the portfolio. A mid-market enterprise with 50 seats, BYOI deployment, and a compliance package generates approximately $64,400 in annual contract value. A large enterprise with 200 seats, dedicated GPU hosted execution, and a professional services engagement can exceed $300,000 in ACV. The governance differentiation that distinguishes ContextKeeper from every competing agent platform is precisely the property that makes these contracts justifiable to enterprise procurement: formal state machines, cryptographic audit trails, breach detection, and role separation are the compliance features regulated industries need and cannot obtain from ungoverned frameworks.</w:t>
      </w:r>
    </w:p>
    <w:p>
      <w:pPr>
        <w:pStyle w:val="Heading1"/>
        <w:pageBreakBefore/>
        <w:spacing w:before="360" w:after="120" w:line="276" w:lineRule="auto"/>
      </w:pPr>
      <w:r>
        <w:rPr>
          <w:rFonts w:ascii="Arial" w:cs="Arial" w:eastAsia="Arial" w:hAnsi="Arial"/>
          <w:b/>
          <w:bCs/>
          <w:color w:val="1B2A4A"/>
          <w:sz w:val="36"/>
          <w:szCs w:val="36"/>
        </w:rPr>
        <w:t xml:space="preserve">2. Pricing Philosophy</w:t>
      </w:r>
    </w:p>
    <w:p>
      <w:pPr>
        <w:pStyle w:val="Heading2"/>
        <w:spacing w:before="240" w:after="80" w:line="276" w:lineRule="auto"/>
      </w:pPr>
      <w:r>
        <w:rPr>
          <w:rFonts w:ascii="Arial" w:cs="Arial" w:eastAsia="Arial" w:hAnsi="Arial"/>
          <w:b/>
          <w:bCs/>
          <w:color w:val="2E75B6"/>
          <w:sz w:val="28"/>
          <w:szCs w:val="28"/>
        </w:rPr>
        <w:t xml:space="preserve">2.1 Value-Based Anchoring</w:t>
      </w:r>
    </w:p>
    <w:p>
      <w:pPr>
        <w:spacing w:before="0" w:after="200" w:line="276" w:lineRule="auto"/>
      </w:pPr>
      <w:r>
        <w:rPr>
          <w:rFonts w:ascii="Arial" w:cs="Arial" w:eastAsia="Arial" w:hAnsi="Arial"/>
          <w:color w:val="2C2C2C"/>
          <w:sz w:val="22"/>
          <w:szCs w:val="22"/>
        </w:rPr>
        <w:t xml:space="preserve">Value-based pricing sets price relative to the value delivered to the customer rather than to the cost of production or to competitive benchmarks. For ContextKeeper, the primary value anchors are derived from documented production observations in WP-002.</w:t>
      </w:r>
    </w:p>
    <w:p>
      <w:pPr>
        <w:spacing w:before="0" w:after="200" w:line="276" w:lineRule="auto"/>
      </w:pPr>
      <w:r>
        <w:rPr>
          <w:rFonts w:ascii="Arial" w:cs="Arial" w:eastAsia="Arial" w:hAnsi="Arial"/>
          <w:color w:val="2C2C2C"/>
          <w:sz w:val="22"/>
          <w:szCs w:val="22"/>
        </w:rPr>
        <w:t xml:space="preserve">The speculative implementation failure (WP-002, Section 2.2) represents the most precisely quantified value anchor: each failure costs approximately 4x the original implementation cost in correction cycles. At an average engineering rate of $100 to $150 per hour and a correction cycle costing 4 to 8 hours, each prevented failure is worth $400 to $1,200. The annual Pro subscription costs $120. A Pro subscriber who prevents one speculative implementation failure per year recovers their subscription cost at a ratio of 3x to 10x. This is the value proposition for individual developers and the anchor for the Pro tier price.</w:t>
      </w:r>
    </w:p>
    <w:p>
      <w:pPr>
        <w:spacing w:before="0" w:after="200" w:line="276" w:lineRule="auto"/>
      </w:pPr>
      <w:r>
        <w:rPr>
          <w:rFonts w:ascii="Arial" w:cs="Arial" w:eastAsia="Arial" w:hAnsi="Arial"/>
          <w:color w:val="2C2C2C"/>
          <w:sz w:val="22"/>
          <w:szCs w:val="22"/>
        </w:rPr>
        <w:t xml:space="preserve">For team-level value anchoring, the primary quantifiable benefit is elimination of model drift across team members. When multiple engineers work with AI assistants on the same project without shared state, each engineer's session produces divergent context. Reconciling divergent AI-produced outputs is an overhead cost that grows quadratically with team size. ContextKeeper's shared project state eliminates this overhead. At a team of five engineers each spending two hours per week on divergent-context reconciliation, the annual cost is 500 hours at $100 to $150 per hour: $50,000 to $75,000 per year. The Team subscription for 5 seats costs $1,740 per year. The ROI is 29x to 43x.</w:t>
      </w:r>
    </w:p>
    <w:p>
      <w:pPr>
        <w:spacing w:before="0" w:after="200" w:line="276" w:lineRule="auto"/>
      </w:pPr>
      <w:r>
        <w:rPr>
          <w:rFonts w:ascii="Arial" w:cs="Arial" w:eastAsia="Arial" w:hAnsi="Arial"/>
          <w:color w:val="2C2C2C"/>
          <w:sz w:val="22"/>
          <w:szCs w:val="22"/>
        </w:rPr>
        <w:t xml:space="preserve">For enterprise value anchoring, the relevant comparison is compliance audit cost. A single AI-related compliance audit event without formal audit trails costs $50,000 to $200,000 in legal and engineering time to reconstruct the decision record. ContextKeeper's cryptographic audit trail, immutable decision log, and DEL-v2 governance documentation are the audit-ready record that eliminates this reconstruction cost. The Enterprise subscription cost is trivial compared to one avoided audit reconstruction event.</w:t>
      </w:r>
    </w:p>
    <w:p>
      <w:pPr>
        <w:pStyle w:val="Heading2"/>
        <w:spacing w:before="240" w:after="80" w:line="276" w:lineRule="auto"/>
      </w:pPr>
      <w:r>
        <w:rPr>
          <w:rFonts w:ascii="Arial" w:cs="Arial" w:eastAsia="Arial" w:hAnsi="Arial"/>
          <w:b/>
          <w:bCs/>
          <w:color w:val="2E75B6"/>
          <w:sz w:val="28"/>
          <w:szCs w:val="28"/>
        </w:rPr>
        <w:t xml:space="preserve">2.2 Competitive Positioning</w:t>
      </w:r>
    </w:p>
    <w:p>
      <w:pPr>
        <w:spacing w:before="0" w:after="200" w:line="276" w:lineRule="auto"/>
      </w:pPr>
      <w:r>
        <w:rPr>
          <w:rFonts w:ascii="Arial" w:cs="Arial" w:eastAsia="Arial" w:hAnsi="Arial"/>
          <w:color w:val="2C2C2C"/>
          <w:sz w:val="22"/>
          <w:szCs w:val="22"/>
        </w:rPr>
        <w:t xml:space="preserve">ContextKeeper is priced below comparable developer infrastructure tools at the individual tier to minimize acquisition friction, and above traditional project management tools at the team tier to reflect the governance differentiation. Competitor pricing is verified as of March 2026. The competitive reference points are:</w:t>
      </w:r>
    </w:p>
    <w:p>
      <w:pPr>
        <w:pStyle w:val="ListParagraph"/>
        <w:numPr>
          <w:ilvl w:val="0"/>
          <w:numId w:val="2"/>
        </w:numPr>
        <w:spacing w:before="40" w:after="40"/>
      </w:pPr>
      <w:r>
        <w:rPr>
          <w:rFonts w:ascii="Arial" w:cs="Arial" w:eastAsia="Arial" w:hAnsi="Arial"/>
          <w:color w:val="2C2C2C"/>
          <w:sz w:val="22"/>
          <w:szCs w:val="22"/>
        </w:rPr>
        <w:t xml:space="preserve">GitHub Copilot Pro at $10/month (confirmed current): code completion, no governance. ContextKeeper Pro at $12/month: full governance, token tracking, 10 connectors, 5 governed agents. Positioned as a governance-complete complement to Copilot, not a replacement.</w:t>
      </w:r>
    </w:p>
    <w:p>
      <w:pPr>
        <w:spacing w:before="0" w:after="200" w:line="276" w:lineRule="auto"/>
      </w:pPr>
      <w:r>
        <w:rPr>
          <w:rFonts w:ascii="Arial" w:hAnsi="Arial" w:eastAsia="Arial" w:cs="Arial"/>
          <w:color w:val="2C2C2C"/>
          <w:sz w:val="22"/>
          <w:szCs w:val="22"/>
        </w:rPr>
        <w:t xml:space="preserve">Note on GitHub Copilot Free (launched December 18, 2024): GitHub now offers a permanently free Copilot tier with 2,000 code completions and 50 chat messages per month for VS Code and Visual Studio users, with no credit card required. This tier does not include governance, audit trails, or connector access, and it establishes a zero-cost baseline that ContextKeeper Free must be positioned against. The ContextKeeper Free tier's value differentiation is governance visibility, not code completion: session logging, basic invariant checking, and connector integration are capabilities that no free AI coding tier provides. Cursor ($20/month Pro), Windsurf ($15/month Pro), and Amazon Q Developer Pro ($19/user/month) have similarly established the $15 to $20/month range as the standard for AI coding assistant paid tiers, reinforcing that ContextKeeper Pro at $12/month is priced below the AI coding assistant market while providing governance enforcement that none of those tools offer.</w:t>
      </w:r>
    </w:p>
    <w:p>
      <w:pPr>
        <w:pStyle w:val="ListParagraph"/>
        <w:numPr>
          <w:ilvl w:val="0"/>
          <w:numId w:val="2"/>
        </w:numPr>
        <w:spacing w:before="40" w:after="40"/>
      </w:pPr>
      <w:r>
        <w:rPr>
          <w:rFonts w:ascii="Arial" w:cs="Arial" w:eastAsia="Arial" w:hAnsi="Arial"/>
          <w:color w:val="2C2C2C"/>
          <w:sz w:val="22"/>
          <w:szCs w:val="22"/>
        </w:rPr>
        <w:t xml:space="preserve">Linear Basic at $10/user/month billed annually (confirmed current): task management, no AI governance. ContextKeeper Team at $29/user/month: full platform including team collaboration, audit export, and 30 connectors. The premium reflects the governance layer that no task management tool provides.</w:t>
      </w:r>
    </w:p>
    <w:p>
      <w:pPr>
        <w:pStyle w:val="ListParagraph"/>
        <w:numPr>
          <w:ilvl w:val="0"/>
          <w:numId w:val="2"/>
        </w:numPr>
        <w:spacing w:before="40" w:after="40"/>
      </w:pPr>
      <w:r>
        <w:rPr>
          <w:rFonts w:ascii="Arial" w:cs="Arial" w:eastAsia="Arial" w:hAnsi="Arial"/>
          <w:color w:val="2C2C2C"/>
          <w:sz w:val="22"/>
          <w:szCs w:val="22"/>
        </w:rPr>
        <w:t xml:space="preserve">LangSmith: Developer tier is free ($0/seat/month); Plus tier at $39/seat/month (confirmed current). LLM observability and tracing. ContextKeeper Pro at $12/month: governance enforcement, not just observability. Positioned as enforcement vs monitoring: LangSmith tells you what happened; ContextKeeper prevents bad outcomes. ContextKeeper Pro is less than one third of LangSmith Plus pricing.</w:t>
      </w:r>
    </w:p>
    <w:p>
      <w:pPr>
        <w:pStyle w:val="ListParagraph"/>
        <w:numPr>
          <w:ilvl w:val="0"/>
          <w:numId w:val="2"/>
        </w:numPr>
        <w:spacing w:before="40" w:after="40"/>
      </w:pPr>
      <w:r>
        <w:rPr>
          <w:rFonts w:ascii="Arial" w:cs="Arial" w:eastAsia="Arial" w:hAnsi="Arial"/>
          <w:color w:val="2C2C2C"/>
          <w:sz w:val="22"/>
          <w:szCs w:val="22"/>
        </w:rPr>
        <w:t xml:space="preserve">Weights and Biases Pro starting at $60/month (confirmed current; CoreWeave acquisition May 2025 changed tier naming from Teams to Pro and repriced the paid tier): ML experiment tracking, no agent governance. ContextKeeper Team at $29/user/month with ML and AI connector pack at $8/month provides full governance plus ML integration.</w:t>
      </w:r>
    </w:p>
    <w:p>
      <w:pPr>
        <w:pStyle w:val="ListParagraph"/>
        <w:numPr>
          <w:ilvl w:val="0"/>
          <w:numId w:val="2"/>
        </w:numPr>
        <w:spacing w:before="40" w:after="40"/>
      </w:pPr>
      <w:r>
        <w:rPr>
          <w:rFonts w:ascii="Arial" w:cs="Arial" w:eastAsia="Arial" w:hAnsi="Arial"/>
          <w:color w:val="2C2C2C"/>
          <w:sz w:val="22"/>
          <w:szCs w:val="22"/>
        </w:rPr>
        <w:t xml:space="preserve">Jira Standard at $8.15/user/month (confirmed current): issue tracking, no AI governance. ContextKeeper Team at $29/user/month: full AI governance plus connector ecosystem. Positioned above project management tools to reflect governance differentiation.</w:t>
      </w:r>
    </w:p>
    <w:p>
      <w:pPr>
        <w:pBdr>
          <w:left w:val="single" w:color="2E75B6" w:sz="6" w:space="8"/>
        </w:pBdr>
        <w:spacing w:before="120" w:after="120"/>
        <w:ind w:left="720"/>
      </w:pPr>
      <w:r>
        <w:rPr>
          <w:rFonts w:ascii="Arial" w:cs="Arial" w:eastAsia="Arial" w:hAnsi="Arial"/>
          <w:i/>
          <w:iCs/>
          <w:color w:val="555555"/>
          <w:sz w:val="22"/>
          <w:szCs w:val="22"/>
        </w:rPr>
        <w:t xml:space="preserve">The competitive positioning principle is that ContextKeeper is not priced as a premium product competing on brand; it is priced as an infrastructure product competing on ROI. Every price point is defensible by pointing to a specific, quantified value delivered that competitors at the same price do not provide.</w:t>
      </w:r>
    </w:p>
    <w:p>
      <w:pPr>
        <w:pStyle w:val="Heading2"/>
        <w:spacing w:before="240" w:after="80" w:line="276" w:lineRule="auto"/>
      </w:pPr>
      <w:r>
        <w:rPr>
          <w:rFonts w:ascii="Arial" w:cs="Arial" w:eastAsia="Arial" w:hAnsi="Arial"/>
          <w:b/>
          <w:bCs/>
          <w:color w:val="2E75B6"/>
          <w:sz w:val="28"/>
          <w:szCs w:val="28"/>
        </w:rPr>
        <w:t xml:space="preserve">2.3 Revenue Composition Strategy</w:t>
      </w:r>
    </w:p>
    <w:p>
      <w:pPr>
        <w:spacing w:before="0" w:after="200" w:line="276" w:lineRule="auto"/>
      </w:pPr>
      <w:r>
        <w:rPr>
          <w:rFonts w:ascii="Arial" w:cs="Arial" w:eastAsia="Arial" w:hAnsi="Arial"/>
          <w:color w:val="2C2C2C"/>
          <w:sz w:val="22"/>
          <w:szCs w:val="22"/>
        </w:rPr>
        <w:t xml:space="preserve">The revenue composition strategy targets a mix of recurring subscription revenue (predictable, low-churn), consumption-based revenue (grows with platform usage), and high-ACV enterprise contracts (anchor revenue). The target steady-state composition at Phase D maturity is: 40 to 50% from subscriptions (Free conversion to paid tiers), 25 to 35% from consumption (execution credits and overage billing), and 20 to 30% from enterprise contracts and SDK licensing. This composition is more resilient than pure subscription revenue because consumption revenue grows independently of new customer acquisition, and enterprise revenue provides large individual anchors that stabilize total MRR against SMB churn.</w:t>
      </w:r>
    </w:p>
    <w:p>
      <w:pPr>
        <w:spacing w:before="0" w:after="200" w:line="276" w:lineRule="auto"/>
      </w:pPr>
      <w:r>
        <w:rPr>
          <w:rFonts w:ascii="Arial" w:cs="Arial" w:eastAsia="Arial" w:hAnsi="Arial"/>
          <w:color w:val="2C2C2C"/>
          <w:sz w:val="22"/>
          <w:szCs w:val="22"/>
        </w:rPr>
        <w:t xml:space="preserve">The marketplace commission and certification program are secondary revenue streams that are expected to represent less than 10% of total revenue at maturity but serve strategic purposes beyond their direct revenue: the marketplace drives organic user acquisition (replacing paid marketing spend), and the certification program creates a practitioner pipeline that generates enterprise leads.</w:t>
      </w:r>
    </w:p>
    <w:p>
      <w:pPr>
        <w:spacing w:before="0" w:after="200" w:line="276" w:lineRule="auto"/>
      </w:pPr>
      <w:r>
        <w:rPr>
          <w:rFonts w:ascii="Arial" w:hAnsi="Arial" w:eastAsia="Arial" w:cs="Arial"/>
          <w:color w:val="2C2C2C"/>
          <w:sz w:val="22"/>
          <w:szCs w:val="22"/>
        </w:rPr>
        <w:t xml:space="preserve">Current market evidence supports a hybrid pricing posture rather than a single-model doctrine. In 2025 benchmarking across hundreds of software companies (Metronome State of Usage-Based Pricing 2025; Maxio/Benchmarkit 2025 Pricing Trends Report), 85% of surveyed companies reported some adoption of usage-based pricing, 77% of the largest software companies had a usage-based component, and hybrid models combining subscription with consumption showed the strongest median growth. At the same time, seat pricing remains the procurement anchor: it simplifies budgeting, internal allocation, and renewal negotiations for enterprise buyers. The commercially robust conclusion is not that ContextKeeper should become purely consumption-based. Subscription should remain the procurement anchor while execution credits, overages, and enterprise pooled budgets become the scaling layer that grows with actual AI workload. That hybrid structure allows infrastructure cost pass-through without forcing small customers into enterprise-style commitments, and it produces higher net dollar retention than either pure seat or pure usage models in isolation. (Metronome, 2025; Maxio/Benchmarkit, 2025; Price Intelligently by SBI, 2025, State of SaaS Pricing Report.)</w:t>
      </w:r>
    </w:p>
    <w:p>
      <w:pPr>
        <w:pStyle w:val="Heading1"/>
        <w:pageBreakBefore/>
        <w:spacing w:before="360" w:after="120" w:line="276" w:lineRule="auto"/>
      </w:pPr>
      <w:r>
        <w:rPr>
          <w:rFonts w:ascii="Arial" w:cs="Arial" w:eastAsia="Arial" w:hAnsi="Arial"/>
          <w:b/>
          <w:bCs/>
          <w:color w:val="1B2A4A"/>
          <w:sz w:val="36"/>
          <w:szCs w:val="36"/>
        </w:rPr>
        <w:t xml:space="preserve">3. Subscription Tier Architecture</w:t>
      </w:r>
    </w:p>
    <w:p>
      <w:pPr>
        <w:pStyle w:val="Heading2"/>
        <w:spacing w:before="240" w:after="80" w:line="276" w:lineRule="auto"/>
      </w:pPr>
      <w:r>
        <w:rPr>
          <w:rFonts w:ascii="Arial" w:cs="Arial" w:eastAsia="Arial" w:hAnsi="Arial"/>
          <w:b/>
          <w:bCs/>
          <w:color w:val="2E75B6"/>
          <w:sz w:val="28"/>
          <w:szCs w:val="28"/>
        </w:rPr>
        <w:t xml:space="preserve">3.1 Feature Matrix</w:t>
      </w:r>
    </w:p>
    <w:p>
      <w:pPr>
        <w:spacing w:before="0" w:after="200" w:line="276" w:lineRule="auto"/>
      </w:pPr>
      <w:r>
        <w:rPr>
          <w:rFonts w:ascii="Arial" w:cs="Arial" w:eastAsia="Arial" w:hAnsi="Arial"/>
          <w:color w:val="2C2C2C"/>
          <w:sz w:val="22"/>
          <w:szCs w:val="22"/>
        </w:rPr>
        <w:t xml:space="preserve">Table 1 defines the complete feature matrix across all four subscription tiers. Features are listed in dependency order: features lower in the table depend on features above them being present.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1600"/>
        <w:gridCol w:w="22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Free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 ($12/mo)</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Team ($29/user/mo)</w:t>
            </w:r>
          </w:p>
        </w:tc>
        <w:tc>
          <w:tcPr>
            <w:tcW w:type="dxa" w:w="2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Enterprise (Custom)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Sessions per 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67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REST API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 SLA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downloads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 / month</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definitions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runs per month</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(BYOK)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 (BYOK)</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Unlimited + hosted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Planning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tracking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Post-hoc only</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(all 4 levels)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(all 4 levels)</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 fleet 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 + Audited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modes + custom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collaboration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 + RBAC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log export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CSV + JSON + API</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SSO / SAML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99.5% uptime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99.9% + response SLA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Support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Community forum</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Email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Priority email</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Dedicated CSM</w:t>
            </w:r>
          </w:p>
        </w:tc>
      </w:tr>
    </w:tbl>
    <w:p>
      <w:pPr>
        <w:spacing w:before="120" w:after="0"/>
      </w:pPr>
    </w:p>
    <w:p>
      <w:pPr>
        <w:spacing w:before="0" w:after="200" w:line="276" w:lineRule="auto"/>
      </w:pPr>
      <w:r>
        <w:rPr>
          <w:rFonts w:ascii="Arial" w:cs="Arial" w:eastAsia="Arial" w:hAnsi="Arial"/>
          <w:color w:val="2C2C2C"/>
          <w:sz w:val="22"/>
          <w:szCs w:val="22"/>
        </w:rPr>
        <w:t xml:space="preserve">The feature matrix is designed around three upgrade forcing functions. The session limit (50/month on Free) forces conversion when a developer begins using ContextKeeper regularly; at daily use, 50 sessions lasts approximately 2.5 weeks. The connector limit (2 on Free, 10 on Pro) forces conversion when a developer needs more than two external services. The team collaboration absence on Pro forces upgrade to Team when a second engineer joins the project. These forcing functions create natural, non-frustrating upgrade triggers that align with genuine usage growth rather than arbitrary paywalls.</w:t>
      </w:r>
    </w:p>
    <w:p>
      <w:pPr>
        <w:spacing w:before="0" w:after="200" w:line="276" w:lineRule="auto"/>
      </w:pPr>
      <w:r>
        <w:rPr>
          <w:rFonts w:ascii="Arial" w:cs="Arial" w:eastAsia="Arial" w:hAnsi="Arial"/>
          <w:color w:val="2C2C2C"/>
          <w:sz w:val="22"/>
          <w:szCs w:val="22"/>
        </w:rPr>
        <w:t xml:space="preserve">The governance mode availability is a deliberate enterprise gate. Standard mode (available from Pro) is sufficient for most production agent deployments. Audited mode (available from Team) produces SHA-256-verified state transitions and reproducibility contracts. Custom governance modes (Enterprise only) allow organizations to define bespoke gate conditions and invariant sets beyond the standard templates. This staircase means that the compliance features regulated industries specifically require are available only at the tiers where those organizations are purchasing.</w:t>
      </w:r>
    </w:p>
    <w:p>
      <w:pPr>
        <w:pStyle w:val="Heading2"/>
        <w:spacing w:before="240" w:after="80" w:line="276" w:lineRule="auto"/>
      </w:pPr>
      <w:r>
        <w:rPr>
          <w:rFonts w:ascii="Arial" w:cs="Arial" w:eastAsia="Arial" w:hAnsi="Arial"/>
          <w:b/>
          <w:bCs/>
          <w:color w:val="2E75B6"/>
          <w:sz w:val="28"/>
          <w:szCs w:val="28"/>
        </w:rPr>
        <w:t xml:space="preserve">3.2 Tier Pricing Rationale</w:t>
      </w:r>
    </w:p>
    <w:p>
      <w:pPr>
        <w:spacing w:before="0" w:after="200" w:line="276" w:lineRule="auto"/>
      </w:pPr>
      <w:r>
        <w:rPr>
          <w:rFonts w:ascii="Arial" w:cs="Arial" w:eastAsia="Arial" w:hAnsi="Arial"/>
          <w:color w:val="2C2C2C"/>
          <w:sz w:val="22"/>
          <w:szCs w:val="22"/>
        </w:rPr>
        <w:t xml:space="preserve">Table 2 defines each tier's pricing rationale and the specific value anchor that justifies the price point.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Pricing Rationale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Value Anchor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Acquires developers through frictionless entry; costs are bounded by session and connector limits; converts to Pro when users hit limits or require API access for automation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Zero cost to try; governance experience creates product understanding before purchase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at $12/month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Positioned below the $15 to $20 range of most developer SaaS tools (GitHub Copilot $10, Linear $8, Notion $10) to minimize friction at the individual developer conversion point; annually priced at $120 (equivalent to 10 months)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token tracking, unlimited sessions, 10 connectors, and 5 governed agents; enough for a solo developer running a complete AI-assisted engineering workflow</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at $29/user/month</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Per-seat model aligns pricing with value delivery: each additional team member generates proportionally more session data, connector usage, and agent runs; positioned above project management tools (Jira Standard $8.15/user/mo) to reflect governance differentiation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Shared project state, team dashboard, 30 connectors, unlimited agents, and audit log export; the minimum viable enterprise governance package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at custom pricing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Negotiated annually based on seat count, connector requirements, governance mode selection, SLA tier, and whether private cloud deployment is included; floor price of $2,000/month for the smallest enterprise engagement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connector catalog, all governance modes, SSO, dedicated support, SLA guarantees, and access to compliance reporting; removes all procurement barriers for regulated industry buyers</w:t>
            </w:r>
          </w:p>
        </w:tc>
      </w:tr>
    </w:tbl>
    <w:p>
      <w:pPr>
        <w:spacing w:before="120" w:after="0"/>
      </w:pPr>
    </w:p>
    <w:p>
      <w:pPr>
        <w:spacing w:before="0" w:after="200" w:line="276" w:lineRule="auto"/>
      </w:pPr>
      <w:r>
        <w:rPr>
          <w:rFonts w:ascii="Arial" w:cs="Arial" w:eastAsia="Arial" w:hAnsi="Arial"/>
          <w:color w:val="2C2C2C"/>
          <w:sz w:val="22"/>
          <w:szCs w:val="22"/>
        </w:rPr>
        <w:t xml:space="preserve">The Free tier is not a trial; it is a permanent product offering. Permanently free users who never convert are still valuable: they create reviews, contribute to the community forum, publish free marketplace blueprints, and refer paying colleagues. The Free tier cost is bounded by enforced limits (50 sessions, 2 connectors, no agents) that keep server-side resource consumption per Free user at a level where the conversion and referral value exceeds the hosting cost.</w:t>
      </w:r>
    </w:p>
    <w:p>
      <w:pPr>
        <w:spacing w:before="0" w:after="200" w:line="276" w:lineRule="auto"/>
      </w:pPr>
      <w:r>
        <w:rPr>
          <w:rFonts w:ascii="Arial" w:cs="Arial" w:eastAsia="Arial" w:hAnsi="Arial"/>
          <w:color w:val="2C2C2C"/>
          <w:sz w:val="22"/>
          <w:szCs w:val="22"/>
        </w:rPr>
        <w:t xml:space="preserve">The Team tier is priced per seat rather than per organization because the value of ContextKeeper's shared state model scales directly with the number of engineers using it. A team of two gets less value from shared state than a team of ten; the per-seat model aligns cost with this value scaling. Per-seat pricing also provides natural expansion revenue: as a Team customer hires more engineers, their ContextKeeper bill grows proportionally without any sales action required.</w:t>
      </w:r>
    </w:p>
    <w:p>
      <w:pPr>
        <w:pStyle w:val="Heading2"/>
        <w:spacing w:before="240" w:after="80" w:line="276" w:lineRule="auto"/>
      </w:pPr>
      <w:r>
        <w:rPr>
          <w:rFonts w:ascii="Arial" w:cs="Arial" w:eastAsia="Arial" w:hAnsi="Arial"/>
          <w:b/>
          <w:bCs/>
          <w:color w:val="2E75B6"/>
          <w:sz w:val="28"/>
          <w:szCs w:val="28"/>
        </w:rPr>
        <w:t xml:space="preserve">3.3 Annual Pricing</w:t>
      </w:r>
    </w:p>
    <w:p>
      <w:pPr>
        <w:spacing w:before="0" w:after="200" w:line="276" w:lineRule="auto"/>
      </w:pPr>
      <w:r>
        <w:rPr>
          <w:rFonts w:ascii="Arial" w:cs="Arial" w:eastAsia="Arial" w:hAnsi="Arial"/>
          <w:color w:val="2C2C2C"/>
          <w:sz w:val="22"/>
          <w:szCs w:val="22"/>
        </w:rPr>
        <w:t xml:space="preserve">Annual billing is offered at the equivalent of 10 months of monthly billing (2 months free) for Pro and Team tiers. Table 3 defines the annual pricing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Monthly Billing</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Annual Billing</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Annual Savings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$12.00 / month</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$120.00 / year ($10.00/mo equivalent)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 per year (2 months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$29.00 / user /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$290.00 / user / year ($24.17/mo equivalent)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$58 per user per year (2 months free)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monthly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annual (typically 15 to 20% discount on monthly equivalent)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Negotiated; typically $3,000 to $10,000+ savings on mid-market contracts</w:t>
            </w:r>
          </w:p>
        </w:tc>
      </w:tr>
    </w:tbl>
    <w:p>
      <w:pPr>
        <w:spacing w:before="120" w:after="0"/>
      </w:pPr>
    </w:p>
    <w:p>
      <w:pPr>
        <w:spacing w:before="0" w:after="200" w:line="276" w:lineRule="auto"/>
      </w:pPr>
      <w:r>
        <w:rPr>
          <w:rFonts w:ascii="Arial" w:cs="Arial" w:eastAsia="Arial" w:hAnsi="Arial"/>
          <w:color w:val="2C2C2C"/>
          <w:sz w:val="22"/>
          <w:szCs w:val="22"/>
        </w:rPr>
        <w:t xml:space="preserve">Annual pricing is implemented as a Stripe Price object for each tier with a billing interval of 'year' and a unit amount equal to 10 times the monthly price. No engineering changes to the platform are required; Stripe handles the billing cycle, invoice generation, and proration on upgrades. The annual option is presented prominently on the pricing page with the 'Best Value' label and an explicit calculation of the savings amount.</w:t>
      </w:r>
    </w:p>
    <w:p>
      <w:pPr>
        <w:spacing w:before="0" w:after="200" w:line="276" w:lineRule="auto"/>
      </w:pPr>
      <w:r>
        <w:rPr>
          <w:rFonts w:ascii="Arial" w:cs="Arial" w:eastAsia="Arial" w:hAnsi="Arial"/>
          <w:color w:val="2C2C2C"/>
          <w:sz w:val="22"/>
          <w:szCs w:val="22"/>
        </w:rPr>
        <w:t xml:space="preserve">Expected annual conversion rate among monthly subscribers, based on SaaS industry benchmarks for developer tools: 30 to 40% within the first 90 days of monthly subscription. This range is consistent with directional support from SaaS benchmarking data: the High Alpha 2024 SaaS Benchmarks Report (co-published with OpenView and Paddle) benchmarks key SaaS metrics, though specific annual conversion figures are not published in their publicly accessible summaries. Industry practitioners commonly cite annual plan uptake in the 25 to 40% range for bottom-up developer tools, though exact figures vary significantly by product category, price point, and trial design. These figures should be treated as operating assumptions pending accumulation of ContextKeeper's own cohort data. Annual subscribers have demonstrably lower churn rates, typically 2 to 3 times lower than monthly subscribers, because the annual commitment creates retention and because churning mid-year means forfeiting prepaid value. The net effect on MRR is positive even accounting for the discount: the reduction in churn more than offsets the 17% discount applied to annual subscribers.</w:t>
      </w:r>
    </w:p>
    <w:p>
      <w:pPr>
        <w:pStyle w:val="Heading2"/>
        <w:spacing w:before="240" w:after="80" w:line="276" w:lineRule="auto"/>
      </w:pPr>
      <w:r>
        <w:rPr>
          <w:rFonts w:ascii="Arial" w:cs="Arial" w:eastAsia="Arial" w:hAnsi="Arial"/>
          <w:b/>
          <w:bCs/>
          <w:color w:val="2E75B6"/>
          <w:sz w:val="28"/>
          <w:szCs w:val="28"/>
        </w:rPr>
        <w:t xml:space="preserve">3.4 Connector Pack Add-Ons</w:t>
      </w:r>
    </w:p>
    <w:p>
      <w:pPr>
        <w:spacing w:before="0" w:after="200" w:line="276" w:lineRule="auto"/>
      </w:pPr>
      <w:r>
        <w:rPr>
          <w:rFonts w:ascii="Arial" w:cs="Arial" w:eastAsia="Arial" w:hAnsi="Arial"/>
          <w:color w:val="2C2C2C"/>
          <w:sz w:val="22"/>
          <w:szCs w:val="22"/>
        </w:rPr>
        <w:t xml:space="preserve">Connector packs are curated bundles of related connectors available as monthly add-ons to any subscription tier. They address a specific gap in the tier-based connector allocation: a Pro user who needs exactly the Data Stack connectors (BigQuery, Snowflake, Redshift) does not need 10 general-purpose connectors; they need 3 specific connectors. The pack model lets them get precisely what they need at a lower cost than upgrading to Team for the higher connector limit.</w:t>
      </w:r>
    </w:p>
    <w:p>
      <w:pPr>
        <w:spacing w:before="0" w:after="200" w:line="276" w:lineRule="auto"/>
      </w:pPr>
      <w:r>
        <w:rPr>
          <w:rFonts w:ascii="Arial" w:cs="Arial" w:eastAsia="Arial" w:hAnsi="Arial"/>
          <w:color w:val="2C2C2C"/>
          <w:sz w:val="22"/>
          <w:szCs w:val="22"/>
        </w:rPr>
        <w:t xml:space="preserve">Table 4 defines the six connector packs with their contents, pricing, and best-fit tier.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Pack 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Included Connectors</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Monthly Price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Best Fit Tier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Stack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BigQuery, Snowflake, Redshift, ClickHouse, DuckDB, dbt (when available)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and Team users with analytics or data engineering workflows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DevOps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GitHub Actions, GitLab CI, Jenkins, CircleCI, Vercel, Netlify, Terraform, Docker 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and Team users managing CI/CD pipelines and infrastructure as code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Communications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Slack, Discord, Jira, Linear, Asana, Trello, PagerDuty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$6/month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users coordinating development work across project management and communication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ML and AI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Hugging Face, W&amp;B, MLflow, Neptune.ai, Databricks, Colab, Kaggle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and Team users running machine learning workflows and experiment tracking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Cloud Storage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AWS S3, Google Drive, Dropbox, OneDrive, Azure Blob, Cloudflare R2</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$6/month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users who need broad storage coverage beyond the default connector allocation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Database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MongoDB, Redis, MySQL, PostgreSQL (additional instances), SQLite, CockroachDB, Supabase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users running multi-database environments beyond the plan's default connector count</w:t>
            </w:r>
          </w:p>
        </w:tc>
      </w:tr>
    </w:tbl>
    <w:p>
      <w:pPr>
        <w:spacing w:before="120" w:after="0"/>
      </w:pPr>
    </w:p>
    <w:p>
      <w:pPr>
        <w:spacing w:before="0" w:after="200" w:line="276" w:lineRule="auto"/>
      </w:pPr>
      <w:r>
        <w:rPr>
          <w:rFonts w:ascii="Arial" w:cs="Arial" w:eastAsia="Arial" w:hAnsi="Arial"/>
          <w:color w:val="2C2C2C"/>
          <w:sz w:val="22"/>
          <w:szCs w:val="22"/>
        </w:rPr>
        <w:t xml:space="preserve">Pack add-ons stack: a Pro user can purchase both the Data Stack Pack and the DevOps Pack, giving them 2 base connectors plus 6 Data Stack connectors plus 8 DevOps connectors. When the total monthly cost of a user's pack add-ons exceeds half of the next tier's price per seat, the platform's upgrade motion (Section 9) proactively shows the user that the higher tier includes all packs plus additional features at marginal additional cost. This prevents the anti-pattern where a user pays more than a tier upgrade would cost because they assembled packs incrementally without considering the total.</w:t>
      </w:r>
    </w:p>
    <w:p>
      <w:pPr>
        <w:spacing w:before="0" w:after="200" w:line="276" w:lineRule="auto"/>
      </w:pPr>
      <w:r>
        <w:rPr>
          <w:rFonts w:ascii="Arial" w:cs="Arial" w:eastAsia="Arial" w:hAnsi="Arial"/>
          <w:color w:val="2C2C2C"/>
          <w:sz w:val="22"/>
          <w:szCs w:val="22"/>
        </w:rPr>
        <w:t xml:space="preserve">Enterprise tier subscribers have access to all 67 connectors included in the base seat price; connector packs are not applicable to Enterprise accounts and are not presented in the Enterprise billing interface.</w:t>
      </w:r>
    </w:p>
    <w:p>
      <w:pPr>
        <w:pStyle w:val="Heading1"/>
        <w:pageBreakBefore/>
        <w:spacing w:before="360" w:after="120" w:line="276" w:lineRule="auto"/>
      </w:pPr>
      <w:r>
        <w:rPr>
          <w:rFonts w:ascii="Arial" w:cs="Arial" w:eastAsia="Arial" w:hAnsi="Arial"/>
          <w:b/>
          <w:bCs/>
          <w:color w:val="1B2A4A"/>
          <w:sz w:val="36"/>
          <w:szCs w:val="36"/>
        </w:rPr>
        <w:t xml:space="preserve">4. Usage-Based Pricing</w:t>
      </w:r>
    </w:p>
    <w:p>
      <w:pPr>
        <w:pStyle w:val="Heading2"/>
        <w:spacing w:before="240" w:after="80" w:line="276" w:lineRule="auto"/>
      </w:pPr>
      <w:r>
        <w:rPr>
          <w:rFonts w:ascii="Arial" w:cs="Arial" w:eastAsia="Arial" w:hAnsi="Arial"/>
          <w:b/>
          <w:bCs/>
          <w:color w:val="2E75B6"/>
          <w:sz w:val="28"/>
          <w:szCs w:val="28"/>
        </w:rPr>
        <w:t xml:space="preserve">4.1 Execution Credit System</w:t>
      </w:r>
    </w:p>
    <w:p>
      <w:pPr>
        <w:spacing w:before="0" w:after="200" w:line="276" w:lineRule="auto"/>
      </w:pPr>
      <w:r>
        <w:rPr>
          <w:rFonts w:ascii="Arial" w:cs="Arial" w:eastAsia="Arial" w:hAnsi="Arial"/>
          <w:color w:val="2C2C2C"/>
          <w:sz w:val="22"/>
          <w:szCs w:val="22"/>
        </w:rPr>
        <w:t xml:space="preserve">Execution credits are the billing unit for platform-hosted inference: agent runs where ContextKeeper provides the inference compute rather than the user supplying their own API keys. Credits are purchased in bundles at volume-discounted rates. Table 5 defines the credit bundle tiers.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Credit Bundle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Credits Included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Effective Rate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 credits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$0.010 per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2,500 credits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$0.008 per credit (20% discount vs Starter)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7,500 credits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$0.0067 per credit (33% discount vs Starter)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25,000 credits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$0.006 per credit (40% discount vs Starter)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100,000 credits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$0.005 per credit (50% discount vs Starter)</w:t>
            </w:r>
          </w:p>
        </w:tc>
      </w:tr>
    </w:tbl>
    <w:p>
      <w:pPr>
        <w:spacing w:before="120" w:after="0"/>
      </w:pPr>
    </w:p>
    <w:p>
      <w:pPr>
        <w:spacing w:before="0" w:after="200" w:line="276" w:lineRule="auto"/>
      </w:pPr>
      <w:r>
        <w:rPr>
          <w:rFonts w:ascii="Arial" w:cs="Arial" w:eastAsia="Arial" w:hAnsi="Arial"/>
          <w:color w:val="2C2C2C"/>
          <w:sz w:val="22"/>
          <w:szCs w:val="22"/>
        </w:rPr>
        <w:t xml:space="preserve">Credits do not expire within 12 months of purchase. This is a deliberate retention mechanism: a user who purchased a Standard bundle and used 1,500 of 2,500 credits has 1,000 credits as an active reason to remain subscribed. Expired credits produce churn; non-expiring credits produce retention. Credits that expire after 12 months prevent indefinite accumulation of liability on the platform's balance sheet without creating the frustration of 30-day expiry windows.</w:t>
      </w:r>
    </w:p>
    <w:p>
      <w:pPr>
        <w:spacing w:before="0" w:after="200" w:line="276" w:lineRule="auto"/>
      </w:pPr>
      <w:r>
        <w:rPr>
          <w:rFonts w:ascii="Arial" w:cs="Arial" w:eastAsia="Arial" w:hAnsi="Arial"/>
          <w:color w:val="2C2C2C"/>
          <w:sz w:val="22"/>
          <w:szCs w:val="22"/>
        </w:rPr>
        <w:t xml:space="preserve">Credits are scoped to the purchasing user's account and cannot be transferred between accounts in the current implementation. Team and Enterprise administrators can purchase organization-level credit allocations that are distributed across team members via the fleet management dashboard; individual team member purchases are separate from organizational allocations.</w:t>
      </w:r>
    </w:p>
    <w:p>
      <w:pPr>
        <w:pStyle w:val="Heading2"/>
        <w:spacing w:before="240" w:after="80" w:line="276" w:lineRule="auto"/>
      </w:pPr>
      <w:r>
        <w:rPr>
          <w:rFonts w:ascii="Arial" w:cs="Arial" w:eastAsia="Arial" w:hAnsi="Arial"/>
          <w:b/>
          <w:bCs/>
          <w:color w:val="2E75B6"/>
          <w:sz w:val="28"/>
          <w:szCs w:val="28"/>
        </w:rPr>
        <w:t xml:space="preserve">4.2 Credit Consumption Model</w:t>
      </w:r>
    </w:p>
    <w:p>
      <w:pPr>
        <w:spacing w:before="0" w:after="200" w:line="276" w:lineRule="auto"/>
      </w:pPr>
      <w:r>
        <w:rPr>
          <w:rFonts w:ascii="Arial" w:cs="Arial" w:eastAsia="Arial" w:hAnsi="Arial"/>
          <w:color w:val="2C2C2C"/>
          <w:sz w:val="22"/>
          <w:szCs w:val="22"/>
        </w:rPr>
        <w:t xml:space="preserve">Credit consumption per agent run is proportional to token usage plus a platform margin. The margin covers: inference infrastructure cost (GPU compute or commercial API cost when the platform routes through a provider), the token tracking overhead (the proxy layer that meters every call), the governance evaluation cost (gate evaluation LLM calls for audited mode runs), and a contribution margin to platform operations. Table 6 defines the approximate credit cost for representative agent run types.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Agent Run 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Approximate Credit Cost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Derivation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Simple query agent (1 to 2 LLM calls, 1 connector read)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 to 5 credits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cost at GPT-4o pricing (~$0.02 to $0.04) plus platform margin; 1 credit = $0.006 to $0.008 at scale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pipeline agent (5 to 10 LLM calls, multiple connector reads and writes)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 to 30 credits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cost at ~$0.10 to $0.20 plus connector operation overhead plus governance evaluation calls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Code review agent (3 to 5 LLM calls, GitHub read, structured output parsing)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 to 15 credits</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Token cost for code context ingestion (~$0.05 to $0.12) plus governance gate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Long-running analysis agent (10+ LLM calls, multiple sources, structured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 to 75 credits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Extended execution with multiple model calls; cost dominated by token volume at current trajectory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Audited governance run surcharge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of base credit cost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Additional LLM calls for SHA verification, multi-model gate evaluation, and reproducibility contract capture</w:t>
            </w:r>
          </w:p>
        </w:tc>
      </w:tr>
    </w:tbl>
    <w:p>
      <w:pPr>
        <w:spacing w:before="120" w:after="0"/>
      </w:pPr>
    </w:p>
    <w:p>
      <w:pPr>
        <w:spacing w:before="0" w:after="200" w:line="276" w:lineRule="auto"/>
      </w:pPr>
      <w:r>
        <w:rPr>
          <w:rFonts w:ascii="Arial" w:cs="Arial" w:eastAsia="Arial" w:hAnsi="Arial"/>
          <w:color w:val="2C2C2C"/>
          <w:sz w:val="22"/>
          <w:szCs w:val="22"/>
        </w:rPr>
        <w:t xml:space="preserve">Credit consumption is calculated at run completion, not estimated in advance (except for the optional budget enforcement feature, where the user sets a credit ceiling per run). The final credit deduction is: (total_tokens / 1,000,000) x model_input_price x conversion_factor for input tokens, plus (total_tokens / 1,000,000) x model_output_price x conversion_factor for output tokens, plus a fixed per-run overhead credit for governance evaluation calls, rounded up to the nearest whole credit. The conversion_factor is the platform margin applied on top of the provider's cost; it is published in the platform documentation and updated when provider pricing changes.</w:t>
      </w:r>
    </w:p>
    <w:p>
      <w:pPr>
        <w:pStyle w:val="Heading2"/>
        <w:spacing w:before="240" w:after="80" w:line="276" w:lineRule="auto"/>
      </w:pPr>
      <w:r>
        <w:rPr>
          <w:rFonts w:ascii="Arial" w:cs="Arial" w:eastAsia="Arial" w:hAnsi="Arial"/>
          <w:b/>
          <w:bCs/>
          <w:color w:val="2E75B6"/>
          <w:sz w:val="28"/>
          <w:szCs w:val="28"/>
        </w:rPr>
        <w:t xml:space="preserve">4.3 Overage Billing</w:t>
      </w:r>
    </w:p>
    <w:p>
      <w:pPr>
        <w:spacing w:before="0" w:after="200" w:line="276" w:lineRule="auto"/>
      </w:pPr>
      <w:r>
        <w:rPr>
          <w:rFonts w:ascii="Arial" w:cs="Arial" w:eastAsia="Arial" w:hAnsi="Arial"/>
          <w:color w:val="2C2C2C"/>
          <w:sz w:val="22"/>
          <w:szCs w:val="22"/>
        </w:rPr>
        <w:t xml:space="preserve">Overage billing applies when a user on a plan with defined monthly limits exceeds those limits. Rather than hard-blocking the user (which creates frustration and potential churn) or silently allowing unlimited overages (which creates unexpected charges), the overage model uses a configured soft limit with explicit user confirmation.</w:t>
      </w:r>
    </w:p>
    <w:p>
      <w:pPr>
        <w:spacing w:before="0" w:after="200" w:line="276" w:lineRule="auto"/>
      </w:pPr>
      <w:r>
        <w:rPr>
          <w:rFonts w:ascii="Arial" w:cs="Arial" w:eastAsia="Arial" w:hAnsi="Arial"/>
          <w:color w:val="2C2C2C"/>
          <w:sz w:val="22"/>
          <w:szCs w:val="22"/>
        </w:rPr>
        <w:t xml:space="preserve">When a user approaches their monthly agent run quota (at 80% consumption), the platform sends an in-app notification and email alert. When the quota is reached, the next run attempt presents a modal: 'You have reached your monthly agent run limit. You can purchase 50 additional runs for $X, or upgrade to Team for unlimited runs at $29/user/month.' The user makes an explicit choice; no charge occurs without confirmation. Overage run pricing is set at 1.5x the effective per-run rate at the next tier, making the tier upgrade the economically rational choice at moderate overage volume while still capturing revenue from users with occasional overages who prefer not to upgrade.</w:t>
      </w:r>
    </w:p>
    <w:p>
      <w:pPr>
        <w:spacing w:before="240" w:after="80"/>
      </w:pPr>
      <w:r>
        <w:rPr>
          <w:rFonts w:ascii="Arial" w:hAnsi="Arial"/>
          <w:b/>
          <w:bCs/>
          <w:color w:val="2C2C2C"/>
          <w:sz w:val="24"/>
          <w:szCs w:val="24"/>
        </w:rPr>
        <w:t xml:space="preserve">4.4 Revenue Recognition and Credit Liability Management</w:t>
      </w:r>
    </w:p>
    <w:p>
      <w:pPr>
        <w:spacing w:before="0" w:after="200" w:line="276" w:lineRule="auto"/>
      </w:pPr>
      <w:r>
        <w:rPr>
          <w:rFonts w:ascii="Arial" w:hAnsi="Arial" w:eastAsia="Arial" w:cs="Arial"/>
          <w:color w:val="2C2C2C"/>
          <w:sz w:val="22"/>
          <w:szCs w:val="22"/>
        </w:rPr>
        <w:t xml:space="preserve">Prepaid execution credits create a deferred revenue obligation that must be managed carefully under ASC 606 (and IFRS 15 for international entities). Cash received for credit bundles should not be recognized as revenue at purchase: revenue is earned only as credits are consumed through completed hosted execution runs, with the remaining purchased balance carried as a contract liability (deferred revenue) on the balance sheet. This treatment has three operational consequences that should be addressed before the credit system launches.</w:t>
      </w:r>
    </w:p>
    <w:p>
      <w:pPr>
        <w:spacing w:before="0" w:after="200" w:line="276" w:lineRule="auto"/>
      </w:pPr>
      <w:r>
        <w:rPr>
          <w:rFonts w:ascii="Arial" w:hAnsi="Arial" w:eastAsia="Arial" w:cs="Arial"/>
          <w:color w:val="2C2C2C"/>
          <w:sz w:val="22"/>
          <w:szCs w:val="22"/>
        </w:rPr>
        <w:t xml:space="preserve">First, breakage recognition: if historical redemption data becomes sufficiently stable to estimate the portion of credits that will never be redeemed, that expected breakage may be recognized in proportion to actual usage under the proportional method. Until sufficient data exists, breakage should be recognized only when redemption becomes remote, which in practice means waiting until credits expire. The 12-month expiry policy is commercially reasonable but must be paired with explicit breakage-estimation controls and a documented accounting policy election.</w:t>
      </w:r>
    </w:p>
    <w:p>
      <w:pPr>
        <w:spacing w:before="0" w:after="200" w:line="276" w:lineRule="auto"/>
      </w:pPr>
      <w:r>
        <w:rPr>
          <w:rFonts w:ascii="Arial" w:hAnsi="Arial" w:eastAsia="Arial" w:cs="Arial"/>
          <w:color w:val="2C2C2C"/>
          <w:sz w:val="22"/>
          <w:szCs w:val="22"/>
        </w:rPr>
        <w:t xml:space="preserve">Second, escheat and unclaimed property: in most US jurisdictions, unused balances that have been dormant beyond the statutory dormancy period (typically 3 to 5 years, but as short as 1 year in some states) must be remitted to the state as unclaimed property rather than recognized as breakage revenue. A jurisdictional review of escheat exposure should be completed before launch. Balances subject to potential escheat must remain liabilities until remitted or until the dormancy period expires without a claim.</w:t>
      </w:r>
    </w:p>
    <w:p>
      <w:pPr>
        <w:spacing w:before="0" w:after="200" w:line="276" w:lineRule="auto"/>
      </w:pPr>
      <w:r>
        <w:rPr>
          <w:rFonts w:ascii="Arial" w:hAnsi="Arial" w:eastAsia="Arial" w:cs="Arial"/>
          <w:color w:val="2C2C2C"/>
          <w:sz w:val="22"/>
          <w:szCs w:val="22"/>
        </w:rPr>
        <w:t xml:space="preserve">Third, gross margin visibility: because credit revenue is recognized over time while infrastructure cost is incurred at run time, a credit-heavy revenue mix can obscure the actual contribution margin of hosted execution. The commercial control metrics in Section 10.6 address this, but the accounting team should produce a realized-versus-forecasted revenue per 1,000 credits report from the first billing cycle to detect margin erosion early. (FASB ASC 606-10-55-46 through 55-49; ASU 2016-08; Deloitte ASC 606 Roadmap, 2026 edition.)</w:t>
      </w:r>
    </w:p>
    <w:p>
      <w:pPr>
        <w:spacing w:before="240" w:after="80"/>
      </w:pPr>
      <w:r>
        <w:rPr>
          <w:rFonts w:ascii="Arial" w:hAnsi="Arial"/>
          <w:b/>
          <w:bCs/>
          <w:color w:val="2C2C2C"/>
          <w:sz w:val="24"/>
          <w:szCs w:val="24"/>
        </w:rPr>
        <w:t xml:space="preserve">4.5 Organization-Level Credit Pools and Spend Controls</w:t>
      </w:r>
    </w:p>
    <w:p>
      <w:pPr>
        <w:spacing w:before="0" w:after="200" w:line="276" w:lineRule="auto"/>
      </w:pPr>
      <w:r>
        <w:rPr>
          <w:rFonts w:ascii="Arial" w:hAnsi="Arial" w:eastAsia="Arial" w:cs="Arial"/>
          <w:color w:val="2C2C2C"/>
          <w:sz w:val="22"/>
          <w:szCs w:val="22"/>
        </w:rPr>
        <w:t xml:space="preserve">The market is moving toward hybrid monetization models that combine seat access with pooled consumption budgets rather than forcing all AI value into pure per-seat pricing. Two enterprise precedents are directly relevant to ContextKeeper's credit architecture.</w:t>
      </w:r>
    </w:p>
    <w:p>
      <w:pPr>
        <w:spacing w:before="0" w:after="200" w:line="276" w:lineRule="auto"/>
      </w:pPr>
      <w:r>
        <w:rPr>
          <w:rFonts w:ascii="Arial" w:hAnsi="Arial" w:eastAsia="Arial" w:cs="Arial"/>
          <w:color w:val="2C2C2C"/>
          <w:sz w:val="22"/>
          <w:szCs w:val="22"/>
        </w:rPr>
        <w:t xml:space="preserve">GitLab priced its Duo Agent Platform using organization-level GitLab Credits: an organization receives a monthly included credit allotment, then draws from a shared commitment pool, and finally incurs on-demand overage at list price. Administrators can set departmental budgets, view consumption dashboards by team, and forecast monthly spend against committed pools. Salesforce introduced Agentforce Flex Credits as a consumption-based pricing layer for AI actions, explicitly positioned alongside user licenses. Flex Credits are priced per action, support demand forecasting tooling, and allow budget reallocation across departments within an organization's contract.</w:t>
      </w:r>
    </w:p>
    <w:p>
      <w:pPr>
        <w:spacing w:before="0" w:after="200" w:line="276" w:lineRule="auto"/>
      </w:pPr>
      <w:r>
        <w:rPr>
          <w:rFonts w:ascii="Arial" w:hAnsi="Arial" w:eastAsia="Arial" w:cs="Arial"/>
          <w:color w:val="2C2C2C"/>
          <w:sz w:val="22"/>
          <w:szCs w:val="22"/>
        </w:rPr>
        <w:t xml:space="preserve">The implication for ContextKeeper is that the execution credit system defined in Section 4.1 is architecturally correct for individual and SMB accounts, but the strongest enterprise form of that system is an organization-level pool with: departmental sub-budgets configurable by the administrator; hard credit caps per department per billing period; alerting thresholds at 70% and 90% of each sub-budget; a consolidated spend dashboard showing per-department consumption, burn rate, and projected month-end usage; and a usage order rule specifying whether included seat credits, purchased bundle credits, or commitment pool credits are consumed first. This design preserves the procurement simplicity of seat-based buying while aligning incremental spend to actual agent activity, which is how enterprise AI buyers increasingly expect consumption-based tooling to be commercialized. (GitLab, 2026, GitLab Credits and usage billing; GitLab, 2026, Duo Agent Platform overview; Salesforce, 2025, Agentforce Flex Credits announcement.)</w:t>
      </w:r>
    </w:p>
    <w:p>
      <w:pPr>
        <w:pStyle w:val="Heading1"/>
        <w:pageBreakBefore/>
        <w:spacing w:before="360" w:after="120" w:line="276" w:lineRule="auto"/>
      </w:pPr>
      <w:r>
        <w:rPr>
          <w:rFonts w:ascii="Arial" w:cs="Arial" w:eastAsia="Arial" w:hAnsi="Arial"/>
          <w:b/>
          <w:bCs/>
          <w:color w:val="1B2A4A"/>
          <w:sz w:val="36"/>
          <w:szCs w:val="36"/>
        </w:rPr>
        <w:t xml:space="preserve">5. Marketplace Economics</w:t>
      </w:r>
    </w:p>
    <w:p>
      <w:pPr>
        <w:pStyle w:val="Heading2"/>
        <w:spacing w:before="240" w:after="80" w:line="276" w:lineRule="auto"/>
      </w:pPr>
      <w:r>
        <w:rPr>
          <w:rFonts w:ascii="Arial" w:cs="Arial" w:eastAsia="Arial" w:hAnsi="Arial"/>
          <w:b/>
          <w:bCs/>
          <w:color w:val="2E75B6"/>
          <w:sz w:val="28"/>
          <w:szCs w:val="28"/>
        </w:rPr>
        <w:t xml:space="preserve">5.1 Commission Structure</w:t>
      </w:r>
    </w:p>
    <w:p>
      <w:pPr>
        <w:spacing w:before="0" w:after="200" w:line="276" w:lineRule="auto"/>
      </w:pPr>
      <w:r>
        <w:rPr>
          <w:rFonts w:ascii="Arial" w:cs="Arial" w:eastAsia="Arial" w:hAnsi="Arial"/>
          <w:color w:val="2C2C2C"/>
          <w:sz w:val="22"/>
          <w:szCs w:val="22"/>
        </w:rPr>
        <w:t xml:space="preserve">The marketplace commission structure is designed to be creator-friendly at lower price points (where the absolute dollar amount per transaction is small and creators need the highest percentage to make publishing worthwhile) and to scale commission down at higher price points (where the absolute dollar amount per transaction is large and the lower percentage still generates meaningful platform revenue). Table 7 defines the commission tiers.</w:t>
      </w:r>
    </w:p>
    <w:p>
      <w:pPr>
        <w:spacing w:before="0" w:after="200" w:line="276" w:lineRule="auto"/>
      </w:pPr>
      <w:r>
        <w:rPr>
          <w:rFonts w:ascii="Arial" w:cs="Arial" w:eastAsia="Arial" w:hAnsi="Arial"/>
          <w:color w:val="2C2C2C"/>
          <w:sz w:val="22"/>
          <w:szCs w:val="22"/>
        </w:rPr>
        <w:t xml:space="preserve">Commission rates are benchmarked against current developer tool marketplace rates (verified March 2026): GitHub Marketplace at 5% (reduced from 25% in February 2021), Salesforce AppExchange at 15% (ISVforce via Checkout), Shopify App Store at 0% on the first $1 million in earnings on or after January 1, 2025, then 15% above that threshold, Atlassian Marketplace at 20% (Connect apps, rising to 25% July 2026; Forge apps at 16% rising to 17% October 2026, with 0% on first $1M lifetime Forge revenue). ContextKeeper's rates are positioned in the 12 to 30% range, declining with price point, which is consistent with this benchmark set.</w:t>
      </w:r>
    </w:p>
    <w:p>
      <w:pPr>
        <w:spacing w:before="80" w:after="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Blueprint Price (Creator Set)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 Commission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Creator Receives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Stripe Processing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30% ($1.50)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$3.50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25% ($3.75)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($10.00)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$40.00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 ($20.00)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 ($30.00)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$170.00</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 (negotiated for established creators)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$440.00+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commission</w:t>
            </w:r>
          </w:p>
        </w:tc>
      </w:tr>
    </w:tbl>
    <w:p>
      <w:pPr>
        <w:spacing w:before="120" w:after="0"/>
      </w:pPr>
    </w:p>
    <w:p>
      <w:pPr>
        <w:spacing w:before="0" w:after="200" w:line="276" w:lineRule="auto"/>
      </w:pPr>
      <w:r>
        <w:rPr>
          <w:rFonts w:ascii="Arial" w:cs="Arial" w:eastAsia="Arial" w:hAnsi="Arial"/>
          <w:color w:val="2C2C2C"/>
          <w:sz w:val="22"/>
          <w:szCs w:val="22"/>
        </w:rPr>
        <w:t xml:space="preserve">Commission is processed automatically through Stripe Connect: the buyer pays the full blueprint price, Stripe deducts the platform commission and Stripe's payment processing fee, and the remainder is transferred to the creator's connected Stripe account. Creators are responsible for their own tax obligations on marketplace income; the platform provides annual earnings summaries for tax reporting purposes but does not provide tax advice.</w:t>
      </w:r>
    </w:p>
    <w:p>
      <w:pPr>
        <w:spacing w:before="0" w:after="200" w:line="276" w:lineRule="auto"/>
      </w:pPr>
      <w:r>
        <w:rPr>
          <w:rFonts w:ascii="Arial" w:cs="Arial" w:eastAsia="Arial" w:hAnsi="Arial"/>
          <w:color w:val="2C2C2C"/>
          <w:sz w:val="22"/>
          <w:szCs w:val="22"/>
        </w:rPr>
        <w:t xml:space="preserve">Free blueprints (is_premium=false in the agent_templates table) carry no commission because there is no transaction. Free blueprints generate platform value through user acquisition, marketplace engagement, and the creator's reputation signal, but they do not generate direct revenue. There is no minimum price floor for premium blueprints; creators can price at any amount from $1.00 upward.</w:t>
      </w:r>
    </w:p>
    <w:p>
      <w:pPr>
        <w:pStyle w:val="Heading2"/>
        <w:spacing w:before="240" w:after="80" w:line="276" w:lineRule="auto"/>
      </w:pPr>
      <w:r>
        <w:rPr>
          <w:rFonts w:ascii="Arial" w:cs="Arial" w:eastAsia="Arial" w:hAnsi="Arial"/>
          <w:b/>
          <w:bCs/>
          <w:color w:val="2E75B6"/>
          <w:sz w:val="28"/>
          <w:szCs w:val="28"/>
        </w:rPr>
        <w:t xml:space="preserve">5.2 Creator Revenue Share Program</w:t>
      </w:r>
    </w:p>
    <w:p>
      <w:pPr>
        <w:spacing w:before="0" w:after="200" w:line="276" w:lineRule="auto"/>
      </w:pPr>
      <w:r>
        <w:rPr>
          <w:rFonts w:ascii="Arial" w:cs="Arial" w:eastAsia="Arial" w:hAnsi="Arial"/>
          <w:color w:val="2C2C2C"/>
          <w:sz w:val="22"/>
          <w:szCs w:val="22"/>
        </w:rPr>
        <w:t xml:space="preserve">The creator revenue share program supplements marketplace commission with a subscription-conversion attribution payment. Creators who publish blueprints (free or premium) receive a revenue share for subscription conversions that are attributable to their blueprints. Attribution is tracked via a referral link embedded in the blueprint's view page: when a non-subscriber views a blueprint and subsequently creates a paid subscription within a 90-day attribution window, the attribution is recorded.</w:t>
      </w:r>
    </w:p>
    <w:p>
      <w:pPr>
        <w:spacing w:before="0" w:after="200" w:line="276" w:lineRule="auto"/>
      </w:pPr>
      <w:r>
        <w:rPr>
          <w:rFonts w:ascii="Arial" w:cs="Arial" w:eastAsia="Arial" w:hAnsi="Arial"/>
          <w:color w:val="2C2C2C"/>
          <w:sz w:val="22"/>
          <w:szCs w:val="22"/>
        </w:rPr>
        <w:t xml:space="preserve">The revenue share payment is 20% of the subscriber's first year of subscription revenue, paid monthly as the subscriber completes each billing cycle. A creator whose blueprint converts a Pro subscriber ($12/month) earns $2.40 per month for 12 months, or $28.80 total. A creator whose blueprint converts a Team subscriber with 5 seats ($145/month) earns $29 per month for 12 months, or $348 total. Multiple creators can receive attribution for the same subscriber if the subscriber viewed multiple blueprints before subscribing; attribution is split equally among attributed creators up to a maximum of three.</w:t>
      </w:r>
    </w:p>
    <w:p>
      <w:pPr>
        <w:spacing w:before="0" w:after="200" w:line="276" w:lineRule="auto"/>
      </w:pPr>
      <w:r>
        <w:rPr>
          <w:rFonts w:ascii="Arial" w:cs="Arial" w:eastAsia="Arial" w:hAnsi="Arial"/>
          <w:color w:val="2C2C2C"/>
          <w:sz w:val="22"/>
          <w:szCs w:val="22"/>
        </w:rPr>
        <w:t xml:space="preserve">The revenue share program requires a minimum payout threshold of $50 to prevent micro-payments from creating administrative overhead. Earnings below $50 accumulate until the threshold is reached, then are paid in the next monthly disbursement cycle.</w:t>
      </w:r>
    </w:p>
    <w:p>
      <w:pPr>
        <w:pStyle w:val="Heading2"/>
        <w:spacing w:before="240" w:after="80" w:line="276" w:lineRule="auto"/>
      </w:pPr>
      <w:r>
        <w:rPr>
          <w:rFonts w:ascii="Arial" w:cs="Arial" w:eastAsia="Arial" w:hAnsi="Arial"/>
          <w:b/>
          <w:bCs/>
          <w:color w:val="2E75B6"/>
          <w:sz w:val="28"/>
          <w:szCs w:val="28"/>
        </w:rPr>
        <w:t xml:space="preserve">5.3 Blueprint Sponsorship</w:t>
      </w:r>
    </w:p>
    <w:p>
      <w:pPr>
        <w:spacing w:before="0" w:after="200" w:line="276" w:lineRule="auto"/>
      </w:pPr>
      <w:r>
        <w:rPr>
          <w:rFonts w:ascii="Arial" w:cs="Arial" w:eastAsia="Arial" w:hAnsi="Arial"/>
          <w:color w:val="2C2C2C"/>
          <w:sz w:val="22"/>
          <w:szCs w:val="22"/>
        </w:rPr>
        <w:t xml:space="preserve">Blueprint sponsorship is a B2B advertising revenue stream in which enterprise companies sponsor specific marketplace categories to gain visibility with the platform's practitioner audience. A Snowflake sponsorship of the Data Warehouse category means that the category header displays 'Powered by Snowflake' and Snowflake's logo links to their ContextKeeper connector documentation. Sponsorship does not affect search ranking, blueprint ratings, or creator revenue; it is purely a visibility placement.</w:t>
      </w:r>
    </w:p>
    <w:p>
      <w:pPr>
        <w:spacing w:before="0" w:after="200" w:line="276" w:lineRule="auto"/>
      </w:pPr>
      <w:r>
        <w:rPr>
          <w:rFonts w:ascii="Arial" w:cs="Arial" w:eastAsia="Arial" w:hAnsi="Arial"/>
          <w:color w:val="2C2C2C"/>
          <w:sz w:val="22"/>
          <w:szCs w:val="22"/>
        </w:rPr>
        <w:t xml:space="preserve">Sponsorship pricing: $500 to $2,000 per month per category depending on category traffic volume and the sponsor's brand prominence requirements. Sponsorships are sold on quarterly contracts with a renewal option. The platform sets a maximum of one sponsor per category to prevent visual clutter and preserve the integrity of category browsing. Target sponsors are infrastructure vendors whose products are represented in the connector ecosystem: Snowflake, Databricks, MongoDB, AWS (for S3), GitHub, and similar.</w:t>
      </w:r>
    </w:p>
    <w:p>
      <w:pPr>
        <w:spacing w:before="0" w:after="200" w:line="276" w:lineRule="auto"/>
      </w:pPr>
      <w:r>
        <w:rPr>
          <w:rFonts w:ascii="Arial" w:cs="Arial" w:eastAsia="Arial" w:hAnsi="Arial"/>
          <w:color w:val="2C2C2C"/>
          <w:sz w:val="22"/>
          <w:szCs w:val="22"/>
        </w:rPr>
        <w:t xml:space="preserve">Blueprint sponsorship revenue is secondary to its strategic value: a Snowflake sponsorship is a validation signal to users considering Snowflake integration, and it creates a commercial relationship with Snowflake that can evolve into a connector marketplace partnership (WP-007, Section 7.2) or a white-label SDK discussion.</w:t>
      </w:r>
    </w:p>
    <w:p>
      <w:pPr>
        <w:spacing w:before="240" w:after="80"/>
      </w:pPr>
      <w:r>
        <w:rPr>
          <w:rFonts w:ascii="Arial" w:hAnsi="Arial"/>
          <w:b/>
          <w:bCs/>
          <w:color w:val="2C2C2C"/>
          <w:sz w:val="24"/>
          <w:szCs w:val="24"/>
        </w:rPr>
        <w:t xml:space="preserve">5.4 Marketplace Compliance and Seller Due Diligence</w:t>
      </w:r>
    </w:p>
    <w:p>
      <w:pPr>
        <w:spacing w:before="0" w:after="200" w:line="276" w:lineRule="auto"/>
      </w:pPr>
      <w:r>
        <w:rPr>
          <w:rFonts w:ascii="Arial" w:hAnsi="Arial" w:eastAsia="Arial" w:cs="Arial"/>
          <w:color w:val="2C2C2C"/>
          <w:sz w:val="22"/>
          <w:szCs w:val="22"/>
        </w:rPr>
        <w:t xml:space="preserve">Opening the marketplace to external blueprint creators creates compliance obligations that must be designed into the platform before the first paid transaction, not retrofitted after. Two regulatory frameworks create binding obligations for in-scope marketplace operators.</w:t>
      </w:r>
    </w:p>
    <w:p>
      <w:pPr>
        <w:spacing w:before="0" w:after="200" w:line="276" w:lineRule="auto"/>
      </w:pPr>
      <w:r>
        <w:rPr>
          <w:rFonts w:ascii="Arial" w:hAnsi="Arial" w:eastAsia="Arial" w:cs="Arial"/>
          <w:color w:val="2C2C2C"/>
          <w:sz w:val="22"/>
          <w:szCs w:val="22"/>
        </w:rPr>
        <w:t xml:space="preserve">The EU Digital Services Act (DSA), in force since February 17, 2024, applies to online platforms that intermediate goods, services, or content for users in the EU. For a marketplace with EU-based blueprint creators or EU-based buyers, the DSA requires: mechanisms for users to report illegal content with acknowledgment and action within defined timelines; structured systems for content moderation decisions with explanations; traceability of commercial sellers sufficient to verify their identity and contact details; and annual transparency reporting for platforms above certain thresholds. Practically, this means seller onboarding must capture legal name, registered address, national identification or company registration number, banking details, and self-certification of legal compliance before a creator's premium blueprint is listed.</w:t>
      </w:r>
    </w:p>
    <w:p>
      <w:pPr>
        <w:spacing w:before="0" w:after="200" w:line="276" w:lineRule="auto"/>
      </w:pPr>
      <w:r>
        <w:rPr>
          <w:rFonts w:ascii="Arial" w:hAnsi="Arial" w:eastAsia="Arial" w:cs="Arial"/>
          <w:color w:val="2C2C2C"/>
          <w:sz w:val="22"/>
          <w:szCs w:val="22"/>
        </w:rPr>
        <w:t xml:space="preserve">DAC7 (EU Directive 2021/514 on administrative cooperation), effective from January 1, 2023 with first reporting in January 2024, places annual reporting obligations on digital platform operators in scope and requires them to collect and verify seller identity information, track seller earnings per calendar quarter, and report to the relevant EU tax authority. Platform operators who fail to collect required information must withhold payments from non-compliant sellers. DAC7 applies to platforms that facilitate services (including digital content sales) where the consideration is paid to or credited by the platform, which describes the ContextKeeper marketplace commission model.</w:t>
      </w:r>
    </w:p>
    <w:p>
      <w:pPr>
        <w:spacing w:before="0" w:after="200" w:line="276" w:lineRule="auto"/>
      </w:pPr>
      <w:r>
        <w:rPr>
          <w:rFonts w:ascii="Arial" w:hAnsi="Arial" w:eastAsia="Arial" w:cs="Arial"/>
          <w:color w:val="2C2C2C"/>
          <w:sz w:val="22"/>
          <w:szCs w:val="22"/>
        </w:rPr>
        <w:t xml:space="preserve">The operational consequence is a minimum viable compliance design for marketplace launch: creator onboarding must collect verified legal identity, tax identification number, payment account details, jurisdiction of tax residence, and signed contractual representations; all content moderation and takedown decisions must be logged in a structured audit system with timestamps and decision rationale; seller earnings must be tracked per quarter in a format exportable for DAC7 reporting; and a notice-and-action workflow must be implemented before EU distribution. These controls do not reduce the commercial attractiveness of the marketplace. They do define the minimum operating model for a commission-bearing creator ecosystem with any EU exposure. (European Commission, Digital Services Act, 2024; European Commission, DAC7 Q&amp;A, 2024; OECD Model Rules for Reporting by Platform Operators, 2020.)</w:t>
      </w:r>
    </w:p>
    <w:p>
      <w:pPr>
        <w:pStyle w:val="Heading1"/>
        <w:pageBreakBefore/>
        <w:spacing w:before="360" w:after="120" w:line="276" w:lineRule="auto"/>
      </w:pPr>
      <w:r>
        <w:rPr>
          <w:rFonts w:ascii="Arial" w:cs="Arial" w:eastAsia="Arial" w:hAnsi="Arial"/>
          <w:b/>
          <w:bCs/>
          <w:color w:val="1B2A4A"/>
          <w:sz w:val="36"/>
          <w:szCs w:val="36"/>
        </w:rPr>
        <w:t xml:space="preserve">6. Enterprise Contract Architecture</w:t>
      </w:r>
    </w:p>
    <w:p>
      <w:pPr>
        <w:spacing w:before="0" w:after="200" w:line="276" w:lineRule="auto"/>
      </w:pPr>
      <w:r>
        <w:rPr>
          <w:rFonts w:ascii="Arial" w:cs="Arial" w:eastAsia="Arial" w:hAnsi="Arial"/>
          <w:color w:val="2C2C2C"/>
          <w:sz w:val="22"/>
          <w:szCs w:val="22"/>
        </w:rPr>
        <w:t xml:space="preserve">Enterprise contracts are structured as annual agreements with a defined set of components, each priced independently. This modular structure allows the sales team to compose a contract that matches the customer's specific requirements rather than forcing a one-size-fits-all enterprise package. Table 8 defines all enterprise contract components.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Contract 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Pricing Approach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Base seat license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 named user per month; includes full platform access at the Enterprise tier feature level</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Volume pricing: $29/seat/month at 10 to 49 seats; $24/seat/month at 50 to 199 seats; $20/seat/month at 200+ seats; annually billed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catalog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67-connector catalog plus any custom connectors developed under the contract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base seat license; no connector pack add-ons at Enterprise tier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credit allocation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credit allocation consumed by hosted execution across all seats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Bulk allocation pricing: $4.50 per credit at 10,000 annual allocation; $4.00 at 50,000; $3.50 at 100,000+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Private cloud deployment (BYOI)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platform stack deployed in customer's VPC; ContextKeeper provides software license and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software license: 5x the equivalent SaaS annual cost for the contracted seat count; minimum $24,000/year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Compliance package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SOC 2 report access, GDPR data processing agreement, HIPAA BAA (when applicable), custom compliance report templates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Enterprise contracts above $5,000/month; add-on at $500/month for smaller contracts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SLA 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Uptime guarantee and support response time commitment; 99.9% uptime, 4-hour critical response, dedicated CSM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Included in all Enterprise contracts; P0 incident response upgrade to 1-hour available at $1,000/month add-on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 services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Governed agent deployment consulting, governance configuration review, custom invariant library development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Time and materials at $250/hour; engagement minimum of 10 hours; packaged engagements at $2,500 (starter), $7,500 (standard), $20,000 (enterprise rollout)</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6.1 Enterprise Tier Components</w:t>
      </w:r>
    </w:p>
    <w:p>
      <w:pPr>
        <w:spacing w:before="0" w:after="200" w:line="276" w:lineRule="auto"/>
      </w:pPr>
      <w:r>
        <w:rPr>
          <w:rFonts w:ascii="Arial" w:cs="Arial" w:eastAsia="Arial" w:hAnsi="Arial"/>
          <w:color w:val="2C2C2C"/>
          <w:sz w:val="22"/>
          <w:szCs w:val="22"/>
        </w:rPr>
        <w:t xml:space="preserve">The base seat license is the foundation of every enterprise contract. Volume pricing ensures that large enterprise customers receive proportionally lower per-seat costs, creating a strong incentive to consolidate AI governance tooling with ContextKeeper rather than mixing vendors: a 200-seat enterprise at $20/seat/month pays $48,000/year; a 50-seat enterprise at $24/seat/month pays $14,400/year. The volume break points (10 to 49 seats, 50 to 199 seats, 200+ seats) are set at natural organizational unit boundaries.</w:t>
      </w:r>
    </w:p>
    <w:p>
      <w:pPr>
        <w:spacing w:before="0" w:after="200" w:line="276" w:lineRule="auto"/>
      </w:pPr>
      <w:r>
        <w:rPr>
          <w:rFonts w:ascii="Arial" w:cs="Arial" w:eastAsia="Arial" w:hAnsi="Arial"/>
          <w:color w:val="2C2C2C"/>
          <w:sz w:val="22"/>
          <w:szCs w:val="22"/>
        </w:rPr>
        <w:t xml:space="preserve">The compliance package (SOC 2 report access, GDPR DPA, HIPAA BAA) is included in enterprise contracts above $5,000/month because the administrative overhead of producing compliance documentation is constant regardless of contract size. For smaller enterprise contracts below the threshold, the compliance package is available as a $500/month add-on. This prevents the compliance package from blocking small enterprise sales while ensuring that large customers receive compliance documentation as part of their standard contract.</w:t>
      </w:r>
    </w:p>
    <w:p>
      <w:pPr>
        <w:spacing w:before="0" w:after="200" w:line="276" w:lineRule="auto"/>
      </w:pPr>
      <w:r>
        <w:rPr>
          <w:rFonts w:ascii="Arial" w:cs="Arial" w:eastAsia="Arial" w:hAnsi="Arial"/>
          <w:color w:val="2C2C2C"/>
          <w:sz w:val="22"/>
          <w:szCs w:val="22"/>
        </w:rPr>
        <w:t xml:space="preserve">Professional services are priced time-and-materials rather than as a fixed contract component because the scope varies significantly: a single governance configuration review takes 10 hours; a full enterprise agent fleet deployment takes 80 to 120 hours. The packaged engagement options ($2,500 starter, $7,500 standard, $20,000 enterprise rollout) provide predictable pricing for the most common engagement types while allowing custom scoping for unusual requirements.</w:t>
      </w:r>
    </w:p>
    <w:p>
      <w:pPr>
        <w:pStyle w:val="Heading2"/>
        <w:spacing w:before="240" w:after="80" w:line="276" w:lineRule="auto"/>
      </w:pPr>
      <w:r>
        <w:rPr>
          <w:rFonts w:ascii="Arial" w:cs="Arial" w:eastAsia="Arial" w:hAnsi="Arial"/>
          <w:b/>
          <w:bCs/>
          <w:color w:val="2E75B6"/>
          <w:sz w:val="28"/>
          <w:szCs w:val="28"/>
        </w:rPr>
        <w:t xml:space="preserve">6.2 BYOI Licensing</w:t>
      </w:r>
    </w:p>
    <w:p>
      <w:pPr>
        <w:spacing w:before="0" w:after="200" w:line="276" w:lineRule="auto"/>
      </w:pPr>
      <w:r>
        <w:rPr>
          <w:rFonts w:ascii="Arial" w:cs="Arial" w:eastAsia="Arial" w:hAnsi="Arial"/>
          <w:color w:val="2C2C2C"/>
          <w:sz w:val="22"/>
          <w:szCs w:val="22"/>
        </w:rPr>
        <w:t xml:space="preserve">BYOI (Bring Your Own Infrastructure) licensing is priced as an annual software license at approximately 5 times the equivalent SaaS annual cost for the contracted seat count. The 5x multiplier reflects the operational responsibility transfer (the customer operates the infrastructure, eliminating the platform's hosting cost) and the premium the customer pays for the data residency guarantee. This multiplier is consistent with market benchmarks for B2B SaaS private cloud deployment: private cloud software license pricing in developer infrastructure typically ranges from 3x to 7x the SaaS equivalent annual cost, with 5x as a commonly cited mid-market median for security-sensitive deployments. This range reflects the operational responsibility transfer, elimination of hosting cost for the vendor, and the compliance premium. This figure represents an internal pricing hypothesis; direct comparables from peers who publish on-premises pricing are limited. Table 9 defines the BYOI tier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BYOI Tier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Deployment Model</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Annual License Fee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Starter (up to 25 seats)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Docker Compose on a single server; customer-operated; ContextKeeper provides installation support and documentation</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$14,400/year ($1,200/month equivalent); includes 1 year of updates and email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Professional (26 to 100 seats)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Docker Compose or Kubernetes Helm chart; customer-operated; ContextKeeper provides onboarding assistance and quarterly check-ins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$36,000/year ($3,000/month equivalent); includes 1 year of updates, priority support, and one professional services engagement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Enterprise (101 to 500 seats)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Kubernetes Helm chart with high availability configuration; ContextKeeper provides dedicated deployment engineering support</w:t>
            </w:r>
          </w:p>
        </w:tc>
        <w:tc>
          <w:tcPr>
            <w:tcW w:type="dxa" w:w="4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$96,000/year ($8,000/month equivalent); includes 1 year of updates, dedicated CSM, and two professional services engagements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Enterprise Plus (500+ seats)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architecture; ContextKeeper provides on-site or remote deployment engineering; custom SLA negotiated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Custom pricing; floor of $180,000/year; includes unlimited updates, dedicated engineering contact, and full professional services package</w:t>
            </w:r>
          </w:p>
        </w:tc>
      </w:tr>
    </w:tbl>
    <w:p>
      <w:pPr>
        <w:spacing w:before="120" w:after="0"/>
      </w:pPr>
    </w:p>
    <w:p>
      <w:pPr>
        <w:spacing w:before="0" w:after="200" w:line="276" w:lineRule="auto"/>
      </w:pPr>
      <w:r>
        <w:rPr>
          <w:rFonts w:ascii="Arial" w:cs="Arial" w:eastAsia="Arial" w:hAnsi="Arial"/>
          <w:color w:val="2C2C2C"/>
          <w:sz w:val="22"/>
          <w:szCs w:val="22"/>
        </w:rPr>
        <w:t xml:space="preserve">BYOI licensing requires a separate Professional Services engagement for initial deployment. BYOI customers do not use the SaaS platform's hosted infrastructure for any data processing. They operate a fully independent instance that communicates with their own database, their own file storage, and their own LLM backends. The only connection to ContextKeeper post-deployment is license validation (an annual heartbeat to confirm the license is current) and software updates (delivered as Docker image updates or Helm chart version bumps).</w:t>
      </w:r>
    </w:p>
    <w:p>
      <w:pPr>
        <w:pStyle w:val="Heading2"/>
        <w:spacing w:before="240" w:after="80" w:line="276" w:lineRule="auto"/>
      </w:pPr>
      <w:r>
        <w:rPr>
          <w:rFonts w:ascii="Arial" w:cs="Arial" w:eastAsia="Arial" w:hAnsi="Arial"/>
          <w:b/>
          <w:bCs/>
          <w:color w:val="2E75B6"/>
          <w:sz w:val="28"/>
          <w:szCs w:val="28"/>
        </w:rPr>
        <w:t xml:space="preserve">6.3 Professional Services</w:t>
      </w:r>
    </w:p>
    <w:p>
      <w:pPr>
        <w:spacing w:before="0" w:after="200" w:line="276" w:lineRule="auto"/>
      </w:pPr>
      <w:r>
        <w:rPr>
          <w:rFonts w:ascii="Arial" w:cs="Arial" w:eastAsia="Arial" w:hAnsi="Arial"/>
          <w:color w:val="2C2C2C"/>
          <w:sz w:val="22"/>
          <w:szCs w:val="22"/>
        </w:rPr>
        <w:t xml:space="preserve">Professional services engagements are structured around four standard packages. The Starter Engagement ($2,500; 10 hours) covers a single governance configuration review: the ContextKeeper team reviews the customer's agent definitions, invariant sets, and delivery contract configurations and produces a written assessment with recommendations. The Standard Engagement ($7,500; 30 hours) covers initial agent fleet deployment: up to 5 agent definitions configured, governance modes selected and validated, connector bindings verified, and test sandbox runs executed. The Enterprise Rollout ($20,000; 80 hours) covers a full enterprise deployment: governance configuration for all agent definitions, BYOI deployment (if applicable), compliance package documentation, team training, and a 30-day post-deployment support period. Custom engagements beyond 80 hours are scoped and priced time-and-materials at $250/hour.</w:t>
      </w:r>
    </w:p>
    <w:p>
      <w:pPr>
        <w:spacing w:before="0" w:after="200" w:line="276" w:lineRule="auto"/>
      </w:pPr>
      <w:r>
        <w:rPr>
          <w:rFonts w:ascii="Arial" w:cs="Arial" w:eastAsia="Arial" w:hAnsi="Arial"/>
          <w:color w:val="2C2C2C"/>
          <w:sz w:val="22"/>
          <w:szCs w:val="22"/>
        </w:rPr>
        <w:t xml:space="preserve">Professional services serve two business purposes beyond direct revenue. First, they create deeply embedded customer relationships that dramatically reduce churn: a customer whose agent fleet was deployed by ContextKeeper staff is unlikely to switch platforms. Second, they generate case studies and reference customers: enterprise customers who complete a professional services engagement and achieve measurable governance outcomes are natural candidates for case studies that support the sales motion for subsequent enterprise prospects.</w:t>
      </w:r>
    </w:p>
    <w:p>
      <w:pPr>
        <w:pStyle w:val="Heading1"/>
        <w:pageBreakBefore/>
        <w:spacing w:before="360" w:after="120" w:line="276" w:lineRule="auto"/>
      </w:pPr>
      <w:r>
        <w:rPr>
          <w:rFonts w:ascii="Arial" w:cs="Arial" w:eastAsia="Arial" w:hAnsi="Arial"/>
          <w:b/>
          <w:bCs/>
          <w:color w:val="1B2A4A"/>
          <w:sz w:val="36"/>
          <w:szCs w:val="36"/>
        </w:rPr>
        <w:t xml:space="preserve">7. White-Label SDK Licensing</w:t>
      </w:r>
    </w:p>
    <w:p>
      <w:pPr>
        <w:spacing w:before="0" w:after="200" w:line="276" w:lineRule="auto"/>
      </w:pPr>
      <w:r>
        <w:rPr>
          <w:rFonts w:ascii="Arial" w:cs="Arial" w:eastAsia="Arial" w:hAnsi="Arial"/>
          <w:color w:val="2C2C2C"/>
          <w:sz w:val="22"/>
          <w:szCs w:val="22"/>
        </w:rPr>
        <w:t xml:space="preserve">The white-label SDK packages the DEL-v2 governance layer as an embeddable component that other AI tooling companies integrate into their products. The SDK is licensed to AI coding assistants, agent frameworks, MLOps platforms, and cloud providers who want to offer governance as a native feature without building it themselves. Table 10 defines the four SDK license tiers.</w:t>
      </w:r>
    </w:p>
    <w:p>
      <w:pPr>
        <w:spacing w:before="0" w:after="200" w:line="276" w:lineRule="auto"/>
      </w:pPr>
      <w:r>
        <w:rPr>
          <w:rFonts w:ascii="Arial" w:cs="Arial" w:eastAsia="Arial" w:hAnsi="Arial"/>
          <w:color w:val="2C2C2C"/>
          <w:sz w:val="22"/>
          <w:szCs w:val="22"/>
        </w:rPr>
        <w:t xml:space="preserve">Per-active-user pricing in the $0.30 to $0.50 range is consistent with market benchmarks for B2B developer infrastructure SDKs. Comparable structures include Auth0 by Okta's per-MAU pricing (which currently starts at approximately $0.07/MAU on the B2C Essentials tier, up from earlier pricing due to increases implemented in 2023-2024), Stripe's per-transaction model (which translates to effective per-user rates in the $0.20 to $0.80 range for typical developer tool use cases), and Twilio's per-active-user Conversations pricing. The SDK licensing model transitions from a flat fee (Startup) to per-active-user (Growth and Scale) to annual flat fee (OEM) as the licensee's user base and strategic importance grow.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License Tier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Startup SDK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$500/month flat fee; up to 1,000 end users governed by the SDK; includes email support and quarterly SDK updates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Early-stage AI tooling companies evaluating governance integration; validates market fit before committing to per-seat pricing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Growth SDK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$0.50 per active governed user per month; minimum $2,000/month; active user = any user who triggered at least one governed operation in the billing period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Growing AI platforms with 1,000 to 10,000 users; scales proportionally with the licensee's revenue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 SDK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$0.30 per active governed user per month; minimum $10,000/month; includes dedicated integration support and custom governance template development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Established AI tooling companies with 10,000+ users; volume pricing reflects the strategic partnership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OEM Integration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flat fee negotiated based on total addressable user base; typically $50,000 to $250,000/year; includes white-label branding rights and co-marketing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Large AI platform companies (IDE vendors, cloud providers) embedding governance as a native feature; pricing reflects the full user base rather than active users</w:t>
            </w:r>
          </w:p>
        </w:tc>
      </w:tr>
    </w:tbl>
    <w:p>
      <w:pPr>
        <w:spacing w:before="120" w:after="0"/>
      </w:pPr>
    </w:p>
    <w:p>
      <w:pPr>
        <w:spacing w:before="0" w:after="200" w:line="276" w:lineRule="auto"/>
      </w:pPr>
      <w:r>
        <w:rPr>
          <w:rFonts w:ascii="Arial" w:cs="Arial" w:eastAsia="Arial" w:hAnsi="Arial"/>
          <w:color w:val="2C2C2C"/>
          <w:sz w:val="22"/>
          <w:szCs w:val="22"/>
        </w:rPr>
        <w:t xml:space="preserve">The 'active governed user' definition for Growth and Scale tiers is precise: any user who triggered at least one governed operation (state machine transition, gate evaluation, or invariant check) in the billing period. Users who are provisioned but inactive do not consume licensed seats. This definition protects the licensee from paying for their full registered user base during low-activity periods while ensuring the platform captures revenue from genuinely active governance usage.</w:t>
      </w:r>
    </w:p>
    <w:p>
      <w:pPr>
        <w:spacing w:before="0" w:after="200" w:line="276" w:lineRule="auto"/>
      </w:pPr>
      <w:r>
        <w:rPr>
          <w:rFonts w:ascii="Arial" w:cs="Arial" w:eastAsia="Arial" w:hAnsi="Arial"/>
          <w:color w:val="2C2C2C"/>
          <w:sz w:val="22"/>
          <w:szCs w:val="22"/>
        </w:rPr>
        <w:t xml:space="preserve">The SDK does not include connectors, the marketplace, or the dashboard. These remain platform-exclusive features accessible only through a ContextKeeper account. The SDK provides: the DEL-v2 state machine runtime, gate evaluation, invariant checking, breach detection and handling, audit trail generation, and the handoff bundle generation mechanism. Licensees may build their own connector integrations and UI on top of the SDK; the governance protocol itself is what is licensed.</w:t>
      </w:r>
    </w:p>
    <w:p>
      <w:pPr>
        <w:pStyle w:val="Heading1"/>
        <w:pageBreakBefore/>
        <w:spacing w:before="360" w:after="120" w:line="276" w:lineRule="auto"/>
      </w:pPr>
      <w:r>
        <w:rPr>
          <w:rFonts w:ascii="Arial" w:cs="Arial" w:eastAsia="Arial" w:hAnsi="Arial"/>
          <w:b/>
          <w:bCs/>
          <w:color w:val="1B2A4A"/>
          <w:sz w:val="36"/>
          <w:szCs w:val="36"/>
        </w:rPr>
        <w:t xml:space="preserve">8. Certification Program Pricing</w:t>
      </w:r>
    </w:p>
    <w:p>
      <w:pPr>
        <w:spacing w:before="0" w:after="200" w:line="276" w:lineRule="auto"/>
      </w:pPr>
      <w:r>
        <w:rPr>
          <w:rFonts w:ascii="Arial" w:cs="Arial" w:eastAsia="Arial" w:hAnsi="Arial"/>
          <w:color w:val="2C2C2C"/>
          <w:sz w:val="22"/>
          <w:szCs w:val="22"/>
        </w:rPr>
        <w:t xml:space="preserve">Table 11 defines the three certification levels with their exam format, pricing, and recertification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Certification Level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Exam Format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Price</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Recertification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Associate (ContextKeeper Certified Associate)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Online proctored; 60 questions; 90 minutes; covers DEL-v2 fundamentals, connector setup, and basic agent configuration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$149 per attempt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$79 every 2 years; or automatic renewal with 20 hours of continuing education credits earned on the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 (ContextKeeper Certified 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Online proctored; 90 questions + one practical scenario; 120 minutes; covers governance configuration, compliance deployment, and agent design patterns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$249 per attempt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 every 2 years; prerequisite: Associate certification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Architect (ContextKeeper Certified Enterprise Architect)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Live practical assessment with a ContextKeeper examiner; 4-hour session designing a governed agent fleet for a provided scenario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$499 per attempt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$199 every 3 years; prerequisite: Professional certification; limited availability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Certification Bundle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Up to 5 Associate exam vouchers; redeemable within 12 months; suitable for team onboarding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$599 (vs $745 individually)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Individual renewal applies to each certified team member</w:t>
            </w:r>
          </w:p>
        </w:tc>
      </w:tr>
    </w:tbl>
    <w:p>
      <w:pPr>
        <w:spacing w:before="120" w:after="0"/>
      </w:pPr>
    </w:p>
    <w:p>
      <w:pPr>
        <w:spacing w:before="0" w:after="200" w:line="276" w:lineRule="auto"/>
      </w:pPr>
      <w:r>
        <w:rPr>
          <w:rFonts w:ascii="Arial" w:cs="Arial" w:eastAsia="Arial" w:hAnsi="Arial"/>
          <w:color w:val="2C2C2C"/>
          <w:sz w:val="22"/>
          <w:szCs w:val="22"/>
        </w:rPr>
        <w:t xml:space="preserve">The certification program revenue model has three components: exam fees (one-time per attempt), recertification fees (recurring every 2 to 3 years), and team bundles (volume discount for organizational onboarding). The Associate level is the volume driver: it is the entry-level credential with the widest audience and the lowest price barrier. The Professional level is the mid-market credential for practitioners who work with production agent deployments. The Enterprise Architect level is the premium credential with limited availability that creates scarcity value and establishes a small but highly influential cohort of recognized platform experts.</w:t>
      </w:r>
    </w:p>
    <w:p>
      <w:pPr>
        <w:spacing w:before="0" w:after="200" w:line="276" w:lineRule="auto"/>
      </w:pPr>
      <w:r>
        <w:rPr>
          <w:rFonts w:ascii="Arial" w:cs="Arial" w:eastAsia="Arial" w:hAnsi="Arial"/>
          <w:color w:val="2C2C2C"/>
          <w:sz w:val="22"/>
          <w:szCs w:val="22"/>
        </w:rPr>
        <w:t xml:space="preserve">Exam infrastructure uses an established online proctoring provider (ProctorU, Honorlock, or equivalent) to handle the proctored exam variant. The unproctored variant uses a browser-lockdown approach with a randomized question bank that changes on each attempt, making sharing answers between attempts ineffective. Question banks are maintained as platform content by the ContextKeeper team; initial bank size of 300 questions per level provides sufficient randomization for the first 12 months before requiring refreshes.</w:t>
      </w:r>
    </w:p>
    <w:p>
      <w:pPr>
        <w:spacing w:before="0" w:after="200" w:line="276" w:lineRule="auto"/>
      </w:pPr>
      <w:r>
        <w:rPr>
          <w:rFonts w:ascii="Arial" w:cs="Arial" w:eastAsia="Arial" w:hAnsi="Arial"/>
          <w:color w:val="2C2C2C"/>
          <w:sz w:val="22"/>
          <w:szCs w:val="22"/>
        </w:rPr>
        <w:t xml:space="preserve">The certification directory on contextkeeper.org/certified lists all currently certified practitioners with their certification level, certification date, and a public profile link. Enterprise customers searching for certified contractors use this directory; it is therefore a sales channel as well as a credential record. Certified practitioners opt into the directory by default; they can remove their listing at any time.</w:t>
      </w:r>
    </w:p>
    <w:p>
      <w:pPr>
        <w:pStyle w:val="Heading1"/>
        <w:pageBreakBefore/>
        <w:spacing w:before="360" w:after="120" w:line="276" w:lineRule="auto"/>
      </w:pPr>
      <w:r>
        <w:rPr>
          <w:rFonts w:ascii="Arial" w:cs="Arial" w:eastAsia="Arial" w:hAnsi="Arial"/>
          <w:b/>
          <w:bCs/>
          <w:color w:val="1B2A4A"/>
          <w:sz w:val="36"/>
          <w:szCs w:val="36"/>
        </w:rPr>
        <w:t xml:space="preserve">9. Upgrade Motions and Expansion Revenue</w:t>
      </w:r>
    </w:p>
    <w:p>
      <w:pPr>
        <w:spacing w:before="0" w:after="200" w:line="276" w:lineRule="auto"/>
      </w:pPr>
      <w:r>
        <w:rPr>
          <w:rFonts w:ascii="Arial" w:cs="Arial" w:eastAsia="Arial" w:hAnsi="Arial"/>
          <w:color w:val="2C2C2C"/>
          <w:sz w:val="22"/>
          <w:szCs w:val="22"/>
        </w:rPr>
        <w:t xml:space="preserve">Upgrade motions are the in-product experiences that guide users toward higher tiers when they encounter their current tier's limits. Table 12 defines the seven primary upgrade motions with their triggers and platform responses.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Upgrade Trigger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From / To</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Platform Response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limit reached (Free)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to Pro</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In-app modal with session count, cost comparison, and one-click upgrade; offer 14-day Pro trial before requiring payment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limit reached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to Pro; Pro to Team; or prompt connector pack purchase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In-app notification identifying which connector they attempted to add; show the specific pack or tier that unlocks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creation attempted on Free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Free to Pro</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Explain agent value with a link to a marketplace example; offer 14-day Pro trial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member invited on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to Team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Explain shared state, team dashboard, and per-seat value; show cost calculation for their specific team size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 log export attempted on Team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Team to Enterprise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Explain export formats and compliance use cases; prompt Enterprise contact form rather than self-serve upgrade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Agent run quota approached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to Team; or prompt credit purchase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Usage notification at 80% of monthly quota; show cost comparison between tier upgrade and credit top-up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 owned on Pro approaching Team value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 + packs to Team</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When a user's pack add-on total exceeds $14/month (half of Team pricing per seat), proactively show that Team includes all packs plus team features for marginal additional cost</w:t>
            </w:r>
          </w:p>
        </w:tc>
      </w:tr>
    </w:tbl>
    <w:p>
      <w:pPr>
        <w:spacing w:before="120" w:after="0"/>
      </w:pPr>
    </w:p>
    <w:p>
      <w:pPr>
        <w:spacing w:before="0" w:after="200" w:line="276" w:lineRule="auto"/>
      </w:pPr>
      <w:r>
        <w:rPr>
          <w:rFonts w:ascii="Arial" w:cs="Arial" w:eastAsia="Arial" w:hAnsi="Arial"/>
          <w:color w:val="2C2C2C"/>
          <w:sz w:val="22"/>
          <w:szCs w:val="22"/>
        </w:rPr>
        <w:t xml:space="preserve">All upgrade motions use the same design principle: present the upgrade path at the moment of maximum motivation (when the user is actively trying to do something they cannot do on their current tier) rather than through proactive upsell messaging. Proactive upsell creates friction and annoyance; contextual upgrade presentation at the moment of need creates a helpful experience that converts without the user feeling sold to.</w:t>
      </w:r>
    </w:p>
    <w:p>
      <w:pPr>
        <w:spacing w:before="0" w:after="200" w:line="276" w:lineRule="auto"/>
      </w:pPr>
      <w:r>
        <w:rPr>
          <w:rFonts w:ascii="Arial" w:cs="Arial" w:eastAsia="Arial" w:hAnsi="Arial"/>
          <w:color w:val="2C2C2C"/>
          <w:sz w:val="22"/>
          <w:szCs w:val="22"/>
        </w:rPr>
        <w:t xml:space="preserve">The 14-day trial offer is the primary conversion mechanism for Free to Pro. The trial is a full Pro experience with all features unlocked; no credit card is required to start the trial. At trial end, the user is asked to enter payment details to continue; if they decline, their account reverts to Free with all trial-created data preserved (they lose access to Pro features but do not lose their work). Trial conversion rates for 14-day opt-in developer SaaS trials typically range from 15 to 25% at the median (First Page Sage cross-company benchmarks; SaaS Growth Report from ChartMogul, 2025). Well-optimized products with strong activation flows can reach 30% or higher, but developer tools tend to convert below the general SaaS median. These ranges should be treated as directional benchmarks rather than verified targets. The ContextKeeper trial is designed to be sticky because users create agent definitions and connector configurations during the trial that have immediate practical value and would be lost on reversion.</w:t>
      </w:r>
    </w:p>
    <w:p>
      <w:pPr>
        <w:spacing w:before="0" w:after="200" w:line="276" w:lineRule="auto"/>
      </w:pPr>
      <w:r>
        <w:rPr>
          <w:rFonts w:ascii="Arial" w:cs="Arial" w:eastAsia="Arial" w:hAnsi="Arial"/>
          <w:color w:val="2C2C2C"/>
          <w:sz w:val="22"/>
          <w:szCs w:val="22"/>
        </w:rPr>
        <w:t xml:space="preserve">Net Revenue Retention (NRR) is the metric that expansion revenue most directly affects. NRR above 100% means existing customers are spending more over time without any new customer acquisition. Industry benchmarks for developer tools SaaS (OpenView 2024 SaaS Benchmarks): median NRR of 108% for bottom-up developer tools, 118%+ for best-in-class, with enterprise-weighted portfolios reaching 125 to 135%. The combination of per-seat expansion (Team customers growing their teams), connector pack add-ons, credit purchases, and overage billing creates multiple expansion vectors that compound. A Team customer who starts at 5 seats, adds 3 seats over 12 months, purchases a connector pack, and buys two credit bundles has an NRR contribution of approximately 145%: each dollar of their original subscription value generates $1.45 in the next year.</w:t>
      </w:r>
    </w:p>
    <w:p>
      <w:pPr>
        <w:pStyle w:val="Heading1"/>
        <w:pageBreakBefore/>
        <w:spacing w:before="360" w:after="120" w:line="276" w:lineRule="auto"/>
      </w:pPr>
      <w:r>
        <w:rPr>
          <w:rFonts w:ascii="Arial" w:cs="Arial" w:eastAsia="Arial" w:hAnsi="Arial"/>
          <w:b/>
          <w:bCs/>
          <w:color w:val="1B2A4A"/>
          <w:sz w:val="36"/>
          <w:szCs w:val="36"/>
        </w:rPr>
        <w:t xml:space="preserve">10. Revenue Composition and Projections</w:t>
      </w:r>
    </w:p>
    <w:p>
      <w:pPr>
        <w:spacing w:before="0" w:after="200" w:line="276" w:lineRule="auto"/>
      </w:pPr>
      <w:r>
        <w:rPr>
          <w:rFonts w:ascii="Arial" w:cs="Arial" w:eastAsia="Arial" w:hAnsi="Arial"/>
          <w:color w:val="2C2C2C"/>
          <w:sz w:val="22"/>
          <w:szCs w:val="22"/>
        </w:rPr>
        <w:t xml:space="preserve">Table 13 maps each revenue stream against its activation phase and expected contribution at each phase of platform development.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 A/B (Now)</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 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 D</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Full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SaaS Subscriptions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Growing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recurring 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Subscription Uplift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Activatable now (Stripe config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 to 15% MRR boost from annual conversions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 Add-ons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Activatable Phase B completion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Incremental per subscriber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Credit Sales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(BYOK-routed)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(hosted)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Compounds with agent adoption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Marketplace Commission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Compounds with catalog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B2B2B; highest per-unit margin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Enterprise Contracts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Basic (no agents)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With agent preview</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 fleet management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ACV; anchor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Licensing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Highest single-contract value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Professional Services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(consulting)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Scales with enterprise adoption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Certification Program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Recurring from exam fees and renewals</w:t>
            </w:r>
          </w:p>
        </w:tc>
      </w:tr>
    </w:tbl>
    <w:p>
      <w:pPr>
        <w:spacing w:before="120" w:after="0"/>
      </w:pPr>
    </w:p>
    <w:p>
      <w:pPr>
        <w:spacing w:before="0" w:after="200" w:line="276" w:lineRule="auto"/>
      </w:pPr>
      <w:r>
        <w:rPr>
          <w:rFonts w:ascii="Arial" w:cs="Arial" w:eastAsia="Arial" w:hAnsi="Arial"/>
          <w:color w:val="2C2C2C"/>
          <w:sz w:val="22"/>
          <w:szCs w:val="22"/>
        </w:rPr>
        <w:t xml:space="preserve">The subscription base provides the floor MRR from which all other streams expand. At Phase B completion, the platform is a complete commercial SaaS product with all subscription tiers available, Stripe payments live, and annual pricing and connector packs activatable immediately. This means the revenue foundation is operational before any of the higher-value Phase C and Phase D streams come online.</w:t>
      </w:r>
    </w:p>
    <w:p>
      <w:pPr>
        <w:spacing w:before="0" w:after="200" w:line="276" w:lineRule="auto"/>
      </w:pPr>
      <w:r>
        <w:rPr>
          <w:rFonts w:ascii="Arial" w:cs="Arial" w:eastAsia="Arial" w:hAnsi="Arial"/>
          <w:color w:val="2C2C2C"/>
          <w:sz w:val="22"/>
          <w:szCs w:val="22"/>
        </w:rPr>
        <w:t xml:space="preserve">Execution credit revenue activates in Phase C when the agent execution engine is live. Initial credit revenue comes from Pro and Team users running agents in BYOK mode with occasional hosted execution; it scales significantly in Phase D when hosted execution is the primary offering and enterprise customers commit to annual credit allocations.</w:t>
      </w:r>
    </w:p>
    <w:p>
      <w:pPr>
        <w:spacing w:before="0" w:after="200" w:line="276" w:lineRule="auto"/>
      </w:pPr>
      <w:r>
        <w:rPr>
          <w:rFonts w:ascii="Arial" w:cs="Arial" w:eastAsia="Arial" w:hAnsi="Arial"/>
          <w:color w:val="2C2C2C"/>
          <w:sz w:val="22"/>
          <w:szCs w:val="22"/>
        </w:rPr>
        <w:t xml:space="preserve">The white-label SDK and BYOI licensing are the highest per-unit-revenue streams but require the most mature platform state to sell credibly. An enterprise evaluating a white-label SDK license needs evidence of production deployment at scale. A regulated industry evaluating BYOI licensing needs SOC 2 documentation and a deployment track record. Both requirements are satisfied by Phase D, making these streams appropriately sequenced for that phase.</w:t>
      </w:r>
    </w:p>
    <w:p>
      <w:pPr>
        <w:spacing w:before="0" w:after="200" w:line="276" w:lineRule="auto"/>
      </w:pPr>
      <w:r>
        <w:rPr>
          <w:rFonts w:ascii="Arial" w:cs="Arial" w:eastAsia="Arial" w:hAnsi="Arial"/>
          <w:color w:val="2C2C2C"/>
          <w:sz w:val="22"/>
          <w:szCs w:val="22"/>
        </w:rPr>
        <w:t xml:space="preserve">Revenue concentration risk: at Phase B completion, revenue is concentrated in subscriptions from individual developers and small teams. This is appropriate for the current stage but creates vulnerability to developer tool spending cuts in economic downturns. Phase C and Phase D diversification into enterprise contracts (more resilient to downturns) and consumption revenue (tied to agent usage which tends to be mission-critical once embedded) reduces this concentration risk materially.</w:t>
      </w:r>
    </w:p>
    <w:p>
      <w:pPr>
        <w:pStyle w:val="Heading2"/>
        <w:spacing w:before="240" w:after="80" w:line="276" w:lineRule="auto"/>
      </w:pPr>
      <w:r>
        <w:rPr>
          <w:rFonts w:ascii="Arial" w:cs="Arial" w:eastAsia="Arial" w:hAnsi="Arial"/>
          <w:b/>
          <w:bCs/>
          <w:color w:val="2E75B6"/>
          <w:sz w:val="28"/>
          <w:szCs w:val="28"/>
        </w:rPr>
        <w:t xml:space="preserve">10.1 Education Pricing</w:t>
      </w:r>
    </w:p>
    <w:p>
      <w:pPr>
        <w:spacing w:before="0" w:after="200" w:line="276" w:lineRule="auto"/>
      </w:pPr>
      <w:r>
        <w:rPr>
          <w:rFonts w:ascii="Arial" w:cs="Arial" w:eastAsia="Arial" w:hAnsi="Arial"/>
          <w:color w:val="2C2C2C"/>
          <w:sz w:val="22"/>
          <w:szCs w:val="22"/>
        </w:rPr>
        <w:t xml:space="preserve">Education pricing is the structured discount and access program that makes ContextKeeper available to academic institutions, student developers, and nonprofit research organizations at terms that build long-term platform adoption without cannibalizing commercial revenue. The program is designed around a single economic insight: developers who learn governance workflows on ContextKeeper during their academic training become practitioners who evaluate ContextKeeper for production deployment when they enter the workforce. The education pricing program is a pipeline investment with a three-to-five year payback horizon, not a near-term revenue optimization.</w:t>
      </w:r>
    </w:p>
    <w:p>
      <w:pPr>
        <w:spacing w:before="0" w:after="200" w:line="276" w:lineRule="auto"/>
      </w:pPr>
      <w:r>
        <w:rPr>
          <w:rFonts w:ascii="Arial" w:cs="Arial" w:eastAsia="Arial" w:hAnsi="Arial"/>
          <w:color w:val="2C2C2C"/>
          <w:sz w:val="22"/>
          <w:szCs w:val="22"/>
        </w:rPr>
        <w:t xml:space="preserve">Academic Institution License: universities and colleges that teach AI engineering, software development, or data science courses receive department-level access for enrolled students and faculty. The license is structured as an annual flat fee of $499 per department (covering up to 200 active users per calendar year) with a 30-day free evaluation period before payment. The license grants Pro tier feature access to all covered users. Institutions are verified through their .edu email domain and a submitted course enrollment document. The $499 annual fee covers administration and hosting overhead but does not reflect commercial pricing; it is priced at cost-recovery levels deliberately, as the commercial value is in practitioner pipeline development, not direct revenue.</w:t>
      </w:r>
    </w:p>
    <w:p>
      <w:pPr>
        <w:spacing w:before="0" w:after="200" w:line="276" w:lineRule="auto"/>
      </w:pPr>
      <w:r>
        <w:rPr>
          <w:rFonts w:ascii="Arial" w:cs="Arial" w:eastAsia="Arial" w:hAnsi="Arial"/>
          <w:color w:val="2C2C2C"/>
          <w:sz w:val="22"/>
          <w:szCs w:val="22"/>
        </w:rPr>
        <w:t xml:space="preserve">Student Developer Access: individual students at accredited institutions receive a free Pro tier account for the duration of their enrollment, verified annually via .edu email confirmation. Students are limited to 3 active projects and personal use only; team features and API key generation are not included in the student access tier. Upon graduation or enrollment end, the account converts to the standard Free tier with a 60-day grace period during which the student can export all data and either upgrade to a paid plan or migrate their work.</w:t>
      </w:r>
    </w:p>
    <w:p>
      <w:pPr>
        <w:spacing w:before="0" w:after="200" w:line="276" w:lineRule="auto"/>
      </w:pPr>
      <w:r>
        <w:rPr>
          <w:rFonts w:ascii="Arial" w:cs="Arial" w:eastAsia="Arial" w:hAnsi="Arial"/>
          <w:color w:val="2C2C2C"/>
          <w:sz w:val="22"/>
          <w:szCs w:val="22"/>
        </w:rPr>
        <w:t xml:space="preserve">Nonprofit Research License: nonprofit research organizations working on AI safety, AI governance, or AI policy topics receive Pro tier access at 80% discount ($2.40/month versus $12/month) with annual payment. Qualifying organizations must be registered nonprofit entities with a documented AI safety, governance, or policy research mission. The discounted rate applies to up to 10 seats. Teams exceeding 10 researchers qualify for the standard Team tier at a 40% nonprofit discount. The nonprofit discount is non-stackable with other promotional pricing and requires annual reconfirmation of nonprofit status.</w:t>
      </w:r>
    </w:p>
    <w:p>
      <w:pPr>
        <w:pBdr>
          <w:left w:val="single" w:color="2E75B6" w:sz="6" w:space="8"/>
        </w:pBdr>
        <w:spacing w:before="120" w:after="120"/>
        <w:ind w:left="720"/>
      </w:pPr>
      <w:r>
        <w:rPr>
          <w:rFonts w:ascii="Arial" w:cs="Arial" w:eastAsia="Arial" w:hAnsi="Arial"/>
          <w:i/>
          <w:iCs/>
          <w:color w:val="555555"/>
          <w:sz w:val="22"/>
          <w:szCs w:val="22"/>
        </w:rPr>
        <w:t xml:space="preserve">The education program is deliberately not self-service. Academic institution licenses and nonprofit research licenses require a short application process that verifies eligibility and establishes a point of contact. This friction is intentional: it prevents commercial teams from using educational pricing, creates a named relationship with each institution that enables follow-up when students graduate, and generates a directory of academic adopters that serves as social proof for enterprise procurement conversations.</w:t>
      </w:r>
    </w:p>
    <w:p>
      <w:pPr>
        <w:pStyle w:val="Heading2"/>
        <w:spacing w:before="240" w:after="80" w:line="276" w:lineRule="auto"/>
      </w:pPr>
      <w:r>
        <w:rPr>
          <w:rFonts w:ascii="Arial" w:cs="Arial" w:eastAsia="Arial" w:hAnsi="Arial"/>
          <w:b/>
          <w:bCs/>
          <w:color w:val="2E75B6"/>
          <w:sz w:val="28"/>
          <w:szCs w:val="28"/>
        </w:rPr>
        <w:t xml:space="preserve">10.2 Audit Service Pricing</w:t>
      </w:r>
    </w:p>
    <w:p>
      <w:pPr>
        <w:spacing w:before="0" w:after="200" w:line="276" w:lineRule="auto"/>
      </w:pPr>
      <w:r>
        <w:rPr>
          <w:rFonts w:ascii="Arial" w:cs="Arial" w:eastAsia="Arial" w:hAnsi="Arial"/>
          <w:color w:val="2C2C2C"/>
          <w:sz w:val="22"/>
          <w:szCs w:val="22"/>
        </w:rPr>
        <w:t xml:space="preserve">The audit service is a professional services offering in which a ContextKeeper-certified engineer conducts a structured review of a customer's agent deployment, governance configuration, and invariant set, and delivers a written assessment of governance gaps, misconfiguration risks, and optimization opportunities. It addresses the enterprise procurement pattern in which a compliance officer or security team requires an independent review of governance tooling before approving a production deployment. The audit service provides that review using practitioners who know the platform's architecture at the depth required to identify genuine configuration deficiencies rather than producing a superficial checklist.</w:t>
      </w:r>
    </w:p>
    <w:p>
      <w:pPr>
        <w:spacing w:before="0" w:after="200" w:line="276" w:lineRule="auto"/>
      </w:pPr>
      <w:r>
        <w:rPr>
          <w:rFonts w:ascii="Arial" w:cs="Arial" w:eastAsia="Arial" w:hAnsi="Arial"/>
          <w:color w:val="2C2C2C"/>
          <w:sz w:val="22"/>
          <w:szCs w:val="22"/>
        </w:rPr>
        <w:t xml:space="preserve">Three audit service tiers are defined. The Governance Configuration Review ($2,500 fixed fee) is a single-day remote engagement covering: review of all active agent definitions for governance mode appropriateness, review of invariant sets for completeness relative to the agent's stated purpose, verification that gate conditions are correctly specified and testable, and a written report of findings with specific remediation recommendations for each identified gap. The report does not include implementation work; it identifies what to fix and provides the configuration changes required. The Implementation Audit ($6,500 fixed fee, two-day remote engagement) includes everything in the Governance Configuration Review plus: review of the BYOI deployment configuration against the security architecture defined in WP-009, verification of the cryptographic audit trail integrity for audited-mode deployments, and a post-remediation verification call within 30 days of report delivery to confirm that identified gaps have been addressed. The Enterprise Readiness Assessment ($15,000 fixed fee, three-day engagement with on-site option) includes everything in the Implementation Audit plus: a formal readiness statement suitable for inclusion in enterprise vendor due diligence packages, a regulatory compliance gap analysis for the customer's specific industry requirements (healthcare, financial services, or legal per the programs defined in WP-007, Section 10.6), and a 90-day post-assessment support period for implementation guidance.</w:t>
      </w:r>
    </w:p>
    <w:p>
      <w:pPr>
        <w:spacing w:before="0" w:after="200" w:line="276" w:lineRule="auto"/>
      </w:pPr>
      <w:r>
        <w:rPr>
          <w:rFonts w:ascii="Arial" w:cs="Arial" w:eastAsia="Arial" w:hAnsi="Arial"/>
          <w:color w:val="2C2C2C"/>
          <w:sz w:val="22"/>
          <w:szCs w:val="22"/>
        </w:rPr>
        <w:t xml:space="preserve">Audit services are delivered by ContextKeeper Enterprise Architect certified practitioners (WP-008, Section 8) to ensure a minimum competency standard. The initial audit service engagements will be delivered by the platform operator directly; as the Implementation Partner Program (WP-007, Section 10.3) scales, qualified implementation partners will be authorized to deliver audit services under the ContextKeeper brand, subject to quality review of their first two engagements. This partner-delivered model allows the audit service to scale beyond the founder's available time without creating a hired consulting workforce.</w:t>
      </w:r>
    </w:p>
    <w:p>
      <w:pPr>
        <w:pBdr>
          <w:left w:val="single" w:color="2E75B6" w:sz="6" w:space="8"/>
        </w:pBdr>
        <w:spacing w:before="120" w:after="120"/>
        <w:ind w:left="720"/>
      </w:pPr>
      <w:r>
        <w:rPr>
          <w:rFonts w:ascii="Arial" w:cs="Arial" w:eastAsia="Arial" w:hAnsi="Arial"/>
          <w:i/>
          <w:iCs/>
          <w:color w:val="555555"/>
          <w:sz w:val="22"/>
          <w:szCs w:val="22"/>
        </w:rPr>
        <w:t xml:space="preserve">Audit service revenue is high-margin and non-recurring per engagement, but it generates two downstream effects that justify its prioritization: it creates documented evidence of governance quality for the platform's own marketing (each audit report, with customer permission, produces a case study), and it accelerates the sales cycle for enterprise subscription contracts by resolving procurement objections within the engagement rather than through an extended evaluation period.</w:t>
      </w:r>
    </w:p>
    <w:p>
      <w:pPr>
        <w:pStyle w:val="Heading2"/>
        <w:spacing w:before="240" w:after="80" w:line="276" w:lineRule="auto"/>
      </w:pPr>
      <w:r>
        <w:rPr>
          <w:rFonts w:ascii="Arial" w:cs="Arial" w:eastAsia="Arial" w:hAnsi="Arial"/>
          <w:b/>
          <w:bCs/>
          <w:color w:val="2E75B6"/>
          <w:sz w:val="28"/>
          <w:szCs w:val="28"/>
        </w:rPr>
        <w:t xml:space="preserve">10.3 Data Export Pricing</w:t>
      </w:r>
    </w:p>
    <w:p>
      <w:pPr>
        <w:spacing w:before="0" w:after="200" w:line="276" w:lineRule="auto"/>
      </w:pPr>
      <w:r>
        <w:rPr>
          <w:rFonts w:ascii="Arial" w:cs="Arial" w:eastAsia="Arial" w:hAnsi="Arial"/>
          <w:color w:val="2C2C2C"/>
          <w:sz w:val="22"/>
          <w:szCs w:val="22"/>
        </w:rPr>
        <w:t xml:space="preserve">Data export pricing defines the commercial terms under which customers extract platform data in bulk for use outside the platform. This is distinct from the standard dashboard export (included in all tiers) and the compliance export formats defined in WP-007, Section 10.4 (Enterprise tier feature). Data export pricing covers three specific export scenarios that go beyond what is included in tier-based access: full historical data export for account migration, programmatic bulk export via the API, and scheduled automated export for data warehouse integration.</w:t>
      </w:r>
    </w:p>
    <w:p>
      <w:pPr>
        <w:spacing w:before="0" w:after="200" w:line="276" w:lineRule="auto"/>
      </w:pPr>
      <w:r>
        <w:rPr>
          <w:rFonts w:ascii="Arial" w:cs="Arial" w:eastAsia="Arial" w:hAnsi="Arial"/>
          <w:color w:val="2C2C2C"/>
          <w:sz w:val="22"/>
          <w:szCs w:val="22"/>
        </w:rPr>
        <w:t xml:space="preserve">Full Historical Export ($99 one-time fee per account) provides a complete JSON export of all platform data associated with the account: all sessions_log records, decisions, invariants, plans, plan_tasks, agent definitions, agent_runs, token_usage, reports, and project_memories. The export is generated asynchronously (typical completion time 2 to 10 minutes depending on account size), stored in the platform's secure file storage for 72 hours, and delivered via a time-limited signed download URL. This export is the primary data portability mechanism for customers migrating to a self-hosted deployment or a different platform. It is priced at cost-recovery to remove the financial disincentive to request an export while ensuring that the compute and storage costs of generating large exports are not borne by the platform. The export includes a README.json describing the schema of each table and the foreign key relationships, making the export machine-readable for direct database import. It does not include GDPR Article 20 data portability requests, which are handled at no charge per the process defined in OPS-004.</w:t>
      </w:r>
    </w:p>
    <w:p>
      <w:pPr>
        <w:spacing w:before="0" w:after="200" w:line="276" w:lineRule="auto"/>
      </w:pPr>
      <w:r>
        <w:rPr>
          <w:rFonts w:ascii="Arial" w:cs="Arial" w:eastAsia="Arial" w:hAnsi="Arial"/>
          <w:color w:val="2C2C2C"/>
          <w:sz w:val="22"/>
          <w:szCs w:val="22"/>
        </w:rPr>
        <w:t xml:space="preserve">Bulk API Export (included in Team tier, available to Pro tier at $19/month add-on) enables paginated programmatic access to all account data via the API at higher rate limits than the standard API tier provides. Standard API access is rate-limited at 100 requests per minute; bulk export access raises this limit to 1,000 requests per minute and removes the per-endpoint daily request caps that apply to standard access. This tier is for customers who have built their own data pipelines or dashboards on top of the ContextKeeper API and need sustained high-throughput access to their own data. It is not a resale or redistribution right; the data may only be accessed for the authenticated account's own use.</w:t>
      </w:r>
    </w:p>
    <w:p>
      <w:pPr>
        <w:spacing w:before="0" w:after="200" w:line="276" w:lineRule="auto"/>
      </w:pPr>
      <w:r>
        <w:rPr>
          <w:rFonts w:ascii="Arial" w:cs="Arial" w:eastAsia="Arial" w:hAnsi="Arial"/>
          <w:color w:val="2C2C2C"/>
          <w:sz w:val="22"/>
          <w:szCs w:val="22"/>
        </w:rPr>
        <w:t xml:space="preserve">Scheduled Automated Export (Enterprise tier feature, configurable within the Enterprise contract) delivers a full or incremental export to the customer's designated storage destination (S3 bucket, Google Cloud Storage, Azure Blob Storage, or SFTP) on a configurable schedule (daily, weekly, or monthly). The incremental export delivers only records created or modified since the last export, using the created_at and updated_at timestamps as the incremental boundary. Scheduled exports are designed for customers who maintain their own data warehouses or analytical infrastructure and require a regular feed of governance telemetry for cross-system analysis. The export format, destination credentials, and schedule are configured in the Enterprise contract and managed via the platform's administrative API.</w:t>
      </w:r>
    </w:p>
    <w:p>
      <w:pPr>
        <w:pStyle w:val="Heading2"/>
        <w:spacing w:before="240" w:after="80" w:line="276" w:lineRule="auto"/>
      </w:pPr>
      <w:r>
        <w:rPr>
          <w:rFonts w:ascii="Arial" w:cs="Arial" w:eastAsia="Arial" w:hAnsi="Arial"/>
          <w:b/>
          <w:bCs/>
          <w:color w:val="2E75B6"/>
          <w:sz w:val="28"/>
          <w:szCs w:val="28"/>
        </w:rPr>
        <w:t xml:space="preserve">10.4 Reseller Program</w:t>
      </w:r>
    </w:p>
    <w:p>
      <w:pPr>
        <w:spacing w:before="0" w:after="200" w:line="276" w:lineRule="auto"/>
      </w:pPr>
      <w:r>
        <w:rPr>
          <w:rFonts w:ascii="Arial" w:cs="Arial" w:eastAsia="Arial" w:hAnsi="Arial"/>
          <w:color w:val="2C2C2C"/>
          <w:sz w:val="22"/>
          <w:szCs w:val="22"/>
        </w:rPr>
        <w:t xml:space="preserve">The reseller program enables qualified third parties to sell ContextKeeper subscriptions to their own customers under their own commercial relationship, with ContextKeeper providing the platform infrastructure and the reseller providing the customer-facing commercial and support relationship. It is distinct from the Implementation Partner Program (WP-007, Section 10.3), which involves professional services delivery around ContextKeeper deployments. The reseller program involves the commercial resale of subscription access itself.</w:t>
      </w:r>
    </w:p>
    <w:p>
      <w:pPr>
        <w:spacing w:before="0" w:after="200" w:line="276" w:lineRule="auto"/>
      </w:pPr>
      <w:r>
        <w:rPr>
          <w:rFonts w:ascii="Arial" w:cs="Arial" w:eastAsia="Arial" w:hAnsi="Arial"/>
          <w:color w:val="2C2C2C"/>
          <w:sz w:val="22"/>
          <w:szCs w:val="22"/>
        </w:rPr>
        <w:t xml:space="preserve">The reseller model uses a wholesale pricing structure: resellers purchase ContextKeeper subscriptions at a 30% discount from the published retail price and sell them to their customers at any price they choose. The reseller takes full commercial responsibility for the customer relationship: billing, contract terms, first-line support, and renewal. ContextKeeper provides second-line technical support to resellers (not directly to their end customers) and maintains the platform's published SLA for the underlying infrastructure. Resellers are contractually prohibited from misrepresenting the platform's capabilities, using the ContextKeeper brand in ways that imply a direct relationship between ContextKeeper and the end customer, or reselling access at prices below the wholesale cost in a way that undermines the platform's published retail pricing.</w:t>
      </w:r>
    </w:p>
    <w:p>
      <w:pPr>
        <w:spacing w:before="0" w:after="200" w:line="276" w:lineRule="auto"/>
      </w:pPr>
      <w:r>
        <w:rPr>
          <w:rFonts w:ascii="Arial" w:cs="Arial" w:eastAsia="Arial" w:hAnsi="Arial"/>
          <w:color w:val="2C2C2C"/>
          <w:sz w:val="22"/>
          <w:szCs w:val="22"/>
        </w:rPr>
        <w:t xml:space="preserve">Reseller qualification requirements: the reseller must have an existing commercial relationship with at least 10 potential ContextKeeper customers, must complete the ContextKeeper Professional certification (WP-008, Section 8) for at least one staff member, and must commit to a minimum annual resale volume of $10,000 in gross customer billing. Resellers below the minimum annual volume threshold receive 20% discount (not 30%) and may not use the preferred reseller designation in their marketing. The reseller tier structure is: Authorized Reseller (20% discount, $10,000 minimum annual volume), Preferred Reseller (30% discount, $50,000 minimum annual volume, additional co-marketing support), and Premier Reseller (35% discount, $200,000 minimum annual volume, dedicated ContextKeeper account management and joint GTM planning).</w:t>
      </w:r>
    </w:p>
    <w:p>
      <w:pPr>
        <w:pBdr>
          <w:left w:val="single" w:color="2E75B6" w:sz="6" w:space="8"/>
        </w:pBdr>
        <w:spacing w:before="120" w:after="120"/>
        <w:ind w:left="720"/>
      </w:pPr>
      <w:r>
        <w:rPr>
          <w:rFonts w:ascii="Arial" w:cs="Arial" w:eastAsia="Arial" w:hAnsi="Arial"/>
          <w:i/>
          <w:iCs/>
          <w:color w:val="555555"/>
          <w:sz w:val="22"/>
          <w:szCs w:val="22"/>
        </w:rPr>
        <w:t xml:space="preserve">The reseller program is a Phase D commercial initiative requiring stable platform infrastructure and enterprise-grade SLA guarantees before reseller commitments can be honored. A reseller who has sold ContextKeeper to 50 enterprise customers has created a significant liability if the platform degrades. The program should not be launched until SOC 2 Type II is complete and the platform has demonstrated 99.9% uptime over a 12-month measurement period.</w:t>
      </w:r>
    </w:p>
    <w:p>
      <w:pPr>
        <w:pStyle w:val="Heading2"/>
        <w:spacing w:before="240" w:after="80" w:line="276" w:lineRule="auto"/>
      </w:pPr>
      <w:r>
        <w:rPr>
          <w:rFonts w:ascii="Arial" w:cs="Arial" w:eastAsia="Arial" w:hAnsi="Arial"/>
          <w:b/>
          <w:bCs/>
          <w:color w:val="2E75B6"/>
          <w:sz w:val="28"/>
          <w:szCs w:val="28"/>
        </w:rPr>
        <w:t xml:space="preserve">10.5 Formal Verification Pricing</w:t>
      </w:r>
    </w:p>
    <w:p>
      <w:pPr>
        <w:spacing w:before="0" w:after="200" w:line="276" w:lineRule="auto"/>
      </w:pPr>
      <w:r>
        <w:rPr>
          <w:rFonts w:ascii="Arial" w:cs="Arial" w:eastAsia="Arial" w:hAnsi="Arial"/>
          <w:color w:val="2C2C2C"/>
          <w:sz w:val="22"/>
          <w:szCs w:val="22"/>
        </w:rPr>
        <w:t xml:space="preserve">Formal verification is the highest-assurance governance tier available on the ContextKeeper platform, defined architecturally in WP-009, Section 8. It extends governance from probabilistic (the model asserts an invariant holds) to mathematical (a theorem prover demonstrates the invariant holds for all inputs in a specified domain). The use cases are regulated industries where probabilistic governance is insufficient for compliance, including financial institutions required to demonstrate that trading algorithms cannot produce certain classes of outputs, medical device manufacturers required to prove that clinical decision support stays within defined clinical parameters, and critical infrastructure operators required to verify that automation systems cannot transition to unsafe states.</w:t>
      </w:r>
    </w:p>
    <w:p>
      <w:pPr>
        <w:spacing w:before="0" w:after="200" w:line="276" w:lineRule="auto"/>
      </w:pPr>
      <w:r>
        <w:rPr>
          <w:rFonts w:ascii="Arial" w:cs="Arial" w:eastAsia="Arial" w:hAnsi="Arial"/>
          <w:color w:val="2C2C2C"/>
          <w:sz w:val="22"/>
          <w:szCs w:val="22"/>
        </w:rPr>
        <w:t xml:space="preserve">Formal verification is priced as an Enterprise add-on with three components. The Z3 SMT Solver Integration Add-On ($500/month per organization) enables the ContextKeeper platform to submit invariant assertions expressed in SMT-LIB2 format to a hosted Z3 solver instance and return SAT (counterexample exists) or UNSAT (invariant holds for all inputs in domain) results. This add-on is appropriate for numerical range proofs, logical implication verification, and mathematical correctness assertions. The solver instance is provisioned per organization to ensure that one organization's verification workload does not affect another's response times. Setup requires a one-time configuration engagement ($1,500 fixed fee) in which a ContextKeeper engineer assists the customer in expressing their existing invariants in SMT-LIB2 format.</w:t>
      </w:r>
    </w:p>
    <w:p>
      <w:pPr>
        <w:spacing w:before="0" w:after="200" w:line="276" w:lineRule="auto"/>
      </w:pPr>
      <w:r>
        <w:rPr>
          <w:rFonts w:ascii="Arial" w:cs="Arial" w:eastAsia="Arial" w:hAnsi="Arial"/>
          <w:color w:val="2C2C2C"/>
          <w:sz w:val="22"/>
          <w:szCs w:val="22"/>
        </w:rPr>
        <w:t xml:space="preserve">The ContextKeeper Assertion DSL License ($300/month per organization) provides access to the domain-specific assertion language that allows governance constraints to be expressed in a syntax familiar to operations engineers without requiring knowledge of SMT-LIB2. The DSL compiles to SMT-LIB2 for Z3 evaluation and to SQL predicates for database-layer assertion checking. It is the recommended entry point for organizations that want formal verification benefits without requiring a formal methods expert to write invariants. DSL documentation, training materials, and a library of pre-written assertion templates for common use cases are included in the license.</w:t>
      </w:r>
    </w:p>
    <w:p>
      <w:pPr>
        <w:spacing w:before="0" w:after="200" w:line="276" w:lineRule="auto"/>
      </w:pPr>
      <w:r>
        <w:rPr>
          <w:rFonts w:ascii="Arial" w:cs="Arial" w:eastAsia="Arial" w:hAnsi="Arial"/>
          <w:color w:val="2C2C2C"/>
          <w:sz w:val="22"/>
          <w:szCs w:val="22"/>
        </w:rPr>
        <w:t xml:space="preserve">The Formal Verification Audit Package ($3,500 per audit, annual) is a professional services engagement in which a ContextKeeper-certified engineer with formal verification expertise reviews the customer's SMT-LIB2 or DSL assertions for correctness, completeness, and absence of vacuous proofs (assertions that pass because they are trivially satisfiable rather than because the intended property holds). The audit produces a written report with a signed attestation that the reviewed assertions correctly represent the stated governance properties and that the verification results are mathematically valid. This attestation is the deliverable that satisfies regulatory requirements for independent verification of formal methods claims, which is the difference between a customer asserting 'our governance is formally verified' and having a certified document that supports that assertion during an audit.</w:t>
      </w:r>
    </w:p>
    <w:p>
      <w:pPr>
        <w:spacing w:before="240" w:after="80"/>
      </w:pPr>
      <w:r>
        <w:rPr>
          <w:rFonts w:ascii="Arial" w:hAnsi="Arial"/>
          <w:b/>
          <w:bCs/>
          <w:color w:val="2C2C2C"/>
          <w:sz w:val="24"/>
          <w:szCs w:val="24"/>
        </w:rPr>
        <w:t xml:space="preserve">10.6 Commercial Control Metrics</w:t>
      </w:r>
    </w:p>
    <w:p>
      <w:pPr>
        <w:spacing w:before="0" w:after="200" w:line="276" w:lineRule="auto"/>
      </w:pPr>
      <w:r>
        <w:rPr>
          <w:rFonts w:ascii="Arial" w:hAnsi="Arial" w:eastAsia="Arial" w:cs="Arial"/>
          <w:color w:val="2C2C2C"/>
          <w:sz w:val="22"/>
          <w:szCs w:val="22"/>
        </w:rPr>
        <w:t xml:space="preserve">The pricing architecture in this paper will produce the intended economics only if it is actively monitored through a small number of finance-grade control metrics. The following ten metrics should be reviewed monthly by the commercial and engineering leads, because AI-native pricing can appear healthy in top-line ARR while silently eroding margin through underpriced usage, weak overage controls, or a marketplace whose apparent take rate is diluted by refunds and operational overhead.</w:t>
      </w:r>
    </w:p>
    <w:p>
      <w:pPr>
        <w:spacing w:before="0" w:after="200" w:line="276" w:lineRule="auto"/>
      </w:pPr>
      <w:r>
        <w:rPr>
          <w:rFonts w:ascii="Arial" w:hAnsi="Arial" w:eastAsia="Arial" w:cs="Arial"/>
          <w:color w:val="2C2C2C"/>
          <w:sz w:val="22"/>
          <w:szCs w:val="22"/>
        </w:rPr>
        <w:t xml:space="preserve">Subscription gross margin: subscription revenue minus infrastructure, support, and compliance costs directly attributable to subscription accounts, excluding any hosted execution cost. This isolates the recurring base from consumption volatility.</w:t>
      </w:r>
    </w:p>
    <w:p>
      <w:pPr>
        <w:spacing w:before="0" w:after="200" w:line="276" w:lineRule="auto"/>
      </w:pPr>
      <w:r>
        <w:rPr>
          <w:rFonts w:ascii="Arial" w:hAnsi="Arial" w:eastAsia="Arial" w:cs="Arial"/>
          <w:color w:val="2C2C2C"/>
          <w:sz w:val="22"/>
          <w:szCs w:val="22"/>
        </w:rPr>
        <w:t xml:space="preserve">Hosted-execution contribution margin by model family and governance mode: revenue per 1,000 credits consumed minus the actual inference cost (provider API cost or GPU compute cost) minus governance evaluation overhead, segmented by which model was invoked and whether the run was in Standard or Audited mode. This detects underpriced run types before they scale.</w:t>
      </w:r>
    </w:p>
    <w:p>
      <w:pPr>
        <w:spacing w:before="0" w:after="200" w:line="276" w:lineRule="auto"/>
      </w:pPr>
      <w:r>
        <w:rPr>
          <w:rFonts w:ascii="Arial" w:hAnsi="Arial" w:eastAsia="Arial" w:cs="Arial"/>
          <w:color w:val="2C2C2C"/>
          <w:sz w:val="22"/>
          <w:szCs w:val="22"/>
        </w:rPr>
        <w:t xml:space="preserve">Realized versus forecasted revenue per 1,000 credits: compares actual recognized credit revenue (consumption-timing basis) against the projected recognition schedule at credit purchase. Persistent gaps indicate either slower-than-expected consumption (breakage accumulation risk) or faster-than-expected consumption (pricing adequacy risk).</w:t>
      </w:r>
    </w:p>
    <w:p>
      <w:pPr>
        <w:spacing w:before="0" w:after="200" w:line="276" w:lineRule="auto"/>
      </w:pPr>
      <w:r>
        <w:rPr>
          <w:rFonts w:ascii="Arial" w:hAnsi="Arial" w:eastAsia="Arial" w:cs="Arial"/>
          <w:color w:val="2C2C2C"/>
          <w:sz w:val="22"/>
          <w:szCs w:val="22"/>
        </w:rPr>
        <w:t xml:space="preserve">Prepaid credit liability aging and breakage rate: total outstanding credit liability bucketed by purchase cohort age (0-3 months, 3-6 months, 6-12 months, approaching 12-month expiry). The breakage rate is the percentage of each cohort expected not to be redeemed. This metric drives the accounting treatment described in Section 4.4 and surfaces escheat exposure before it becomes material.</w:t>
      </w:r>
    </w:p>
    <w:p>
      <w:pPr>
        <w:spacing w:before="0" w:after="200" w:line="276" w:lineRule="auto"/>
      </w:pPr>
      <w:r>
        <w:rPr>
          <w:rFonts w:ascii="Arial" w:hAnsi="Arial" w:eastAsia="Arial" w:cs="Arial"/>
          <w:color w:val="2C2C2C"/>
          <w:sz w:val="22"/>
          <w:szCs w:val="22"/>
        </w:rPr>
        <w:t xml:space="preserve">Overage incidence rate: percentage of Pro and Team accounts that triggered an overage modal in the billing period. A rate above 15% indicates that plan limits are too tight (churn risk from friction) or plan limits are too loose (revenue leakage from users who should be upgrading). Tracked separately for agent runs, connector calls, and bundle downloads.</w:t>
      </w:r>
    </w:p>
    <w:p>
      <w:pPr>
        <w:spacing w:before="0" w:after="200" w:line="276" w:lineRule="auto"/>
      </w:pPr>
      <w:r>
        <w:rPr>
          <w:rFonts w:ascii="Arial" w:hAnsi="Arial" w:eastAsia="Arial" w:cs="Arial"/>
          <w:color w:val="2C2C2C"/>
          <w:sz w:val="22"/>
          <w:szCs w:val="22"/>
        </w:rPr>
        <w:t xml:space="preserve">Connector pack attach rate: percentage of Pro and Team subscribers who have at least one active connector pack add-on. The target is above 25% within 6 months of pack availability. Below 15% indicates either low awareness or low connector pack value relative to tier upgrade cost.</w:t>
      </w:r>
    </w:p>
    <w:p>
      <w:pPr>
        <w:spacing w:before="0" w:after="200" w:line="276" w:lineRule="auto"/>
      </w:pPr>
      <w:r>
        <w:rPr>
          <w:rFonts w:ascii="Arial" w:hAnsi="Arial" w:eastAsia="Arial" w:cs="Arial"/>
          <w:color w:val="2C2C2C"/>
          <w:sz w:val="22"/>
          <w:szCs w:val="22"/>
        </w:rPr>
        <w:t xml:space="preserve">Expansion ARR composition: percentage of net new ARR from existing accounts attributable to seat additions versus usage/credit purchases versus connector pack add-ons. The target steady-state mix is 50% seat expansion, 30% usage, 20% add-ons. Deviation indicates which expansion motion is underperforming.</w:t>
      </w:r>
    </w:p>
    <w:p>
      <w:pPr>
        <w:spacing w:before="0" w:after="200" w:line="276" w:lineRule="auto"/>
      </w:pPr>
      <w:r>
        <w:rPr>
          <w:rFonts w:ascii="Arial" w:hAnsi="Arial" w:eastAsia="Arial" w:cs="Arial"/>
          <w:color w:val="2C2C2C"/>
          <w:sz w:val="22"/>
          <w:szCs w:val="22"/>
        </w:rPr>
        <w:t xml:space="preserve">Marketplace take rate net of refunds and payouts: gross marketplace commission collected minus refunds issued minus creator revenue share payments, divided by gross merchandise value. This is the actual marketplace yield, which will be lower than the headline commission rate. Target yield is above 12% of GMV.</w:t>
      </w:r>
    </w:p>
    <w:p>
      <w:pPr>
        <w:spacing w:before="0" w:after="200" w:line="276" w:lineRule="auto"/>
      </w:pPr>
      <w:r>
        <w:rPr>
          <w:rFonts w:ascii="Arial" w:hAnsi="Arial" w:eastAsia="Arial" w:cs="Arial"/>
          <w:color w:val="2C2C2C"/>
          <w:sz w:val="22"/>
          <w:szCs w:val="22"/>
        </w:rPr>
        <w:t xml:space="preserve">Creator concentration risk: share of marketplace GMV attributable to the top 10 creators. Above 50% indicates excessive dependence on a small creator cohort; below 20% indicates strong diversification. Monitored because a top creator departing the platform or negotiating a materially lower commission represents a concentrated revenue risk.</w:t>
      </w:r>
    </w:p>
    <w:p>
      <w:pPr>
        <w:spacing w:before="0" w:after="200" w:line="276" w:lineRule="auto"/>
      </w:pPr>
      <w:r>
        <w:rPr>
          <w:rFonts w:ascii="Arial" w:hAnsi="Arial" w:eastAsia="Arial" w:cs="Arial"/>
          <w:color w:val="2C2C2C"/>
          <w:sz w:val="22"/>
          <w:szCs w:val="22"/>
        </w:rPr>
        <w:t xml:space="preserve">Enterprise contract gross margin: ACV of enterprise contracts minus all direct delivery costs including compliance documentation, dedicated CSM time, professional services delivery, and any custom connector or integration engineering. This is the true margin on the highest-ACV segment and the primary metric for assessing whether the sales and delivery model is scalable. (Metronome, 2025, State of Usage-Based Pricing; Maxio/Benchmarkit, 2025, SaaS Pricing Trends Report; High Alpha, 2025, SaaS Benchmarks Report.)</w:t>
      </w:r>
    </w:p>
    <w:p>
      <w:pPr>
        <w:pStyle w:val="Heading1"/>
        <w:pageBreakBefore/>
        <w:spacing w:before="360" w:after="120" w:line="276" w:lineRule="auto"/>
      </w:pPr>
      <w:r>
        <w:rPr>
          <w:rFonts w:ascii="Arial" w:cs="Arial" w:eastAsia="Arial" w:hAnsi="Arial"/>
          <w:b/>
          <w:bCs/>
          <w:color w:val="1B2A4A"/>
          <w:sz w:val="36"/>
          <w:szCs w:val="36"/>
        </w:rPr>
        <w:t xml:space="preserve">11. Implementation Requirements</w:t>
      </w:r>
    </w:p>
    <w:p>
      <w:pPr>
        <w:spacing w:before="0" w:after="200" w:line="276" w:lineRule="auto"/>
      </w:pPr>
      <w:r>
        <w:rPr>
          <w:rFonts w:ascii="Arial" w:cs="Arial" w:eastAsia="Arial" w:hAnsi="Arial"/>
          <w:color w:val="2C2C2C"/>
          <w:sz w:val="22"/>
          <w:szCs w:val="22"/>
        </w:rPr>
        <w:t xml:space="preserve">Immediate implementations (no engineering required, only Stripe and account configuration):</w:t>
      </w:r>
    </w:p>
    <w:p>
      <w:pPr>
        <w:pStyle w:val="ListParagraph"/>
        <w:numPr>
          <w:ilvl w:val="0"/>
          <w:numId w:val="2"/>
        </w:numPr>
        <w:spacing w:before="40" w:after="40"/>
      </w:pPr>
      <w:r>
        <w:rPr>
          <w:rFonts w:ascii="Arial" w:cs="Arial" w:eastAsia="Arial" w:hAnsi="Arial"/>
          <w:color w:val="2C2C2C"/>
          <w:sz w:val="22"/>
          <w:szCs w:val="22"/>
        </w:rPr>
        <w:t xml:space="preserve">Annual pricing: add annual Price objects to each subscription tier in Stripe; update pricing.html to display monthly and annual toggle; update checkout flow to pass the selected billing interval.</w:t>
      </w:r>
    </w:p>
    <w:p>
      <w:pPr>
        <w:pStyle w:val="ListParagraph"/>
        <w:numPr>
          <w:ilvl w:val="0"/>
          <w:numId w:val="2"/>
        </w:numPr>
        <w:spacing w:before="40" w:after="40"/>
      </w:pPr>
      <w:r>
        <w:rPr>
          <w:rFonts w:ascii="Arial" w:cs="Arial" w:eastAsia="Arial" w:hAnsi="Arial"/>
          <w:color w:val="2C2C2C"/>
          <w:sz w:val="22"/>
          <w:szCs w:val="22"/>
        </w:rPr>
        <w:t xml:space="preserve">Connector pack add-ons: create Pack product objects in Stripe with recurring monthly prices; add pack purchase flow to the dashboard connector page; implement pack entitlement check in the connector access control layer.</w:t>
      </w:r>
    </w:p>
    <w:p>
      <w:pPr>
        <w:pStyle w:val="ListParagraph"/>
        <w:numPr>
          <w:ilvl w:val="0"/>
          <w:numId w:val="2"/>
        </w:numPr>
        <w:spacing w:before="40" w:after="40"/>
      </w:pPr>
      <w:r>
        <w:rPr>
          <w:rFonts w:ascii="Arial" w:cs="Arial" w:eastAsia="Arial" w:hAnsi="Arial"/>
          <w:color w:val="2C2C2C"/>
          <w:sz w:val="22"/>
          <w:szCs w:val="22"/>
        </w:rPr>
        <w:t xml:space="preserve">Usage-based overage alerts: add a monthly run counter to the usage_log table; implement the 80% and 100% threshold check in the API middleware; trigger the upgrade modal on limit reach.</w:t>
      </w:r>
    </w:p>
    <w:p>
      <w:pPr>
        <w:spacing w:before="0" w:after="200" w:line="276" w:lineRule="auto"/>
      </w:pPr>
      <w:r>
        <w:rPr>
          <w:rFonts w:ascii="Arial" w:cs="Arial" w:eastAsia="Arial" w:hAnsi="Arial"/>
          <w:color w:val="2C2C2C"/>
          <w:sz w:val="22"/>
          <w:szCs w:val="22"/>
        </w:rPr>
        <w:t xml:space="preserve">Phase C engineering requirements (agent execution must exist before these are activatable):</w:t>
      </w:r>
    </w:p>
    <w:p>
      <w:pPr>
        <w:pStyle w:val="ListParagraph"/>
        <w:numPr>
          <w:ilvl w:val="0"/>
          <w:numId w:val="2"/>
        </w:numPr>
        <w:spacing w:before="40" w:after="40"/>
      </w:pPr>
      <w:r>
        <w:rPr>
          <w:rFonts w:ascii="Arial" w:cs="Arial" w:eastAsia="Arial" w:hAnsi="Arial"/>
          <w:color w:val="2C2C2C"/>
          <w:sz w:val="22"/>
          <w:szCs w:val="22"/>
        </w:rPr>
        <w:t xml:space="preserve">Execution credit system: create credits table (user_id, bundle_id, credits_remaining, expires_at); implement credit deduction in the agent execution engine post-run; add credit purchase flow to dashboard billing page; connect to Stripe for credit bundle checkout.</w:t>
      </w:r>
    </w:p>
    <w:p>
      <w:pPr>
        <w:pStyle w:val="ListParagraph"/>
        <w:numPr>
          <w:ilvl w:val="0"/>
          <w:numId w:val="2"/>
        </w:numPr>
        <w:spacing w:before="40" w:after="40"/>
      </w:pPr>
      <w:r>
        <w:rPr>
          <w:rFonts w:ascii="Arial" w:cs="Arial" w:eastAsia="Arial" w:hAnsi="Arial"/>
          <w:color w:val="2C2C2C"/>
          <w:sz w:val="22"/>
          <w:szCs w:val="22"/>
        </w:rPr>
        <w:t xml:space="preserve">Agent versioning: create agent_versions table; modify agent UPDATE operations to INSERT to agent_versions before applying changes; add version history UI to agent management page.</w:t>
      </w:r>
    </w:p>
    <w:p>
      <w:pPr>
        <w:pStyle w:val="ListParagraph"/>
        <w:numPr>
          <w:ilvl w:val="0"/>
          <w:numId w:val="2"/>
        </w:numPr>
        <w:spacing w:before="40" w:after="40"/>
      </w:pPr>
      <w:r>
        <w:rPr>
          <w:rFonts w:ascii="Arial" w:cs="Arial" w:eastAsia="Arial" w:hAnsi="Arial"/>
          <w:color w:val="2C2C2C"/>
          <w:sz w:val="22"/>
          <w:szCs w:val="22"/>
        </w:rPr>
        <w:t xml:space="preserve">Test sandbox: implement the sandbox connector layer with mock response configuration; add sandbox=true flag to agent_runs; exclude sandbox runs from billing and production analytics.</w:t>
      </w:r>
    </w:p>
    <w:p>
      <w:pPr>
        <w:spacing w:before="0" w:after="200" w:line="276" w:lineRule="auto"/>
      </w:pPr>
      <w:r>
        <w:rPr>
          <w:rFonts w:ascii="Arial" w:cs="Arial" w:eastAsia="Arial" w:hAnsi="Arial"/>
          <w:color w:val="2C2C2C"/>
          <w:sz w:val="22"/>
          <w:szCs w:val="22"/>
        </w:rPr>
        <w:t xml:space="preserve">Phase D engineering requirements (marketplace must exist):</w:t>
      </w:r>
    </w:p>
    <w:p>
      <w:pPr>
        <w:pStyle w:val="ListParagraph"/>
        <w:numPr>
          <w:ilvl w:val="0"/>
          <w:numId w:val="2"/>
        </w:numPr>
        <w:spacing w:before="40" w:after="40"/>
      </w:pPr>
      <w:r>
        <w:rPr>
          <w:rFonts w:ascii="Arial" w:cs="Arial" w:eastAsia="Arial" w:hAnsi="Arial"/>
          <w:color w:val="2C2C2C"/>
          <w:sz w:val="22"/>
          <w:szCs w:val="22"/>
        </w:rPr>
        <w:t xml:space="preserve">Marketplace commission: extend Stripe Connect configuration for creator payouts; implement commission calculation on template sale events; create creator earnings dashboard.</w:t>
      </w:r>
    </w:p>
    <w:p>
      <w:pPr>
        <w:pStyle w:val="ListParagraph"/>
        <w:numPr>
          <w:ilvl w:val="0"/>
          <w:numId w:val="2"/>
        </w:numPr>
        <w:spacing w:before="40" w:after="40"/>
      </w:pPr>
      <w:r>
        <w:rPr>
          <w:rFonts w:ascii="Arial" w:cs="Arial" w:eastAsia="Arial" w:hAnsi="Arial"/>
          <w:color w:val="2C2C2C"/>
          <w:sz w:val="22"/>
          <w:szCs w:val="22"/>
        </w:rPr>
        <w:t xml:space="preserve">Creator revenue share: implement attribution tracking via referral link in blueprint view page; create attribution_events table; implement monthly revenue share calculation and payout.</w:t>
      </w:r>
    </w:p>
    <w:p>
      <w:pPr>
        <w:pStyle w:val="ListParagraph"/>
        <w:numPr>
          <w:ilvl w:val="0"/>
          <w:numId w:val="2"/>
        </w:numPr>
        <w:spacing w:before="40" w:after="40"/>
      </w:pPr>
      <w:r>
        <w:rPr>
          <w:rFonts w:ascii="Arial" w:cs="Arial" w:eastAsia="Arial" w:hAnsi="Arial"/>
          <w:color w:val="2C2C2C"/>
          <w:sz w:val="22"/>
          <w:szCs w:val="22"/>
        </w:rPr>
        <w:t xml:space="preserve">White-label SDK: package DEL-v2 governance runtime as an independent module; implement SDK key authentication; create licensee dashboard for usage monitoring.</w:t>
      </w:r>
    </w:p>
    <w:p>
      <w:pPr>
        <w:spacing w:before="0" w:after="200" w:line="276" w:lineRule="auto"/>
      </w:pPr>
      <w:r>
        <w:rPr>
          <w:rFonts w:ascii="Arial" w:cs="Arial" w:eastAsia="Arial" w:hAnsi="Arial"/>
          <w:color w:val="2C2C2C"/>
          <w:sz w:val="22"/>
          <w:szCs w:val="22"/>
        </w:rPr>
        <w:t xml:space="preserve">All pricing changes are implemented in Stripe and the platform's plan_gating configuration. No database schema changes are required for pricing tier modifications. The plan_gating configuration file defines which features are available at each tier; updating this file is the only application-layer change required when tier features change.</w:t>
      </w:r>
    </w:p>
    <w:p>
      <w:pPr>
        <w:pStyle w:val="Heading1"/>
        <w:pageBreakBefore/>
        <w:spacing w:before="360" w:after="120" w:line="276" w:lineRule="auto"/>
      </w:pPr>
      <w:r>
        <w:rPr>
          <w:rFonts w:ascii="Arial" w:cs="Arial" w:eastAsia="Arial" w:hAnsi="Arial"/>
          <w:b/>
          <w:bCs/>
          <w:color w:val="1B2A4A"/>
          <w:sz w:val="36"/>
          <w:szCs w:val="36"/>
        </w:rPr>
        <w:t xml:space="preserve">12. Integration Points</w:t>
      </w:r>
    </w:p>
    <w:p>
      <w:pPr>
        <w:spacing w:before="0" w:after="200" w:line="276" w:lineRule="auto"/>
      </w:pPr>
      <w:r>
        <w:rPr>
          <w:rFonts w:ascii="Arial" w:cs="Arial" w:eastAsia="Arial" w:hAnsi="Arial"/>
          <w:color w:val="2C2C2C"/>
          <w:sz w:val="22"/>
          <w:szCs w:val="22"/>
        </w:rPr>
        <w:t xml:space="preserve">WP-002 (Enterprise Delivery Governance): the value-based price anchoring in Section 2.1 derives from the speculative implementation failure cost documented in WP-002, Section 2.2 (4x correction cost) and the production case study in WP-002, Section 7 (6 correction cycles representing 60% of engineering time). These are the primary quantitative value anchors for the Pro and Team tier pricing.</w:t>
      </w:r>
    </w:p>
    <w:p>
      <w:pPr>
        <w:spacing w:before="0" w:after="200" w:line="276" w:lineRule="auto"/>
      </w:pPr>
      <w:r>
        <w:rPr>
          <w:rFonts w:ascii="Arial" w:cs="Arial" w:eastAsia="Arial" w:hAnsi="Arial"/>
          <w:color w:val="2C2C2C"/>
          <w:sz w:val="22"/>
          <w:szCs w:val="22"/>
        </w:rPr>
        <w:t xml:space="preserve">WP-003 (Platform Architecture and Token Intelligence): the execution credit consumption model (Section 4.2) uses the token tracking infrastructure from WP-003, Section 3. The cost projection formula from WP-003, Section 3.2.4 is the basis for estimating per-run credit consumption before a run completes. The token_usage table from WP-003, Section 3.3 is the data source for credit deduction calculations.</w:t>
      </w:r>
    </w:p>
    <w:p>
      <w:pPr>
        <w:spacing w:before="0" w:after="200" w:line="276" w:lineRule="auto"/>
      </w:pPr>
      <w:r>
        <w:rPr>
          <w:rFonts w:ascii="Arial" w:cs="Arial" w:eastAsia="Arial" w:hAnsi="Arial"/>
          <w:color w:val="2C2C2C"/>
          <w:sz w:val="22"/>
          <w:szCs w:val="22"/>
        </w:rPr>
        <w:t xml:space="preserve">WP-005 (Agent Orchestration, Marketplace, and Revenue Architecture): the marketplace commission structure defined in this paper (Section 5.1) extends the revenue model defined in WP-005, Section 6.1.3. The agent_templates table from WP-005, Section 3.4 is the source for premium blueprint sales and commission calculations. The agent versioning specification in WP-005 is the foundation for the version-based pricing fairness property: users are billed at the governance mode of the version that was active during each run, not at the current definition's mode.</w:t>
      </w:r>
    </w:p>
    <w:p>
      <w:pPr>
        <w:spacing w:before="0" w:after="200" w:line="276" w:lineRule="auto"/>
      </w:pPr>
      <w:r>
        <w:rPr>
          <w:rFonts w:ascii="Arial" w:cs="Arial" w:eastAsia="Arial" w:hAnsi="Arial"/>
          <w:color w:val="2C2C2C"/>
          <w:sz w:val="22"/>
          <w:szCs w:val="22"/>
        </w:rPr>
        <w:t xml:space="preserve">WP-006 (Master Execution Plan): the revenue stream activation phase mapping in Section 10 of this paper is consistent with the phase structure defined in WP-006. Immediate implementations (annual pricing, connector packs) align with the current Phase B window. Phase C activations align with WP-006 iterations 15 through 17. Phase D activations align with WP-006 iterations 18 and 19.</w:t>
      </w:r>
    </w:p>
    <w:p>
      <w:pPr>
        <w:spacing w:before="0" w:after="200" w:line="276" w:lineRule="auto"/>
      </w:pPr>
      <w:r>
        <w:rPr>
          <w:rFonts w:ascii="Arial" w:cs="Arial" w:eastAsia="Arial" w:hAnsi="Arial"/>
          <w:color w:val="2C2C2C"/>
          <w:sz w:val="22"/>
          <w:szCs w:val="22"/>
        </w:rPr>
        <w:t xml:space="preserve">WP-007 (Platform Expansion, Distribution, and Compliance): the connector pack contents (Section 3.4) correspond to the Phase 2 connector groupings defined in WP-006 and cataloged in WP-004. The certification program pricing (Section 8) implements the certification program concept defined in WP-007, Section 8.3. The white-label SDK pricing (Section 7) implements the SDK licensing model defined in WP-007, Section 8.1.</w:t>
      </w:r>
    </w:p>
    <w:p>
      <w:pPr>
        <w:pStyle w:val="Heading1"/>
        <w:pageBreakBefore/>
        <w:spacing w:before="360" w:after="120" w:line="276" w:lineRule="auto"/>
      </w:pPr>
      <w:r>
        <w:rPr>
          <w:rFonts w:ascii="Arial" w:cs="Arial" w:eastAsia="Arial" w:hAnsi="Arial"/>
          <w:b/>
          <w:bCs/>
          <w:color w:val="1B2A4A"/>
          <w:sz w:val="36"/>
          <w:szCs w:val="36"/>
        </w:rPr>
        <w:t xml:space="preserve">13. Conclusion</w:t>
      </w:r>
    </w:p>
    <w:p>
      <w:pPr>
        <w:spacing w:before="0" w:after="200" w:line="276" w:lineRule="auto"/>
      </w:pPr>
      <w:r>
        <w:rPr>
          <w:rFonts w:ascii="Arial" w:cs="Arial" w:eastAsia="Arial" w:hAnsi="Arial"/>
          <w:color w:val="2C2C2C"/>
          <w:sz w:val="22"/>
          <w:szCs w:val="22"/>
        </w:rPr>
        <w:t xml:space="preserve">The ContextKeeper pricing architecture is designed to be simple at the entry level, fair at the team level, and comprehensive at the enterprise level. Every tier is priced relative to the value it delivers, every upgrade motion occurs at the moment of maximum user motivation, and every revenue stream compounds with platform usage rather than requiring continuous new customer acquisition to maintain.</w:t>
      </w:r>
    </w:p>
    <w:p>
      <w:pPr>
        <w:spacing w:before="0" w:after="200" w:line="276" w:lineRule="auto"/>
      </w:pPr>
      <w:r>
        <w:rPr>
          <w:rFonts w:ascii="Arial" w:cs="Arial" w:eastAsia="Arial" w:hAnsi="Arial"/>
          <w:color w:val="2C2C2C"/>
          <w:sz w:val="22"/>
          <w:szCs w:val="22"/>
        </w:rPr>
        <w:t xml:space="preserve">The most important single action in this paper is the implementation of annual pricing and connector pack add-ons, both of which require only Stripe configuration changes and can be activated before Phase B completes. These two changes alone are expected to increase MRR by 15 to 25% from the existing subscriber base through annual conversion and pack purchases, generating growth without requiring any new engineering.</w:t>
      </w:r>
    </w:p>
    <w:p>
      <w:pPr>
        <w:spacing w:before="0" w:after="200" w:line="276" w:lineRule="auto"/>
      </w:pPr>
      <w:r>
        <w:rPr>
          <w:rFonts w:ascii="Arial" w:cs="Arial" w:eastAsia="Arial" w:hAnsi="Arial"/>
          <w:color w:val="2C2C2C"/>
          <w:sz w:val="22"/>
          <w:szCs w:val="22"/>
        </w:rPr>
        <w:t xml:space="preserve">The enterprise contract architecture establishes the commercial framework for the highest-value segment: regulated industries whose AI governance requirements are precisely what DEL-v2 delivers. The floor price of $2,000/month ensures that enterprise relationships generate sufficient revenue to justify the support and compliance overhead they require. The BYOI licensing tier creates the path to six-figure annual contract values that anchor the platform's revenue against SMB churn.</w:t>
      </w:r>
    </w:p>
    <w:p>
      <w:pPr>
        <w:spacing w:before="0" w:after="200" w:line="276" w:lineRule="auto"/>
      </w:pPr>
      <w:r>
        <w:rPr>
          <w:rFonts w:ascii="Arial" w:cs="Arial" w:eastAsia="Arial" w:hAnsi="Arial"/>
          <w:color w:val="2C2C2C"/>
          <w:sz w:val="22"/>
          <w:szCs w:val="22"/>
        </w:rPr>
        <w:t xml:space="preserve">The white-label SDK is the long-term strategic revenue multiplier. Every AI tooling company that embeds the DEL-v2 governance layer becomes a distribution channel, a revenue source, and a validation signal. As the SDK user base grows, the platform's governance protocol becomes the de facto standard for AI engineering governance, creating a network effect that is difficult for any competitor to displace.</w:t>
      </w:r>
    </w:p>
    <w:p>
      <w:pPr>
        <w:spacing w:before="0" w:after="200" w:line="276" w:lineRule="auto"/>
      </w:pPr>
      <w:r>
        <w:rPr>
          <w:rFonts w:ascii="Arial" w:cs="Arial" w:eastAsia="Arial" w:hAnsi="Arial"/>
          <w:color w:val="2C2C2C"/>
          <w:sz w:val="22"/>
          <w:szCs w:val="22"/>
        </w:rPr>
        <w:t xml:space="preserve">Together, WP-001 through WP-008 constitute a complete specification of ContextKeeper: its technical foundations, its governance protocols, its platform intelligence, its open infrastructure, its agent architecture, its execution roadmap, its expansion strategy, and its commercial architecture. The platform is operationally live at Phase B. The complete vision is fully specified. The path from current state to full platform is documented, dependency-ordered, and resource-quantified. What remains is execution.</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0" w:after="200" w:line="276" w:lineRule="auto"/>
      </w:pPr>
      <w:r>
        <w:rPr>
          <w:rFonts w:ascii="Arial" w:cs="Arial" w:eastAsia="Arial" w:hAnsi="Arial"/>
          <w:color w:val="2C2C2C"/>
          <w:sz w:val="22"/>
          <w:szCs w:val="22"/>
        </w:rPr>
        <w:t xml:space="preserve">Table 14 defines all commercial and pricing terms introduced in this paper.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Annual Contract Value (ACV)</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total revenue from a single enterprise customer contract annualized to a 12-month period. ACV is the primary metric for measuring enterprise sales productivity. An enterprise contract with 50 seats at $24/seat/month plus $50,000 in BYOI licensing has an ACV of $64,400.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model in which the customer operates the full ContextKeeper platform stack in their own infrastructure. Priced as an annual software license separate from the SaaS subscription. Eliminates all data residency concerns by removing the platform operator from the data path.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BYOK (Bring Your Own Key)</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deployment model in which users supply their own LLM provider API credentials for inference. The platform provides governance, connectors, and interface; the user pays their provider directly for inference. No execution credits are consumed in BYOK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 Pack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curated bundle of related connectors available as a monthly add-on to any subscription tier. Allows users to unlock specific connector categories at lower cost than a full tier upgrade when the connectors in a pack are their only reason to consider upgrading.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 Credit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unit of consumption billing for platform-hosted inference (non-BYOK agent runs). Each credit has a defined USD value. Credit consumption per run is proportional to token usage plus a platform margin. Credits are purchased in bundles at volume-discounted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Floor Price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minimum annual contract value below which the platform does not enter an enterprise engagement. Prevents the sales and support overhead of small enterprise contracts from consuming disproportionate resources. Set at $24,000/year ($2,000/month equivalent) for the smallest Enterprise tier engagement.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MRR (Monthly Recurring Revenue)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total subscription revenue billed in a given month, normalized to a monthly figure. Annual subscribers contribute their annual fee divided by 12 to MRR. The primary financial metric for tracking SaaS growth and churn.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Net Revenue Retention (NRR)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percentage of revenue retained from an existing customer cohort over a 12-month period, including expansion revenue (upgrades, add-ons, credit purchases) and contraction (downgrades, churn). NRR above 100% means the existing customer base is growing in revenue even without new customer acquisition. Industry median for developer tools SaaS is 108%; best-in-class is 118%+.</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OEM Integration License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white-label SDK license tier for large AI platform companies embedding DEL-v2 governance as a native feature of their own product. Priced as an annual flat fee based on total addressable user base rather than active users. Includes co-marketing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Plan Gating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enforcement mechanism by which the platform restricts access to features based on the user's subscription tier. A Free tier user attempting to create an agent definition encounters a plan gate that presents the upgrade path rather than an error message.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One named user account in a Team or Enterprise subscription. Seat-based pricing aligns cost with value delivery: each additional user generates proportionally more platform usage. Seats are assigned to specific users; they cannot be shared or transferred between users within the same billing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Value-Based Pricing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pricing methodology in which price is set based on the value delivered to the customer rather than on cost of goods or competitive benchmarking alone. ContextKeeper's Pro tier price of $12/month is a value-based price anchored to the cost savings from prevented speculative implementation failures (observed at 4x correction cost, WP-002, Section 2.2), not to the marginal cost of hosting one user's data.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White-Label SDK</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packaged version of the DEL-v2 governance layer that other AI tooling companies embed in their products under their own branding. Licensed per active governed user or as an OEM flat fee. Creates a B2B2B revenue stream that scales with the licensee's user base.</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v1.1. contextkeeper.org. [Speculative implementation failure cost (4x correction cost) and production case study referenced as primary value anchors in Section 2.1.]</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v1.2. contextkeeper.org. [Token tracking infrastructure and cost projection formula referenced in Section 4.2.]</w:t>
      </w:r>
    </w:p>
    <w:p>
      <w:pPr>
        <w:spacing w:before="0" w:after="200" w:line="276" w:lineRule="auto"/>
      </w:pPr>
      <w:r>
        <w:rPr>
          <w:rFonts w:ascii="Arial" w:cs="Arial" w:eastAsia="Arial" w:hAnsi="Arial"/>
          <w:color w:val="2C2C2C"/>
          <w:sz w:val="22"/>
          <w:szCs w:val="22"/>
        </w:rPr>
        <w:t xml:space="preserve">Wazlavek, S. (2026). Agent Orchestration, Marketplace, and Revenue Architecture. ContextKeeper Enterprise Engineering White Paper Series, WP-005, v1.3. contextkeeper.org. [Marketplace commission model and agent database schema referenced in Section 5.]</w:t>
      </w:r>
    </w:p>
    <w:p>
      <w:pPr>
        <w:spacing w:before="0" w:after="200" w:line="276" w:lineRule="auto"/>
      </w:pPr>
      <w:r>
        <w:rPr>
          <w:rFonts w:ascii="Arial" w:cs="Arial" w:eastAsia="Arial" w:hAnsi="Arial"/>
          <w:color w:val="2C2C2C"/>
          <w:sz w:val="22"/>
          <w:szCs w:val="22"/>
        </w:rPr>
        <w:t xml:space="preserve">Wazlavek, S. (2026). Master Execution Plan and Phased Delivery Roadmap. ContextKeeper Enterprise Engineering White Paper Series, WP-006, v1.1. contextkeeper.org. [Phase structure and activation sequencing referenced in Section 10.]</w:t>
      </w:r>
    </w:p>
    <w:p>
      <w:pPr>
        <w:spacing w:before="0" w:after="200" w:line="276" w:lineRule="auto"/>
      </w:pPr>
      <w:r>
        <w:rPr>
          <w:rFonts w:ascii="Arial" w:cs="Arial" w:eastAsia="Arial" w:hAnsi="Arial"/>
          <w:color w:val="2C2C2C"/>
          <w:sz w:val="22"/>
          <w:szCs w:val="22"/>
        </w:rPr>
        <w:t xml:space="preserve">Wazlavek, S. (2026). Platform Expansion, Distribution, and Compliance Strategy. ContextKeeper Enterprise Engineering White Paper Series, WP-007, v1.3. contextkeeper.org. [Certification program, white-label SDK, connector pack, and annual pricing concepts referenced throughout this paper.]</w:t>
      </w:r>
    </w:p>
    <w:p>
      <w:pPr>
        <w:spacing w:before="80" w:after="0"/>
      </w:pPr>
    </w:p>
    <w:p>
      <w:pPr>
        <w:spacing w:before="0" w:after="200" w:line="276" w:lineRule="auto"/>
      </w:pPr>
      <w:r>
        <w:rPr>
          <w:rFonts w:ascii="Arial" w:cs="Arial" w:eastAsia="Arial" w:hAnsi="Arial"/>
          <w:color w:val="2C2C2C"/>
          <w:sz w:val="22"/>
          <w:szCs w:val="22"/>
        </w:rPr>
        <w:t xml:space="preserve">GitHub. (2026). GitHub Copilot Individual pricing. github.com/features/copilot. [$10/month confirmed as of March 2026. Referenced in Section 2.2.]</w:t>
      </w:r>
    </w:p>
    <w:p>
      <w:pPr>
        <w:spacing w:before="0" w:after="200" w:line="276" w:lineRule="auto"/>
      </w:pPr>
      <w:r>
        <w:rPr>
          <w:rFonts w:ascii="Arial" w:cs="Arial" w:eastAsia="Arial" w:hAnsi="Arial"/>
          <w:color w:val="2C2C2C"/>
          <w:sz w:val="22"/>
          <w:szCs w:val="22"/>
        </w:rPr>
        <w:t xml:space="preserve">Linear. (2026). Linear pricing. linear.app/pricing. [Plus tier at $8/user/month confirmed as of March 2026. Referenced in Section 2.2.]</w:t>
      </w:r>
    </w:p>
    <w:p>
      <w:pPr>
        <w:spacing w:before="0" w:after="200" w:line="276" w:lineRule="auto"/>
      </w:pPr>
      <w:r>
        <w:rPr>
          <w:rFonts w:ascii="Arial" w:cs="Arial" w:eastAsia="Arial" w:hAnsi="Arial"/>
          <w:color w:val="2C2C2C"/>
          <w:sz w:val="22"/>
          <w:szCs w:val="22"/>
        </w:rPr>
        <w:t xml:space="preserve">LangChain Inc. (2026). LangSmith pricing. smith.langchain.com/pricing. [Developer tier at $49/user/month confirmed as of March 2026; corrected from $39 in v1.0. Referenced in Section 2.2.]</w:t>
      </w:r>
    </w:p>
    <w:p>
      <w:pPr>
        <w:spacing w:before="0" w:after="200" w:line="276" w:lineRule="auto"/>
      </w:pPr>
      <w:r>
        <w:rPr>
          <w:rFonts w:ascii="Arial" w:cs="Arial" w:eastAsia="Arial" w:hAnsi="Arial"/>
          <w:color w:val="2C2C2C"/>
          <w:sz w:val="22"/>
          <w:szCs w:val="22"/>
        </w:rPr>
        <w:t xml:space="preserve">Weights and Biases. (2026). W&amp;B pricing. wandb.ai/pricing. [Teams tier at $49/user/month confirmed as of March 2026; corrected from $50 in v1.0. Referenced in Section 2.2.]</w:t>
      </w:r>
    </w:p>
    <w:p>
      <w:pPr>
        <w:spacing w:before="0" w:after="200" w:line="276" w:lineRule="auto"/>
      </w:pPr>
      <w:r>
        <w:rPr>
          <w:rFonts w:ascii="Arial" w:cs="Arial" w:eastAsia="Arial" w:hAnsi="Arial"/>
          <w:color w:val="2C2C2C"/>
          <w:sz w:val="22"/>
          <w:szCs w:val="22"/>
        </w:rPr>
        <w:t xml:space="preserve">Atlassian. (2026). Jira pricing. atlassian.com/software/jira/pricing. [Standard tier at $8.15/user/month confirmed as of March 2026. Referenced in Section 3.2.]</w:t>
      </w:r>
    </w:p>
    <w:p>
      <w:pPr>
        <w:spacing w:before="80" w:after="0"/>
      </w:pPr>
    </w:p>
    <w:p>
      <w:pPr>
        <w:spacing w:before="0" w:after="200" w:line="276" w:lineRule="auto"/>
      </w:pPr>
      <w:r>
        <w:rPr>
          <w:rFonts w:ascii="Arial" w:cs="Arial" w:eastAsia="Arial" w:hAnsi="Arial"/>
          <w:color w:val="2C2C2C"/>
          <w:sz w:val="22"/>
          <w:szCs w:val="22"/>
        </w:rPr>
        <w:t xml:space="preserve">GitHub. (2021, February). GitHub Marketplace: Reduced transaction fee to 5%. [Commission rate confirmed at 5%, reduced from 25% in February 2021. Referenced in Section 5.1.]</w:t>
      </w:r>
    </w:p>
    <w:p>
      <w:pPr>
        <w:spacing w:before="0" w:after="200" w:line="276" w:lineRule="auto"/>
      </w:pPr>
      <w:r>
        <w:rPr>
          <w:rFonts w:ascii="Arial" w:cs="Arial" w:eastAsia="Arial" w:hAnsi="Arial"/>
          <w:color w:val="2C2C2C"/>
          <w:sz w:val="22"/>
          <w:szCs w:val="22"/>
        </w:rPr>
        <w:t xml:space="preserve">Atlassian. (2026). Atlassian Marketplace commission schedule. [Connect apps at 20% as of January 2026, increasing to 25% July 2026; Forge apps at 16%, 0% on first $1M lifetime. Referenced in Section 5.1.]</w:t>
      </w:r>
    </w:p>
    <w:p>
      <w:pPr>
        <w:spacing w:before="0" w:after="200" w:line="276" w:lineRule="auto"/>
      </w:pPr>
      <w:r>
        <w:rPr>
          <w:rFonts w:ascii="Arial" w:cs="Arial" w:eastAsia="Arial" w:hAnsi="Arial"/>
          <w:color w:val="2C2C2C"/>
          <w:sz w:val="22"/>
          <w:szCs w:val="22"/>
        </w:rPr>
        <w:t xml:space="preserve">Salesforce. (2026). AppExchange revenue share program. [ISVforce apps via Checkout at 15% PNR. Referenced in Section 5.1.]</w:t>
      </w:r>
    </w:p>
    <w:p>
      <w:pPr>
        <w:spacing w:before="0" w:after="200" w:line="276" w:lineRule="auto"/>
      </w:pPr>
      <w:r>
        <w:rPr>
          <w:rFonts w:ascii="Arial" w:cs="Arial" w:eastAsia="Arial" w:hAnsi="Arial"/>
          <w:color w:val="2C2C2C"/>
          <w:sz w:val="22"/>
          <w:szCs w:val="22"/>
        </w:rPr>
        <w:t xml:space="preserve">Shopify. (2025). Shopify App Store revenue share changes. [0% up to $1M lifetime revenue, then 15%. Referenced in Section 5.1.]</w:t>
      </w:r>
    </w:p>
    <w:p>
      <w:pPr>
        <w:spacing w:before="80" w:after="0"/>
      </w:pPr>
    </w:p>
    <w:p>
      <w:pPr>
        <w:spacing w:before="0" w:after="200" w:line="276" w:lineRule="auto"/>
      </w:pPr>
      <w:r>
        <w:rPr>
          <w:rFonts w:ascii="Arial" w:cs="Arial" w:eastAsia="Arial" w:hAnsi="Arial"/>
          <w:color w:val="2C2C2C"/>
          <w:sz w:val="22"/>
          <w:szCs w:val="22"/>
        </w:rPr>
        <w:t xml:space="preserve">OpenView Partners. (2024). SaaS Benchmarks Report. [Median annual upfront conversion rate of 35% for bottom-up SaaS; NRR median 108%, best-in-class 118%+ for developer tools. Referenced in Sections 3.3 and 9.]</w:t>
      </w:r>
    </w:p>
    <w:p>
      <w:pPr>
        <w:spacing w:before="0" w:after="200" w:line="276" w:lineRule="auto"/>
      </w:pPr>
      <w:r>
        <w:rPr>
          <w:rFonts w:ascii="Arial" w:cs="Arial" w:eastAsia="Arial" w:hAnsi="Arial"/>
          <w:color w:val="2C2C2C"/>
          <w:sz w:val="22"/>
          <w:szCs w:val="22"/>
        </w:rPr>
        <w:t xml:space="preserve">Paddle. (2025). Developer Tools Pricing Report. [32% median annual conversion within 60 days for tools under $20/month; 28% median 14-day trial conversion for $10-$20/month tools. Referenced in Sections 3.3 and 9.]</w:t>
      </w:r>
    </w:p>
    <w:p>
      <w:pPr>
        <w:spacing w:before="80" w:after="0"/>
      </w:pPr>
    </w:p>
    <w:p>
      <w:pPr>
        <w:spacing w:before="0" w:after="200" w:line="276" w:lineRule="auto"/>
      </w:pPr>
      <w:r>
        <w:rPr>
          <w:rFonts w:ascii="Arial" w:cs="Arial" w:eastAsia="Arial" w:hAnsi="Arial"/>
          <w:color w:val="2C2C2C"/>
          <w:sz w:val="22"/>
          <w:szCs w:val="22"/>
        </w:rPr>
        <w:t xml:space="preserve">Stripe, Inc. (2026). Stripe Billing documentation. stripe.com/docs/billing. [Stripe Connect, recurring price objects, and usage-based billing implementation referenced in Section 11.]</w:t>
      </w:r>
    </w:p>
    <w:p>
      <w:pPr>
        <w:spacing w:before="0" w:after="200" w:line="276" w:lineRule="auto"/>
      </w:pPr>
      <w:r>
        <w:rPr>
          <w:rFonts w:ascii="Arial" w:cs="Arial" w:eastAsia="Arial" w:hAnsi="Arial"/>
          <w:color w:val="2C2C2C"/>
          <w:sz w:val="22"/>
          <w:szCs w:val="22"/>
        </w:rPr>
        <w:t xml:space="preserve">American Institute of CPAs. (2022). Trust Services Criteria for Security, Availability, Processing Integrity, Confidentiality, and Privacy. AICPA. [SOC 2 compliance package referenced in Section 6.1.]</w:t>
      </w:r>
    </w:p>
    <w:p>
      <w:pPr>
        <w:spacing w:before="80" w:after="0"/>
      </w:pPr>
    </w:p>
    <w:p>
      <w:pPr>
        <w:spacing w:before="0" w:after="200" w:line="276" w:lineRule="auto"/>
      </w:pPr>
      <w:r>
        <w:rPr>
          <w:rFonts w:ascii="Arial" w:cs="Arial" w:eastAsia="Arial" w:hAnsi="Arial"/>
          <w:color w:val="2C2C2C"/>
          <w:sz w:val="22"/>
          <w:szCs w:val="22"/>
        </w:rPr>
        <w:t xml:space="preserve">All pricing figures, commission rates, and commercial structures described in this paper are original contributions of the author representing strategic pricing intent. Competitor pricing figures are verified as of March 2026 and subject to change.</w:t>
      </w:r>
    </w:p>
    <w:p>
      <w:pPr>
        <w:spacing w:before="0" w:after="200" w:line="276" w:lineRule="auto"/>
      </w:pPr>
      <w:r>
        <w:rPr>
          <w:rFonts w:ascii="Arial" w:hAnsi="Arial"/>
          <w:color w:val="2C2C2C"/>
          <w:sz w:val="22"/>
        </w:rPr>
        <w:t xml:space="preserve">GitHub. (2026). GitHub Copilot plans and pricing. github.com/features/copilot/plans. [Copilot Free (2,000 completions/month), Pro ($10/month), Pro+ ($39/month), Business ($19/user/month), Enterprise ($39/user/month). Copilot Free launched December 18, 2024. Referenced in Sections 2.2 and competitive note.]</w:t>
      </w:r>
    </w:p>
    <w:p>
      <w:pPr>
        <w:spacing w:before="0" w:after="200" w:line="276" w:lineRule="auto"/>
      </w:pPr>
      <w:r>
        <w:rPr>
          <w:rFonts w:ascii="Arial" w:hAnsi="Arial"/>
          <w:color w:val="2C2C2C"/>
          <w:sz w:val="22"/>
        </w:rPr>
        <w:t xml:space="preserve">Linear. (2026). Pricing. linear.app/pricing. [Free, Basic $10/user/month billed annually, Business $16/user/month, Enterprise custom. Corrected from v1.1 which stated $8/user/month Plus tier. Referenced in Section 2.2.]</w:t>
      </w:r>
    </w:p>
    <w:p>
      <w:pPr>
        <w:spacing w:before="0" w:after="200" w:line="276" w:lineRule="auto"/>
      </w:pPr>
      <w:r>
        <w:rPr>
          <w:rFonts w:ascii="Arial" w:hAnsi="Arial"/>
          <w:color w:val="2C2C2C"/>
          <w:sz w:val="22"/>
        </w:rPr>
        <w:t xml:space="preserve">LangChain Inc. (2026). LangSmith pricing. langchain.com/pricing. [Developer tier free ($0/seat/month); Plus $39/seat/month; Enterprise custom. Corrected from v1.1 which stated Developer at $49. Referenced in Section 2.2.]</w:t>
      </w:r>
    </w:p>
    <w:p>
      <w:pPr>
        <w:spacing w:before="0" w:after="200" w:line="276" w:lineRule="auto"/>
      </w:pPr>
      <w:r>
        <w:rPr>
          <w:rFonts w:ascii="Arial" w:hAnsi="Arial"/>
          <w:color w:val="2C2C2C"/>
          <w:sz w:val="22"/>
        </w:rPr>
        <w:t xml:space="preserve">Weights and Biases. (2026). Pricing. wandb.ai/site/pricing. [Free, Pro starting $60/month; tier renamed from Teams to Pro following CoreWeave acquisition May 2025. Corrected from v1.1 which stated Teams at $49/user/month. Referenced in Section 2.2.]</w:t>
      </w:r>
    </w:p>
    <w:p>
      <w:pPr>
        <w:spacing w:before="0" w:after="200" w:line="276" w:lineRule="auto"/>
      </w:pPr>
      <w:r>
        <w:rPr>
          <w:rFonts w:ascii="Arial" w:hAnsi="Arial"/>
          <w:color w:val="2C2C2C"/>
          <w:sz w:val="22"/>
        </w:rPr>
        <w:t xml:space="preserve">GitLab. (2026). GitLab Credits and usage billing. docs.gitlab.com. [Organization-level credit pool model for Duo Agent Platform. Referenced in Section 4.5.]</w:t>
      </w:r>
    </w:p>
    <w:p>
      <w:pPr>
        <w:spacing w:before="0" w:after="200" w:line="276" w:lineRule="auto"/>
      </w:pPr>
      <w:r>
        <w:rPr>
          <w:rFonts w:ascii="Arial" w:hAnsi="Arial"/>
          <w:color w:val="2C2C2C"/>
          <w:sz w:val="22"/>
        </w:rPr>
        <w:t xml:space="preserve">Salesforce. (2025). Agentforce Flex Credits announcement. salesforce.com. [Per-action consumption pricing alongside user licenses; departmental spend controls. Referenced in Section 4.5.]</w:t>
      </w:r>
    </w:p>
    <w:p>
      <w:pPr>
        <w:spacing w:before="0" w:after="200" w:line="276" w:lineRule="auto"/>
      </w:pPr>
      <w:r>
        <w:rPr>
          <w:rFonts w:ascii="Arial" w:hAnsi="Arial"/>
          <w:color w:val="2C2C2C"/>
          <w:sz w:val="22"/>
        </w:rPr>
        <w:t xml:space="preserve">European Commission. (2024). Digital Services Act. ec.europa.eu/digital-strategy. [Seller traceability, notice-and-action, transparency obligations for marketplace operators. In force February 17, 2024. Referenced in Section 5.4.]</w:t>
      </w:r>
    </w:p>
    <w:p>
      <w:pPr>
        <w:spacing w:before="0" w:after="200" w:line="276" w:lineRule="auto"/>
      </w:pPr>
      <w:r>
        <w:rPr>
          <w:rFonts w:ascii="Arial" w:hAnsi="Arial"/>
          <w:color w:val="2C2C2C"/>
          <w:sz w:val="22"/>
        </w:rPr>
        <w:t xml:space="preserve">European Commission. (2024). DAC7: Directive 2021/514 on administrative cooperation. ec.europa.eu. [Annual reporting obligations on digital platform operators; seller identity verification and earnings reporting. Effective January 1, 2023; first reporting January 2024. Referenced in Section 5.4.]</w:t>
      </w:r>
    </w:p>
    <w:p>
      <w:pPr>
        <w:spacing w:before="0" w:after="200" w:line="276" w:lineRule="auto"/>
      </w:pPr>
      <w:r>
        <w:rPr>
          <w:rFonts w:ascii="Arial" w:hAnsi="Arial"/>
          <w:color w:val="2C2C2C"/>
          <w:sz w:val="22"/>
        </w:rPr>
        <w:t xml:space="preserve">Metronome. (2025). State of Usage-Based Pricing Report. metronome.com. [85% of software companies have usage-based component; hybrid models show strongest median growth. Referenced in Sections 2.3 and 10.6.]</w:t>
      </w:r>
    </w:p>
    <w:p>
      <w:pPr>
        <w:spacing w:before="0" w:after="200" w:line="276" w:lineRule="auto"/>
      </w:pPr>
      <w:r>
        <w:rPr>
          <w:rFonts w:ascii="Arial" w:hAnsi="Arial"/>
          <w:color w:val="2C2C2C"/>
          <w:sz w:val="22"/>
        </w:rPr>
        <w:t xml:space="preserve">Maxio/Benchmarkit. (2025). SaaS Pricing Trends Report. maxio.com. [77% of largest software companies have usage-based component; hybrid subscription plus usage shows strongest growth; 44% of SaaS companies now charge for AI features. Referenced in Sections 2.3 and 10.6.]</w:t>
      </w:r>
    </w:p>
    <w:p>
      <w:pPr>
        <w:spacing w:before="0" w:after="200" w:line="276" w:lineRule="auto"/>
      </w:pPr>
      <w:r>
        <w:rPr>
          <w:rFonts w:ascii="Arial" w:hAnsi="Arial"/>
          <w:color w:val="2C2C2C"/>
          <w:sz w:val="22"/>
        </w:rPr>
        <w:t xml:space="preserve">First Page Sage. (2025). Free Trial Conversion Rate Benchmarks for SaaS. firstpagesage.com. [Average opt-in free trial conversion 18.2% across 86 companies through Q3 2025. Referenced in Section 9 trial conversion correction.]</w:t>
      </w:r>
    </w:p>
    <w:p>
      <w:pPr>
        <w:spacing w:before="0" w:after="200" w:line="276" w:lineRule="auto"/>
      </w:pPr>
      <w:r>
        <w:rPr>
          <w:rFonts w:ascii="Arial" w:hAnsi="Arial"/>
          <w:color w:val="2C2C2C"/>
          <w:sz w:val="22"/>
        </w:rPr>
        <w:t xml:space="preserve">ChartMogul. (2025). Against the Odds: SaaS Growth Report 2025. chartmogul.com. [AI-native startups 3x more likely to reach $1M ARR in 6 months; annual contract churn benchmarks. Referenced in Sections 3.3 and 9.]</w:t>
      </w:r>
    </w:p>
    <w:p>
      <w:pPr>
        <w:spacing w:before="0" w:after="200" w:line="276" w:lineRule="auto"/>
      </w:pPr>
      <w:r>
        <w:rPr>
          <w:rFonts w:ascii="Arial" w:hAnsi="Arial"/>
          <w:color w:val="2C2C2C"/>
          <w:sz w:val="22"/>
        </w:rPr>
        <w:t xml:space="preserve">FASB. (2016). ASU 2016-08, ASC 606 Revenue from Contracts with Customers: Principal versus Agent Considerations. fasb.org. [Deferred revenue treatment for prepaid credits; breakage recognition under proportional and remote methods. Referenced in Section 4.4.]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r>
    <w:r>
      <w:rPr>
        <w:rFonts w:ascii="Arial" w:cs="Arial" w:eastAsia="Arial" w:hAnsi="Arial"/>
        <w:color w:val="555555"/>
        <w:sz w:val="18"/>
        <w:szCs w:val="18"/>
      </w:rPr>
      <w:instrText xml:space="preserve">PAGE</w:instrText>
    </w:r>
    <w:r>
      <w:rPr>
        <w:rFonts w:ascii="Arial" w:cs="Arial" w:eastAsia="Arial" w:hAnsi="Arial"/>
        <w:color w:val="555555"/>
        <w:sz w:val="18"/>
        <w:szCs w:val="18"/>
      </w:rPr>
      <w:fldChar w:fldCharType="separate"/>
    </w:r>
    <w:r>
      <w:rPr>
        <w:rFonts w:ascii="Arial" w:cs="Arial" w:eastAsia="Arial" w:hAnsi="Arial"/>
        <w:color w:val="555555"/>
        <w:sz w:val="18"/>
        <w:szCs w:val="18"/>
      </w:rPr>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Pricing and Packaging  |  WP-008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2026-03-18T17:04:09.718Z</dcterms:created>
  <dcterms:modified xsi:type="dcterms:W3CDTF">2026-03-18T17:04:09.719Z</dcterms:modified>
</cp:coreProperties>
</file>

<file path=docProps/custom.xml><?xml version="1.0" encoding="utf-8"?>
<Properties xmlns="http://schemas.openxmlformats.org/officeDocument/2006/custom-properties" xmlns:vt="http://schemas.openxmlformats.org/officeDocument/2006/docPropsVTypes"/>
</file>