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200" w:after="0"/>
      </w:pPr>
    </w:p>
    <w:p>
      <w:pPr>
        <w:pBdr>
          <w:bottom w:val="single" w:color="2E75B6" w:sz="6" w:space="1"/>
        </w:pBdr>
        <w:spacing w:before="0" w:after="120"/>
      </w:pPr>
    </w:p>
    <w:p>
      <w:pPr>
        <w:spacing w:before="200" w:after="0"/>
      </w:pPr>
    </w:p>
    <w:p>
      <w:pPr>
        <w:spacing w:before="140" w:after="80"/>
        <w:jc w:val="center"/>
      </w:pPr>
      <w:r>
        <w:rPr>
          <w:rFonts w:ascii="Arial" w:cs="Arial" w:eastAsia="Arial" w:hAnsi="Arial"/>
          <w:b/>
          <w:bCs/>
          <w:color w:val="1B2A4A"/>
          <w:sz w:val="52"/>
          <w:szCs w:val="52"/>
        </w:rPr>
        <w:t xml:space="preserve">Open Infrastructure and AI Toolkit Reference</w:t>
      </w:r>
    </w:p>
    <w:p>
      <w:pPr>
        <w:spacing w:before="60" w:after="40"/>
        <w:jc w:val="center"/>
      </w:pPr>
      <w:r>
        <w:rPr>
          <w:rFonts w:ascii="Arial" w:cs="Arial" w:eastAsia="Arial" w:hAnsi="Arial"/>
          <w:b w:val="false"/>
          <w:bCs w:val="false"/>
          <w:color w:val="1B2A4A"/>
          <w:sz w:val="32"/>
          <w:szCs w:val="32"/>
        </w:rPr>
        <w:t xml:space="preserve">Open-Weight LLMs, MCP Integration, Fine-Tuning, ML Pipelines,</w:t>
      </w:r>
    </w:p>
    <w:p>
      <w:pPr>
        <w:spacing w:before="40" w:after="60"/>
        <w:jc w:val="center"/>
      </w:pPr>
      <w:r>
        <w:rPr>
          <w:rFonts w:ascii="Arial" w:cs="Arial" w:eastAsia="Arial" w:hAnsi="Arial"/>
          <w:b w:val="false"/>
          <w:bCs w:val="false"/>
          <w:color w:val="1B2A4A"/>
          <w:sz w:val="32"/>
          <w:szCs w:val="32"/>
        </w:rPr>
        <w:t xml:space="preserve">RAG Architecture, Agent Frameworks, Inference Backends, and Hosting Strategy</w:t>
      </w:r>
    </w:p>
    <w:p>
      <w:pPr>
        <w:spacing w:before="200" w:after="0"/>
      </w:pPr>
    </w:p>
    <w:p>
      <w:pPr>
        <w:pBdr>
          <w:bottom w:val="single" w:color="2E75B6" w:sz="6" w:space="1"/>
        </w:pBdr>
        <w:spacing w:before="0" w:after="120"/>
      </w:pPr>
    </w:p>
    <w:p>
      <w:pPr>
        <w:spacing w:before="200" w:after="0"/>
      </w:pPr>
    </w:p>
    <w:p>
      <w:pPr>
        <w:spacing w:before="80" w:after="80"/>
        <w:jc w:val="center"/>
      </w:pPr>
      <w:r>
        <w:rPr>
          <w:rFonts w:ascii="Arial" w:cs="Arial" w:eastAsia="Arial" w:hAnsi="Arial"/>
          <w:b w:val="false"/>
          <w:bCs w:val="false"/>
          <w:color w:val="555555"/>
          <w:sz w:val="32"/>
          <w:szCs w:val="32"/>
        </w:rPr>
        <w:t xml:space="preserve">WP-004  |  Version 1.3  |  March 2026</w:t>
      </w:r>
    </w:p>
    <w:p>
      <w:pPr>
        <w:spacing w:before="400" w:after="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400" w:after="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pPr>
        <w:pageBreakBefore/>
        <w:spacing w:before="240" w:after="80" w:line="276" w:lineRule="auto"/>
      </w:pPr>
      <w:r>
        <w:rPr>
          <w:rFonts w:ascii="Arial" w:cs="Arial" w:eastAsia="Arial" w:hAnsi="Arial"/>
          <w:b/>
          <w:bCs/>
          <w:color w:val="1B2A4A"/>
          <w:sz w:val="24"/>
          <w:szCs w:val="24"/>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 This document and the ideas, architectures, protocols, algorithms, and systems described herein constitute original intellectual property of Steven Wazlavek, published under the ContextKeeper organization. 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80" w:line="276" w:lineRule="auto"/>
      </w:pPr>
      <w:r>
        <w:rPr>
          <w:rFonts w:ascii="Arial" w:cs="Arial" w:eastAsia="Arial" w:hAnsi="Arial"/>
          <w:b/>
          <w:bCs/>
          <w:color w:val="1B2A4A"/>
          <w:sz w:val="24"/>
          <w:szCs w:val="24"/>
        </w:rPr>
        <w:t xml:space="preserve">STATEMENT OF ORIGINAL AUTHORSHIP</w:t>
      </w:r>
    </w:p>
    <w:p>
      <w:pPr>
        <w:spacing w:before="0" w:after="200" w:line="276" w:lineRule="auto"/>
      </w:pPr>
      <w:r>
        <w:rPr>
          <w:rFonts w:ascii="Arial" w:cs="Arial" w:eastAsia="Arial" w:hAnsi="Arial"/>
          <w:color w:val="2C2C2C"/>
          <w:sz w:val="22"/>
          <w:szCs w:val="22"/>
        </w:rPr>
        <w:t xml:space="preserve">The concepts, architectures, and systems described in this white paper are the original work of Steven Wazlavek, developed during the design and production engineering of the ContextKeeper platform (contextkeeper.org). Where established academic concepts, algorithms, or methodologies are referenced, they are cited explicitly. All novel combinations, applications, extensions, and system designs presented herein are original contributions. Third-party open-source tools are cited with their respective licenses; all rights remain with their respective authors.</w:t>
      </w:r>
    </w:p>
    <w:p>
      <w:pPr>
        <w:spacing w:before="240" w:after="80" w:line="276" w:lineRule="auto"/>
      </w:pPr>
      <w:r>
        <w:rPr>
          <w:rFonts w:ascii="Arial" w:cs="Arial" w:eastAsia="Arial" w:hAnsi="Arial"/>
          <w:b/>
          <w:bCs/>
          <w:color w:val="1B2A4A"/>
          <w:sz w:val="24"/>
          <w:szCs w:val="24"/>
        </w:rPr>
        <w:t xml:space="preserve">PRIOR ART DECLARATION</w:t>
      </w:r>
    </w:p>
    <w:p>
      <w:pPr>
        <w:spacing w:before="0" w:after="200" w:line="276" w:lineRule="auto"/>
      </w:pPr>
      <w:r>
        <w:rPr>
          <w:rFonts w:ascii="Arial" w:cs="Arial" w:eastAsia="Arial" w:hAnsi="Arial"/>
          <w:color w:val="2C2C2C"/>
          <w:sz w:val="22"/>
          <w:szCs w:val="22"/>
        </w:rPr>
        <w:t xml:space="preserve">This document is dated March 2026 and constitutes a dated record of the described intellectual property. The ContextKeeper platform, its governance protocols, its architectural designs, and its operational methodologies have been under continuous development since March 2026, with version-controlled records maintained in the project repository (github.com/TheRealDataBoss/contextkeeper-site).</w:t>
      </w:r>
    </w:p>
    <w:p>
      <w:pPr>
        <w:spacing w:before="240" w:after="80" w:line="276" w:lineRule="auto"/>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Date</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Changes</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18, 2026</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 publication.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18, 2026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research-verified rebuild. Added Llama 4 Scout/Maverick; new MCP section; agent framework landscape rebuilt with Microsoft Agent Framework RC, Google ADK, and OpenAI Agents SDK; SGLang added as third inference backend; GPU pricing updated to March 2026; Tier 1 model table rebuilt; RAG section updated with Docling as primary; Open WebUI star count updated; MoE glossary entries added.</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2026</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Research validation and targeted corrections. LangGraph license corrected to three-tier structure: library MIT, API server Elastic License 2.0, platform proprietary at $39/seat/month. AutoGen and Semantic Kernel framing corrected from maintenance mode to investment-shift. Microsoft Agent Framework corrected to RC (not RC1); GA target end Q1 2026. OpenAI Agents SDK updated to v0.12.5. Scout VRAM requirement corrected to approximately 65 GB. LeCun January 2026 confirmation added to Llama 4 benchmark controversy. SHA256 normalized to SHA-256 throughout. New sections 2.4, 2.5, 2.6, 5.4, 5.5, 6.2. OWASP Top 10 for Agentic Applications and OWASP MCP Top 10 added. GraphRAG and agentic RAG evidence added. A2A protocol added. vLLM updated to v0.17.1. References expanded to 52 sources.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2026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Combined final draft integrating GPT validation pass. Corrections: ChatGPT MCP adoption date corrected to October 6, 2025 (Apps SDK launch); 97M SDK downloads correctly described as monthly not cumulative; 10,000+ servers correctly described as active public; Kotlin SDK tier corrected to TBD; ToolAnnotations correctly attributed to June 2025 spec not November-only; stdio latency claim de-quantified; open-weight commercial-use caveat added with Llama 4 Community License specifics; vLLM 30.8% throughput improvement correctly attributed to async scheduling plus pipeline parallelism (v0.16.0), not Model Runner V2; SGLang throughput corrected to up to 5x; llama.cpp join framing corrected (ggml.ai team joined HF, not acquisition). Additions: open-weight license gate paragraph in Section 2; MCP adoption arc (tool-connectivity plus interactive UI, OpenAI Apps SDK on MCP, MCP Apps extension) in Section 3.2; zero-trust MCP protocol boundary with OAuth 2.1 PKCE and RFC 8707 token audience validation in Section 3.4; inference backend benchmark KPI framework (TTFT, TPOT, tok/s) in Section 7.2; regulatory convergence paragraph (EU GPAI Code of Practice, NIST AI 600-1, ISO/IEC 42001 live certifications) in Section 12.</w:t>
            </w:r>
          </w:p>
        </w:tc>
      </w:tr>
    </w:tbl>
    <w:p>
      <w:pPr>
        <w:pStyle w:val="Heading1"/>
        <w:pageBreakBefore/>
        <w:spacing w:before="360" w:after="120" w:line="276" w:lineRule="auto"/>
      </w:pPr>
      <w:r>
        <w:rPr>
          <w:rFonts w:ascii="Arial" w:cs="Arial" w:eastAsia="Arial" w:hAnsi="Arial"/>
          <w:b/>
          <w:bCs/>
          <w:color w:val="1B2A4A"/>
          <w:sz w:val="36"/>
          <w:szCs w:val="36"/>
        </w:rPr>
        <w:t xml:space="preserve">Table of Contents</w:t>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Open-Weight Base LLMs ..... 6</w:t>
      </w:r>
    </w:p>
    <w:p>
      <w:pPr>
        <w:spacing w:before="0" w:after="200" w:line="276" w:lineRule="auto"/>
      </w:pPr>
      <w:r>
        <w:rPr>
          <w:rFonts w:ascii="Arial" w:cs="Arial" w:eastAsia="Arial" w:hAnsi="Arial"/>
          <w:color w:val="2C2C2C"/>
          <w:sz w:val="22"/>
          <w:szCs w:val="22"/>
        </w:rPr>
        <w:t xml:space="preserve">   2.1 Tier 1: Flagship Models (March 2026) ..... 6</w:t>
      </w:r>
    </w:p>
    <w:p>
      <w:pPr>
        <w:spacing w:before="0" w:after="200" w:line="276" w:lineRule="auto"/>
      </w:pPr>
      <w:r>
        <w:rPr>
          <w:rFonts w:ascii="Arial" w:cs="Arial" w:eastAsia="Arial" w:hAnsi="Arial"/>
          <w:color w:val="2C2C2C"/>
          <w:sz w:val="22"/>
          <w:szCs w:val="22"/>
        </w:rPr>
        <w:t xml:space="preserve">   2.2 Tier 2: Specialized and Edge Models ..... 10</w:t>
      </w:r>
    </w:p>
    <w:p>
      <w:pPr>
        <w:spacing w:before="0" w:after="200" w:line="276" w:lineRule="auto"/>
      </w:pPr>
      <w:r>
        <w:rPr>
          <w:rFonts w:ascii="Arial" w:cs="Arial" w:eastAsia="Arial" w:hAnsi="Arial"/>
          <w:color w:val="2C2C2C"/>
          <w:sz w:val="22"/>
          <w:szCs w:val="22"/>
        </w:rPr>
        <w:t xml:space="preserve">   2.3 Fine-Tuning for Domain Specialization ..... 11</w:t>
      </w:r>
    </w:p>
    <w:p>
      <w:pPr>
        <w:spacing w:before="0" w:after="200" w:line="276" w:lineRule="auto"/>
      </w:pPr>
      <w:r>
        <w:rPr>
          <w:rFonts w:ascii="Arial" w:cs="Arial" w:eastAsia="Arial" w:hAnsi="Arial"/>
          <w:color w:val="2C2C2C"/>
          <w:sz w:val="22"/>
          <w:szCs w:val="22"/>
        </w:rPr>
        <w:t xml:space="preserve">   2.4 Post-Llama 4 Model Landscape Update ..... 13</w:t>
      </w:r>
    </w:p>
    <w:p>
      <w:pPr>
        <w:spacing w:before="0" w:after="200" w:line="276" w:lineRule="auto"/>
      </w:pPr>
      <w:r>
        <w:rPr>
          <w:rFonts w:ascii="Arial" w:cs="Arial" w:eastAsia="Arial" w:hAnsi="Arial"/>
          <w:color w:val="2C2C2C"/>
          <w:sz w:val="22"/>
          <w:szCs w:val="22"/>
        </w:rPr>
        <w:t xml:space="preserve">   2.5 Open-Weight SE Benchmarks ..... 14</w:t>
      </w:r>
    </w:p>
    <w:p>
      <w:pPr>
        <w:spacing w:before="0" w:after="200" w:line="276" w:lineRule="auto"/>
      </w:pPr>
      <w:r>
        <w:rPr>
          <w:rFonts w:ascii="Arial" w:cs="Arial" w:eastAsia="Arial" w:hAnsi="Arial"/>
          <w:color w:val="2C2C2C"/>
          <w:sz w:val="22"/>
          <w:szCs w:val="22"/>
        </w:rPr>
        <w:t xml:space="preserve">   2.6 Research Context and Evidence Base ..... 15</w:t>
      </w:r>
    </w:p>
    <w:p>
      <w:pPr>
        <w:spacing w:before="0" w:after="200" w:line="276" w:lineRule="auto"/>
      </w:pPr>
      <w:r>
        <w:rPr>
          <w:rFonts w:ascii="Arial" w:cs="Arial" w:eastAsia="Arial" w:hAnsi="Arial"/>
          <w:color w:val="2C2C2C"/>
          <w:sz w:val="22"/>
          <w:szCs w:val="22"/>
        </w:rPr>
        <w:t xml:space="preserve">3. Model Context Protocol ..... 17</w:t>
      </w:r>
    </w:p>
    <w:p>
      <w:pPr>
        <w:spacing w:before="0" w:after="200" w:line="276" w:lineRule="auto"/>
      </w:pPr>
      <w:r>
        <w:rPr>
          <w:rFonts w:ascii="Arial" w:cs="Arial" w:eastAsia="Arial" w:hAnsi="Arial"/>
          <w:color w:val="2C2C2C"/>
          <w:sz w:val="22"/>
          <w:szCs w:val="22"/>
        </w:rPr>
        <w:t xml:space="preserve">   3.1 Protocol Architecture and Specification ..... 17</w:t>
      </w:r>
    </w:p>
    <w:p>
      <w:pPr>
        <w:spacing w:before="0" w:after="200" w:line="276" w:lineRule="auto"/>
      </w:pPr>
      <w:r>
        <w:rPr>
          <w:rFonts w:ascii="Arial" w:cs="Arial" w:eastAsia="Arial" w:hAnsi="Arial"/>
          <w:color w:val="2C2C2C"/>
          <w:sz w:val="22"/>
          <w:szCs w:val="22"/>
        </w:rPr>
        <w:t xml:space="preserve">   3.2 SDK Ecosystem and Server Registry ..... 19</w:t>
      </w:r>
    </w:p>
    <w:p>
      <w:pPr>
        <w:spacing w:before="0" w:after="200" w:line="276" w:lineRule="auto"/>
      </w:pPr>
      <w:r>
        <w:rPr>
          <w:rFonts w:ascii="Arial" w:cs="Arial" w:eastAsia="Arial" w:hAnsi="Arial"/>
          <w:color w:val="2C2C2C"/>
          <w:sz w:val="22"/>
          <w:szCs w:val="22"/>
        </w:rPr>
        <w:t xml:space="preserve">   3.3 MCP in Local Inference Engines ..... 20</w:t>
      </w:r>
    </w:p>
    <w:p>
      <w:pPr>
        <w:spacing w:before="0" w:after="200" w:line="276" w:lineRule="auto"/>
      </w:pPr>
      <w:r>
        <w:rPr>
          <w:rFonts w:ascii="Arial" w:cs="Arial" w:eastAsia="Arial" w:hAnsi="Arial"/>
          <w:color w:val="2C2C2C"/>
          <w:sz w:val="22"/>
          <w:szCs w:val="22"/>
        </w:rPr>
        <w:t xml:space="preserve">   3.4 MCP Security Considerations ..... 21</w:t>
      </w:r>
    </w:p>
    <w:p>
      <w:pPr>
        <w:spacing w:before="0" w:after="200" w:line="276" w:lineRule="auto"/>
      </w:pPr>
      <w:r>
        <w:rPr>
          <w:rFonts w:ascii="Arial" w:cs="Arial" w:eastAsia="Arial" w:hAnsi="Arial"/>
          <w:color w:val="2C2C2C"/>
          <w:sz w:val="22"/>
          <w:szCs w:val="22"/>
        </w:rPr>
        <w:t xml:space="preserve">   3.5 ContextKeeper MCP Integration Strategy ..... 23</w:t>
      </w:r>
    </w:p>
    <w:p>
      <w:pPr>
        <w:spacing w:before="0" w:after="200" w:line="276" w:lineRule="auto"/>
      </w:pPr>
      <w:r>
        <w:rPr>
          <w:rFonts w:ascii="Arial" w:cs="Arial" w:eastAsia="Arial" w:hAnsi="Arial"/>
          <w:color w:val="2C2C2C"/>
          <w:sz w:val="22"/>
          <w:szCs w:val="22"/>
        </w:rPr>
        <w:t xml:space="preserve">4. ML Pipeline Tooling ..... 24</w:t>
      </w:r>
    </w:p>
    <w:p>
      <w:pPr>
        <w:spacing w:before="0" w:after="200" w:line="276" w:lineRule="auto"/>
      </w:pPr>
      <w:r>
        <w:rPr>
          <w:rFonts w:ascii="Arial" w:cs="Arial" w:eastAsia="Arial" w:hAnsi="Arial"/>
          <w:color w:val="2C2C2C"/>
          <w:sz w:val="22"/>
          <w:szCs w:val="22"/>
        </w:rPr>
        <w:t xml:space="preserve">   4.1 Core Frameworks and Experiment Tracking ..... 25</w:t>
      </w:r>
    </w:p>
    <w:p>
      <w:pPr>
        <w:spacing w:before="0" w:after="200" w:line="276" w:lineRule="auto"/>
      </w:pPr>
      <w:r>
        <w:rPr>
          <w:rFonts w:ascii="Arial" w:cs="Arial" w:eastAsia="Arial" w:hAnsi="Arial"/>
          <w:color w:val="2C2C2C"/>
          <w:sz w:val="22"/>
          <w:szCs w:val="22"/>
        </w:rPr>
        <w:t xml:space="preserve">   4.2 Pipeline Orchestration and Data Processing ..... 26</w:t>
      </w:r>
    </w:p>
    <w:p>
      <w:pPr>
        <w:spacing w:before="0" w:after="200" w:line="276" w:lineRule="auto"/>
      </w:pPr>
      <w:r>
        <w:rPr>
          <w:rFonts w:ascii="Arial" w:cs="Arial" w:eastAsia="Arial" w:hAnsi="Arial"/>
          <w:color w:val="2C2C2C"/>
          <w:sz w:val="22"/>
          <w:szCs w:val="22"/>
        </w:rPr>
        <w:t xml:space="preserve">5. RAG Architecture ..... 27</w:t>
      </w:r>
    </w:p>
    <w:p>
      <w:pPr>
        <w:spacing w:before="0" w:after="200" w:line="276" w:lineRule="auto"/>
      </w:pPr>
      <w:r>
        <w:rPr>
          <w:rFonts w:ascii="Arial" w:cs="Arial" w:eastAsia="Arial" w:hAnsi="Arial"/>
          <w:color w:val="2C2C2C"/>
          <w:sz w:val="22"/>
          <w:szCs w:val="22"/>
        </w:rPr>
        <w:t xml:space="preserve">   5.1 RAG Frameworks ..... 27</w:t>
      </w:r>
    </w:p>
    <w:p>
      <w:pPr>
        <w:spacing w:before="0" w:after="200" w:line="276" w:lineRule="auto"/>
      </w:pPr>
      <w:r>
        <w:rPr>
          <w:rFonts w:ascii="Arial" w:cs="Arial" w:eastAsia="Arial" w:hAnsi="Arial"/>
          <w:color w:val="2C2C2C"/>
          <w:sz w:val="22"/>
          <w:szCs w:val="22"/>
        </w:rPr>
        <w:t xml:space="preserve">   5.2 Vector Databases ..... 28</w:t>
      </w:r>
    </w:p>
    <w:p>
      <w:pPr>
        <w:spacing w:before="0" w:after="200" w:line="276" w:lineRule="auto"/>
      </w:pPr>
      <w:r>
        <w:rPr>
          <w:rFonts w:ascii="Arial" w:cs="Arial" w:eastAsia="Arial" w:hAnsi="Arial"/>
          <w:color w:val="2C2C2C"/>
          <w:sz w:val="22"/>
          <w:szCs w:val="22"/>
        </w:rPr>
        <w:t xml:space="preserve">   5.3 Document Processing for RAG ..... 30</w:t>
      </w:r>
    </w:p>
    <w:p>
      <w:pPr>
        <w:spacing w:before="0" w:after="200" w:line="276" w:lineRule="auto"/>
      </w:pPr>
      <w:r>
        <w:rPr>
          <w:rFonts w:ascii="Arial" w:cs="Arial" w:eastAsia="Arial" w:hAnsi="Arial"/>
          <w:color w:val="2C2C2C"/>
          <w:sz w:val="22"/>
          <w:szCs w:val="22"/>
        </w:rPr>
        <w:t xml:space="preserve">   5.4 GraphRAG vs Standard RAG ..... 31</w:t>
      </w:r>
    </w:p>
    <w:p>
      <w:pPr>
        <w:spacing w:before="0" w:after="200" w:line="276" w:lineRule="auto"/>
      </w:pPr>
      <w:r>
        <w:rPr>
          <w:rFonts w:ascii="Arial" w:cs="Arial" w:eastAsia="Arial" w:hAnsi="Arial"/>
          <w:color w:val="2C2C2C"/>
          <w:sz w:val="22"/>
          <w:szCs w:val="22"/>
        </w:rPr>
        <w:t xml:space="preserve">   5.5 Agentic RAG ..... 32</w:t>
      </w:r>
    </w:p>
    <w:p>
      <w:pPr>
        <w:spacing w:before="0" w:after="200" w:line="276" w:lineRule="auto"/>
      </w:pPr>
      <w:r>
        <w:rPr>
          <w:rFonts w:ascii="Arial" w:cs="Arial" w:eastAsia="Arial" w:hAnsi="Arial"/>
          <w:color w:val="2C2C2C"/>
          <w:sz w:val="22"/>
          <w:szCs w:val="22"/>
        </w:rPr>
        <w:t xml:space="preserve">   5.6 ContextKeeper RAG Integration ..... 33</w:t>
      </w:r>
    </w:p>
    <w:p>
      <w:pPr>
        <w:spacing w:before="0" w:after="200" w:line="276" w:lineRule="auto"/>
      </w:pPr>
      <w:r>
        <w:rPr>
          <w:rFonts w:ascii="Arial" w:cs="Arial" w:eastAsia="Arial" w:hAnsi="Arial"/>
          <w:color w:val="2C2C2C"/>
          <w:sz w:val="22"/>
          <w:szCs w:val="22"/>
        </w:rPr>
        <w:t xml:space="preserve">6. Agent Frameworks ..... 34</w:t>
      </w:r>
    </w:p>
    <w:p>
      <w:pPr>
        <w:spacing w:before="0" w:after="200" w:line="276" w:lineRule="auto"/>
      </w:pPr>
      <w:r>
        <w:rPr>
          <w:rFonts w:ascii="Arial" w:cs="Arial" w:eastAsia="Arial" w:hAnsi="Arial"/>
          <w:color w:val="2C2C2C"/>
          <w:sz w:val="22"/>
          <w:szCs w:val="22"/>
        </w:rPr>
        <w:t xml:space="preserve">   6.1 General Agent Frameworks ..... 34</w:t>
      </w:r>
    </w:p>
    <w:p>
      <w:pPr>
        <w:spacing w:before="0" w:after="200" w:line="276" w:lineRule="auto"/>
      </w:pPr>
      <w:r>
        <w:rPr>
          <w:rFonts w:ascii="Arial" w:cs="Arial" w:eastAsia="Arial" w:hAnsi="Arial"/>
          <w:color w:val="2C2C2C"/>
          <w:sz w:val="22"/>
          <w:szCs w:val="22"/>
        </w:rPr>
        <w:t xml:space="preserve">   6.2 Inter-Agent Communication: A2A Protocol ..... 37</w:t>
      </w:r>
    </w:p>
    <w:p>
      <w:pPr>
        <w:spacing w:before="0" w:after="200" w:line="276" w:lineRule="auto"/>
      </w:pPr>
      <w:r>
        <w:rPr>
          <w:rFonts w:ascii="Arial" w:cs="Arial" w:eastAsia="Arial" w:hAnsi="Arial"/>
          <w:color w:val="2C2C2C"/>
          <w:sz w:val="22"/>
          <w:szCs w:val="22"/>
        </w:rPr>
        <w:t xml:space="preserve">   6.3 The Governance Differentiator ..... 38</w:t>
      </w:r>
    </w:p>
    <w:p>
      <w:pPr>
        <w:spacing w:before="0" w:after="200" w:line="276" w:lineRule="auto"/>
      </w:pPr>
      <w:r>
        <w:rPr>
          <w:rFonts w:ascii="Arial" w:cs="Arial" w:eastAsia="Arial" w:hAnsi="Arial"/>
          <w:color w:val="2C2C2C"/>
          <w:sz w:val="22"/>
          <w:szCs w:val="22"/>
        </w:rPr>
        <w:t xml:space="preserve">7. Chat UI and Inference Backend Reference ..... 40</w:t>
      </w:r>
    </w:p>
    <w:p>
      <w:pPr>
        <w:spacing w:before="0" w:after="200" w:line="276" w:lineRule="auto"/>
      </w:pPr>
      <w:r>
        <w:rPr>
          <w:rFonts w:ascii="Arial" w:cs="Arial" w:eastAsia="Arial" w:hAnsi="Arial"/>
          <w:color w:val="2C2C2C"/>
          <w:sz w:val="22"/>
          <w:szCs w:val="22"/>
        </w:rPr>
        <w:t xml:space="preserve">   7.1 Open-Source Chat UI Options ..... 40</w:t>
      </w:r>
    </w:p>
    <w:p>
      <w:pPr>
        <w:spacing w:before="0" w:after="200" w:line="276" w:lineRule="auto"/>
      </w:pPr>
      <w:r>
        <w:rPr>
          <w:rFonts w:ascii="Arial" w:cs="Arial" w:eastAsia="Arial" w:hAnsi="Arial"/>
          <w:color w:val="2C2C2C"/>
          <w:sz w:val="22"/>
          <w:szCs w:val="22"/>
        </w:rPr>
        <w:t xml:space="preserve">   7.2 LLM Inference Backends ..... 42</w:t>
      </w:r>
    </w:p>
    <w:p>
      <w:pPr>
        <w:spacing w:before="0" w:after="200" w:line="276" w:lineRule="auto"/>
      </w:pPr>
      <w:r>
        <w:rPr>
          <w:rFonts w:ascii="Arial" w:cs="Arial" w:eastAsia="Arial" w:hAnsi="Arial"/>
          <w:color w:val="2C2C2C"/>
          <w:sz w:val="22"/>
          <w:szCs w:val="22"/>
        </w:rPr>
        <w:t xml:space="preserve">8. Hosting Options and Scaling Path ..... 44</w:t>
      </w:r>
    </w:p>
    <w:p>
      <w:pPr>
        <w:spacing w:before="0" w:after="200" w:line="276" w:lineRule="auto"/>
      </w:pPr>
      <w:r>
        <w:rPr>
          <w:rFonts w:ascii="Arial" w:cs="Arial" w:eastAsia="Arial" w:hAnsi="Arial"/>
          <w:color w:val="2C2C2C"/>
          <w:sz w:val="22"/>
          <w:szCs w:val="22"/>
        </w:rPr>
        <w:t xml:space="preserve">   8.1 BYOK: Zero Infrastructure Start ..... 44</w:t>
      </w:r>
    </w:p>
    <w:p>
      <w:pPr>
        <w:spacing w:before="0" w:after="200" w:line="276" w:lineRule="auto"/>
      </w:pPr>
      <w:r>
        <w:rPr>
          <w:rFonts w:ascii="Arial" w:cs="Arial" w:eastAsia="Arial" w:hAnsi="Arial"/>
          <w:color w:val="2C2C2C"/>
          <w:sz w:val="22"/>
          <w:szCs w:val="22"/>
        </w:rPr>
        <w:t xml:space="preserve">   8.2 Managed API Options ..... 45</w:t>
      </w:r>
    </w:p>
    <w:p>
      <w:pPr>
        <w:spacing w:before="0" w:after="200" w:line="276" w:lineRule="auto"/>
      </w:pPr>
      <w:r>
        <w:rPr>
          <w:rFonts w:ascii="Arial" w:cs="Arial" w:eastAsia="Arial" w:hAnsi="Arial"/>
          <w:color w:val="2C2C2C"/>
          <w:sz w:val="22"/>
          <w:szCs w:val="22"/>
        </w:rPr>
        <w:t xml:space="preserve">   8.3 Dedicated GPU: Phase 3 Scaling ..... 45</w:t>
      </w:r>
    </w:p>
    <w:p>
      <w:pPr>
        <w:spacing w:before="0" w:after="200" w:line="276" w:lineRule="auto"/>
      </w:pPr>
      <w:r>
        <w:rPr>
          <w:rFonts w:ascii="Arial" w:cs="Arial" w:eastAsia="Arial" w:hAnsi="Arial"/>
          <w:color w:val="2C2C2C"/>
          <w:sz w:val="22"/>
          <w:szCs w:val="22"/>
        </w:rPr>
        <w:t xml:space="preserve">   8.4 Hosting Option Comparison ..... 46</w:t>
      </w:r>
    </w:p>
    <w:p>
      <w:pPr>
        <w:spacing w:before="0" w:after="200" w:line="276" w:lineRule="auto"/>
      </w:pPr>
      <w:r>
        <w:rPr>
          <w:rFonts w:ascii="Arial" w:cs="Arial" w:eastAsia="Arial" w:hAnsi="Arial"/>
          <w:color w:val="2C2C2C"/>
          <w:sz w:val="22"/>
          <w:szCs w:val="22"/>
        </w:rPr>
        <w:t xml:space="preserve">9. The Complete Free Stack ..... 47</w:t>
      </w:r>
    </w:p>
    <w:p>
      <w:pPr>
        <w:spacing w:before="0" w:after="200" w:line="276" w:lineRule="auto"/>
      </w:pPr>
      <w:r>
        <w:rPr>
          <w:rFonts w:ascii="Arial" w:cs="Arial" w:eastAsia="Arial" w:hAnsi="Arial"/>
          <w:color w:val="2C2C2C"/>
          <w:sz w:val="22"/>
          <w:szCs w:val="22"/>
        </w:rPr>
        <w:t xml:space="preserve">10. AI Platform Build Sequence ..... 49</w:t>
      </w:r>
    </w:p>
    <w:p>
      <w:pPr>
        <w:spacing w:before="0" w:after="200" w:line="276" w:lineRule="auto"/>
      </w:pPr>
      <w:r>
        <w:rPr>
          <w:rFonts w:ascii="Arial" w:cs="Arial" w:eastAsia="Arial" w:hAnsi="Arial"/>
          <w:color w:val="2C2C2C"/>
          <w:sz w:val="22"/>
          <w:szCs w:val="22"/>
        </w:rPr>
        <w:t xml:space="preserve">11. Integration Points ..... 51</w:t>
      </w:r>
    </w:p>
    <w:p>
      <w:pPr>
        <w:spacing w:before="0" w:after="200" w:line="276" w:lineRule="auto"/>
      </w:pPr>
      <w:r>
        <w:rPr>
          <w:rFonts w:ascii="Arial" w:cs="Arial" w:eastAsia="Arial" w:hAnsi="Arial"/>
          <w:color w:val="2C2C2C"/>
          <w:sz w:val="22"/>
          <w:szCs w:val="22"/>
        </w:rPr>
        <w:t xml:space="preserve">12. Conclusion ..... 53</w:t>
      </w:r>
    </w:p>
    <w:p>
      <w:pPr>
        <w:spacing w:before="0" w:after="200" w:line="276" w:lineRule="auto"/>
      </w:pPr>
      <w:r>
        <w:rPr>
          <w:rFonts w:ascii="Arial" w:cs="Arial" w:eastAsia="Arial" w:hAnsi="Arial"/>
          <w:color w:val="2C2C2C"/>
          <w:sz w:val="22"/>
          <w:szCs w:val="22"/>
        </w:rPr>
        <w:t xml:space="preserve">Appendix A. Glossary ..... 55</w:t>
      </w:r>
    </w:p>
    <w:p>
      <w:pPr>
        <w:spacing w:before="0" w:after="200" w:line="276" w:lineRule="auto"/>
      </w:pPr>
      <w:r>
        <w:rPr>
          <w:rFonts w:ascii="Arial" w:cs="Arial" w:eastAsia="Arial" w:hAnsi="Arial"/>
          <w:color w:val="2C2C2C"/>
          <w:sz w:val="22"/>
          <w:szCs w:val="22"/>
        </w:rPr>
        <w:t xml:space="preserve">References ..... 61</w:t>
      </w:r>
    </w:p>
    <w:p>
      <w:pPr>
        <w:pStyle w:val="Heading1"/>
        <w:pageBreakBefore/>
        <w:spacing w:before="360" w:after="120" w:line="276" w:lineRule="auto"/>
      </w:pPr>
      <w:r>
        <w:rPr>
          <w:rFonts w:ascii="Arial" w:cs="Arial" w:eastAsia="Arial" w:hAnsi="Arial"/>
          <w:b/>
          <w:bCs/>
          <w:color w:val="1B2A4A"/>
          <w:sz w:val="36"/>
          <w:szCs w:val="36"/>
        </w:rPr>
        <w:t xml:space="preserve">1. Executive Summary</w:t>
      </w:r>
    </w:p>
    <w:p>
      <w:pPr>
        <w:spacing w:before="0" w:after="200" w:line="276" w:lineRule="auto"/>
      </w:pPr>
      <w:r>
        <w:rPr>
          <w:rFonts w:ascii="Arial" w:cs="Arial" w:eastAsia="Arial" w:hAnsi="Arial"/>
          <w:color w:val="2C2C2C"/>
          <w:sz w:val="22"/>
          <w:szCs w:val="22"/>
        </w:rPr>
        <w:t xml:space="preserve">We present the open infrastructure and AI toolkit reference for the ContextKeeper platform, updated to reflect the state of the ecosystem as of March 2026. This is a complete, zero-licensing-cost technology stack covering open-weight language models, fine-tuning tooling, the Model Context Protocol (MCP), ML pipeline infrastructure, retrieval-augmented generation (RAG) architecture, vector databases, agent frameworks, inference backends, chat UI options, and hosting strategy. Every open-source component in this stack carries zero licensing cost. The only variable costs are hosting infrastructure and GPU compute, both of which follow a phased strategy that defers significant expenditure until usage volume justifies it.</w:t>
      </w:r>
    </w:p>
    <w:p>
      <w:pPr>
        <w:spacing w:before="0" w:after="200" w:line="276" w:lineRule="auto"/>
      </w:pPr>
      <w:r>
        <w:rPr>
          <w:rFonts w:ascii="Arial" w:cs="Arial" w:eastAsia="Arial" w:hAnsi="Arial"/>
          <w:color w:val="2C2C2C"/>
          <w:sz w:val="22"/>
          <w:szCs w:val="22"/>
        </w:rPr>
        <w:t xml:space="preserve">Since the original drafting of this document, six structural shifts have reshaped the open AI ecosystem. First, Mixture-of-Experts (MoE) has become the dominant architecture: Meta Llama 4, Mistral Large 3, Qwen 3, DeepSeek-R1, and OpenAI GPT-OSS all use sparse MoE, achieving frontier capability while activating only a fraction of parameters per token. Second, MCP has become foundational open infrastructure: donated to the Linux Foundation in December 2025, supported by every major IDE and AI client, with 97 million SDK downloads and 10,000+ published servers. Third, the Microsoft agent framework landscape converged: AutoGen and Semantic Kernel have had investment shifted to the Microsoft Agent Framework (RC, February 2026). Fourth, GPU cloud pricing collapsed 64-75% from peak, making dedicated inference hosting significantly more accessible. Fifth, the recommended flagship model family has changed: Llama 3.1 70B is superseded by Llama 4 Scout and Maverick for multimodal MoE workloads and by Llama 3.3 70B for dense 70B-class deployment. Sixth, Chinese labs have produced open-weight models reaching near-parity with frontier closed models on software engineering benchmarks: MiniMax M2.5 at 80.2% and Qwen 3.5 at 76.4% on SWE-bench Verified match or exceed Claude Opus 4.6 and GPT-5.4 on that benchmark.</w:t>
      </w:r>
    </w:p>
    <w:p>
      <w:pPr>
        <w:pBdr>
          <w:left w:val="single" w:color="2E75B6" w:sz="6" w:space="8"/>
        </w:pBdr>
        <w:spacing w:before="120" w:after="200"/>
        <w:ind w:left="720"/>
      </w:pPr>
      <w:r>
        <w:rPr>
          <w:rFonts w:ascii="Arial" w:cs="Arial" w:eastAsia="Arial" w:hAnsi="Arial"/>
          <w:i/>
          <w:iCs/>
          <w:color w:val="555555"/>
          <w:sz w:val="22"/>
          <w:szCs w:val="22"/>
        </w:rPr>
        <w:t xml:space="preserve">Every agent framework, every chat UI, and every inference backend in this stack shares the same fundamental gap: no formal governance. An agent hallucinates a tool call, executes it, and the mistake compounds. There is no state machine enforcing valid transitions, no cryptographic verification that outputs match expectations, and no audit trail for compliance. ContextKeeper DEL-v2 governance fills this gap for every framework in this catalog.</w:t>
      </w:r>
    </w:p>
    <w:p>
      <w:pPr>
        <w:spacing w:before="0" w:after="200" w:line="276" w:lineRule="auto"/>
      </w:pPr>
      <w:r>
        <w:rPr>
          <w:rFonts w:ascii="Arial" w:cs="Arial" w:eastAsia="Arial" w:hAnsi="Arial"/>
          <w:color w:val="2C2C2C"/>
          <w:sz w:val="22"/>
          <w:szCs w:val="22"/>
        </w:rPr>
        <w:t xml:space="preserve">The document is structured as follows. Section 2 catalogs open-weight base LLMs by tier, including the post-Llama 4 landscape update and SE benchmark comparisons. Section 3 covers MCP in full with expanded security coverage including the OWASP MCP Top 10. Section 4 covers the ML pipeline stack. Section 5 specifies the RAG architecture with GraphRAG vs standard RAG evidence and agentic RAG performance data. Section 6 covers agent frameworks including the A2A inter-agent communication protocol. Section 7 provides the chat UI and inference backend reference. Section 8 defines the hosting strategy with current GPU pricing. Section 9 presents the complete free stack. Section 10 defines the AI platform build sequence. The central architectural principle remains unchanged: open-source infrastructure eliminates the cost barrier to building a production AI platform; formal governance creates defensible differentiation.</w:t>
      </w:r>
    </w:p>
    <w:p>
      <w:pPr>
        <w:pStyle w:val="Heading1"/>
        <w:pageBreakBefore/>
        <w:spacing w:before="360" w:after="120" w:line="276" w:lineRule="auto"/>
      </w:pPr>
      <w:r>
        <w:rPr>
          <w:rFonts w:ascii="Arial" w:cs="Arial" w:eastAsia="Arial" w:hAnsi="Arial"/>
          <w:b/>
          <w:bCs/>
          <w:color w:val="1B2A4A"/>
          <w:sz w:val="36"/>
          <w:szCs w:val="36"/>
        </w:rPr>
        <w:t xml:space="preserve">2. Open-Weight Base LLMs</w:t>
      </w:r>
    </w:p>
    <w:p>
      <w:pPr>
        <w:spacing w:before="0" w:after="200" w:line="276" w:lineRule="auto"/>
      </w:pPr>
      <w:r>
        <w:rPr>
          <w:rFonts w:ascii="Arial" w:cs="Arial" w:eastAsia="Arial" w:hAnsi="Arial"/>
          <w:color w:val="2C2C2C"/>
          <w:sz w:val="22"/>
          <w:szCs w:val="22"/>
        </w:rPr>
        <w:t xml:space="preserve">Open-weight models are free to download and run locally. Commercial use, redistribution, and deployment terms vary by model license: some are permissive (Apache 2.0 enables straightforward embedding in commercial products), while others impose usage conditions. Model selection in this paper assumes an enterprise workflow that includes an explicit license gate alongside benchmark performance and infrastructure fit, because license friction is now a first-order constraint on production rollout timelines.</w:t>
      </w:r>
    </w:p>
    <w:p>
      <w:pPr>
        <w:spacing w:before="0" w:after="200" w:line="276" w:lineRule="auto"/>
      </w:pPr>
      <w:r>
        <w:rPr>
          <w:rFonts w:ascii="Arial" w:cs="Arial" w:eastAsia="Arial" w:hAnsi="Arial"/>
          <w:color w:val="2C2C2C"/>
          <w:sz w:val="22"/>
          <w:szCs w:val="22"/>
        </w:rPr>
        <w:t xml:space="preserve">The Llama 4 Community License is the most important example of license-conditional commercial use in this catalog. It includes an Acceptable Use Policy and an additional commercial term requiring a separate license request from Meta if the licensee's products or services exceed 700 million monthly active users (measured relative to the Llama 4 release date). For most enterprise deployments this threshold is irrelevant, but the license gate must be acknowledged in any compliance review. In contrast, Mistral Large 3 weights are distributed under Apache 2.0, which typically requires no additional review beyond standard attribution. Operators should evaluate each model's license file directly before production deployment.</w:t>
      </w:r>
    </w:p>
    <w:p>
      <w:pPr>
        <w:spacing w:before="0" w:after="200" w:line="276" w:lineRule="auto"/>
      </w:pPr>
      <w:r>
        <w:rPr>
          <w:rFonts w:ascii="Arial" w:cs="Arial" w:eastAsia="Arial" w:hAnsi="Arial"/>
          <w:color w:val="2C2C2C"/>
          <w:sz w:val="22"/>
          <w:szCs w:val="22"/>
        </w:rPr>
        <w:t xml:space="preserve">These models are the foundational inference layer for every capability in the ContextKeeper toolkit: chat interfaces, agents, RAG pipelines, code generation, and specialized processing. The landscape has undergone a generational shift since v1.0: MoE architecture has become dominant, context windows have expanded to 1M+ tokens, OpenAI released its first open weights since GPT-2, and Chinese labs have produced models that match frontier closed models on software engineering tasks. All models are selected based on demonstrated production quality, licensing clarity, and fitness for the ContextKeeper deployment context.</w:t>
      </w:r>
    </w:p>
    <w:p>
      <w:pPr>
        <w:pStyle w:val="Heading2"/>
        <w:spacing w:before="240" w:after="80" w:line="276" w:lineRule="auto"/>
      </w:pPr>
      <w:r>
        <w:rPr>
          <w:rFonts w:ascii="Arial" w:cs="Arial" w:eastAsia="Arial" w:hAnsi="Arial"/>
          <w:b/>
          <w:bCs/>
          <w:color w:val="2E75B6"/>
          <w:sz w:val="28"/>
          <w:szCs w:val="28"/>
        </w:rPr>
        <w:t xml:space="preserve">2.1 Tier 1: Flagship Models (March 2026)</w:t>
      </w:r>
    </w:p>
    <w:p>
      <w:pPr>
        <w:spacing w:before="0" w:after="200" w:line="276" w:lineRule="auto"/>
      </w:pPr>
      <w:r>
        <w:rPr>
          <w:rFonts w:ascii="Arial" w:cs="Arial" w:eastAsia="Arial" w:hAnsi="Arial"/>
          <w:color w:val="2C2C2C"/>
          <w:sz w:val="22"/>
          <w:szCs w:val="22"/>
        </w:rPr>
        <w:t xml:space="preserve">Table 1 catalogs the recommended Tier 1 models for production use. GPU requirements reflect quantized GGUF serving at Q4_K_M unless noted; full-precision requirements are approximately 2x.</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1400"/>
        <w:gridCol w:w="2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Sizes / Architecture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Best For</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Min GPU (Q4)</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4 Scout (Meta, Apr 2025): RECOMMENDED DEFAULT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17B active / 109B total; 16 experts; iRoPE architecture; natively multimodal; 10M token context claimed, 128K stable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4 Community License (commercial OK, 700M MAU threshold)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General-purpose multimodal inference; recommended default for ContextKeeper platform models</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Approximately 65 GB VRAM: all 109B parameters must load for MoE routing regardless of 17B active count. Minimum: single H100 80GB. Consumer option: dual RTX 4090 with Unsloth extreme quantization (24 GB with quality trade-off).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3.3 70B Instruct (Meta, Dec 2024): RECOMMENDED 70B-class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70B dense; 128K context; surpasses Llama 3.1 405B on instruction following, reasoning, and math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3.3 Community License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Best 70B-class model for local dense deployment; outperforms prior 405B model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Approximately 42 GB VRAM (Q4_K_M); single 48 GB GPU such as A6000 or L40S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Mistral Large 3 (Mistral, Dec 2025)</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675B total / 41B active; MoE; 256K context; multimodal (text and images)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Strongest fully open model outside China; multilingual; enterprise-grade</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Datacenter deployment (approximately 200 GB Q4); not suitable for consumer hardware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Qwen 3 / Qwen 3.5 (Alibaba, Apr 2025 / Feb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0.6B to 235B (Qwen 3); 397B total (Qwen 3.5); MoE and dense variants; hybrid reasoning with thinking/non-thinking mode; 36T training tokens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Coding, math, multilingual; Qwen 3.5 achieves 76.4% SWE-bench Verified, competitive with frontier closed models on SE tasks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Qwen3-4B: 4 GB; Qwen3-32B: 20 GB; 235B MoE: datacenter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Gemma 3 (Google, Mar 2025)</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1B, 4B, 12B, 27B; multimodal at 4B+; 128K context; supersedes Gemma 2</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Gemma Terms of Use (commercial OK)</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Compact, Google-quality outputs; 27B scored ELO 1338 at launch</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4B: 3 GB; 12B: 8 GB; 27B: 16 GB VRAM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Phi-4 family (Microsoft, Dec 2024+)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14B (Phi-4), 3.8B (mini, 128K), 5.6B (multimodal), 14B (reasoning), 15B (reasoning-vision); all MIT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License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Math and reasoning at small scale; Phi-4-reasoning beats o1-mini on AIME 2025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Phi-4: 9 GB; Phi-4-mini: 3 GB; Phi-4-reasoning: 9 GB</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DeepSeek-R1 / R1-0528 (Jan / May 2025)</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671B total / 37B active; 256 routed experts; 128K context; MIT license. Note: hosted API transmits data to China.</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License (weights); self-hosting required for data sovereignty</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Reasoning-heavy workloads; matches OpenAI o1 on AIME 2024; distilled 8B-70B variants available</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model: approximately 336 GB Q4 (4x H100); 8B distill: 5 GB; 32B distill: 20 GB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GPT-OSS-120B / 20B (OpenAI, Aug 2025)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120B: 116.8B total / 5.1B active MoE; 128K; runs on single H100. 20B: 20.9B total / 3.6B active; 16 GB RAM. Both Apache 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 first open weights since GPT-2; GPT-OSS-120B matches o4-mini on coding; 20B runs on consumer hardware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120B: approximately 61 GB VRAM (MXFP4 on H100); 20B: 16 GB total system RAM (CPU inference viable)</w:t>
            </w:r>
          </w:p>
        </w:tc>
      </w:tr>
    </w:tbl>
    <w:p>
      <w:pPr>
        <w:spacing w:before="120" w:after="0"/>
      </w:pPr>
    </w:p>
    <w:p>
      <w:pPr>
        <w:spacing w:before="0" w:after="200" w:line="276" w:lineRule="auto"/>
      </w:pPr>
      <w:r>
        <w:rPr>
          <w:rFonts w:ascii="Arial" w:cs="Arial" w:eastAsia="Arial" w:hAnsi="Arial"/>
          <w:color w:val="2C2C2C"/>
          <w:sz w:val="22"/>
          <w:szCs w:val="22"/>
        </w:rPr>
        <w:t xml:space="preserve">Llama 4 Scout is the recommended default model for the ContextKeeper platform. Its 17B active parameter footprint delivers performance exceeding the prior-generation Llama 3.1 70B while supporting native multimodal input, with a Llama 4 Community License compatible with commercial deployment at virtually any scale. One critical hardware clarification: despite having only 17B active parameters, MoE routing requires all 109B parameters to be resident in memory. The effective VRAM requirement at Q4_K_M is approximately 65 GB. A single H100 80GB is the minimum recommended dedicated GPU. Unsloth extreme 1.78-bit quantization fits Scout into 24 GB on a single RTX 4090 but with measurable quality degradation. Llama 3.3 70B remains the recommended model when a dense 70B architecture is preferred: it outperforms the prior 405B model at a fraction of the inference cost. DeepSeek-R1 provides the strongest open-weight reasoning under MIT license, but its hosted API transmits data to Chinese servers; self-hosted deployment using the weights directly is required for any regulated or privacy-sensitive deployment.</w:t>
      </w:r>
    </w:p>
    <w:p>
      <w:pPr>
        <w:spacing w:before="0" w:after="200" w:line="276" w:lineRule="auto"/>
      </w:pPr>
      <w:r>
        <w:rPr>
          <w:rFonts w:ascii="Arial" w:cs="Arial" w:eastAsia="Arial" w:hAnsi="Arial"/>
          <w:color w:val="2C2C2C"/>
          <w:sz w:val="22"/>
          <w:szCs w:val="22"/>
        </w:rPr>
        <w:t xml:space="preserve">Note on Llama 4 benchmark credibility. Meta submitted an undisclosed experimental Maverick variant (Llama-4-Maverick-03-26-Experimental, a chat-optimized version with verbose and emoji-heavy responses) to LMArena, achieving ELO 1417 and ranking second. The publicly released model ranked 32nd, below Claude 3.5 Sonnet and Gemini 1.5 Pro from mid-2024. LMArena stated officially: 'Meta should have made it clearer that Llama-4-Maverick-03-26-Experimental was a customized model.' The concern was confirmed by Yann LeCun in January 2026, who told the Financial Times the results 'were fudged a little bit' and that Meta's team 'used different models for different benchmarks to give better results.' Independent evaluations find Gemini 2.5 Pro and Claude Sonnet 4.6 significantly outperform Llama 4 on reasoning-intensive tasks. On LiveCodeBench, Maverick scores 41% versus Claude Sonnet 4.6 at 72.4%. The models are production-capable; the benchmark methodology was the concern.</w:t>
      </w:r>
    </w:p>
    <w:p>
      <w:pPr>
        <w:pStyle w:val="Heading2"/>
        <w:spacing w:before="240" w:after="80" w:line="276" w:lineRule="auto"/>
      </w:pPr>
      <w:r>
        <w:rPr>
          <w:rFonts w:ascii="Arial" w:cs="Arial" w:eastAsia="Arial" w:hAnsi="Arial"/>
          <w:b/>
          <w:bCs/>
          <w:color w:val="2E75B6"/>
          <w:sz w:val="28"/>
          <w:szCs w:val="28"/>
        </w:rPr>
        <w:t xml:space="preserve">2.2 Tier 2: Specialized and Edge Models</w:t>
      </w:r>
    </w:p>
    <w:p>
      <w:pPr>
        <w:spacing w:before="0" w:after="200" w:line="276" w:lineRule="auto"/>
      </w:pPr>
      <w:r>
        <w:rPr>
          <w:rFonts w:ascii="Arial" w:cs="Arial" w:eastAsia="Arial" w:hAnsi="Arial"/>
          <w:color w:val="2C2C2C"/>
          <w:sz w:val="22"/>
          <w:szCs w:val="22"/>
        </w:rPr>
        <w:t xml:space="preserve">Table 2 catalogs specialized models for capabilities outside general text generation, plus the legacy Llama 3.2 family for multimodal edge deployment.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Capability</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Use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3.2 Vision (Meta, Sep 2024): 11B, 90B</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Multimodal vision-language; late-fusion cross-attention; 128K context. EU licensing restrictions on multimodal variants.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Image analysis, chart reading, visual question answering where full Llama 4 is unavailable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3.2 Community License (EU restrictions on 11B/90B)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Qwen3-VL / Qwen3-Omni (Alibaba)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Multimodal: text, image, audio, video; natively multimodal architecture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Comprehensive multimodal workloads including audio and video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CodeLlama / DeepSeek-Coder-V2</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Code generation, completion, debugging; fine-tuned from base LLMs on code corpora</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Programming task specialization when Scout or Llama 3.3 underperform on domain-specific code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Meta Community / Apache 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Phi-4-multimodal (Microsoft, Feb 2025): 5.6B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Vision and audio in a single 5.6B model; MIT license; 16 GB VRAM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Edge multimodal deployment where H100 is unavailable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License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Whisper (OpenAI): large-v3</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Speech-to-text across 99 languages; MIT license; leading open ASR accuracy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Voice input for chat interface; meeting transcription; audio connector processing</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License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BGE-M3 / Nomic-Embed-v1.5 / E5-Mistral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Text embedding models converting text to dense vectors (768-1536 dimensions); CPU inference sufficient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RAG retrieval, semantic search, similarity ranking across connected document stores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 Apache 2.0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GPT-OSS-Safeguard (OpenAI, Oct 2025)</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Content safety classifier trained to filter harmful outputs; Apache 2.0; runs alongside primary model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Production safety layer for hosted open-model deployments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bl>
    <w:p>
      <w:pPr>
        <w:spacing w:before="120" w:after="0"/>
      </w:pPr>
    </w:p>
    <w:p>
      <w:pPr>
        <w:spacing w:before="0" w:after="200" w:line="276" w:lineRule="auto"/>
      </w:pPr>
      <w:r>
        <w:rPr>
          <w:rFonts w:ascii="Arial" w:cs="Arial" w:eastAsia="Arial" w:hAnsi="Arial"/>
          <w:color w:val="2C2C2C"/>
          <w:sz w:val="22"/>
          <w:szCs w:val="22"/>
        </w:rPr>
        <w:t xml:space="preserve">The embedding models (BGE-M3, Nomic-Embed-v1.5, E5-Mistral) are required infrastructure for the RAG pipeline. At the embedding dimensionalities used (768 to 1536 dimensions), CPU inference is sufficient for embedding generation at production RAG scale. GPU acceleration reduces per-batch embedding time by approximately 10-20x for high-throughput ingestion pipelines. Whisper large-v3 is the recommended model for any voice input feature in the chat interface.</w:t>
      </w:r>
    </w:p>
    <w:p>
      <w:pPr>
        <w:pStyle w:val="Heading2"/>
        <w:spacing w:before="240" w:after="80" w:line="276" w:lineRule="auto"/>
      </w:pPr>
      <w:r>
        <w:rPr>
          <w:rFonts w:ascii="Arial" w:cs="Arial" w:eastAsia="Arial" w:hAnsi="Arial"/>
          <w:b/>
          <w:bCs/>
          <w:color w:val="2E75B6"/>
          <w:sz w:val="28"/>
          <w:szCs w:val="28"/>
        </w:rPr>
        <w:t xml:space="preserve">2.3 Fine-Tuning for Domain Specialization</w:t>
      </w:r>
    </w:p>
    <w:p>
      <w:pPr>
        <w:spacing w:before="0" w:after="200" w:line="276" w:lineRule="auto"/>
      </w:pPr>
      <w:r>
        <w:rPr>
          <w:rFonts w:ascii="Arial" w:cs="Arial" w:eastAsia="Arial" w:hAnsi="Arial"/>
          <w:color w:val="2C2C2C"/>
          <w:sz w:val="22"/>
          <w:szCs w:val="22"/>
        </w:rPr>
        <w:t xml:space="preserve">Fine-tuning adapts any Tier 1 base model to a specific domain, task, or communication style by training on a smaller domain-specific dataset. For Llama 4 Scout and Maverick, Unsloth provides dedicated MoE-aware LoRA fine-tuning support as of April 7, 2025, two days after the models were released. Unsloth is the only fine-tuning library that shipped 4-bit QLoRA for Llama 4 at launch, achieving Scout training in 71 GB VRAM on a single H100 with 1.5x speed improvement and 50%+ less memory than standard Hugging Face alternatives.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Technique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Key Property</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Hugging Face PEFT/LoRA</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Low-Rank Adaptation: trains small adapter matrices rather than full weights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Fine-tune a 7B model on a single consumer GPU in hours; foundational technique; supports Llama 4</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Unsloth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Optimized LoRA/QLoRA kernels with custom CUDA implementations; MoE-aware routing for Llama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2x faster training, 50% less memory than stock HF; only framework shipping Llama 4 QLoRA at launch; GGUF export and Ollama integration included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Axolotl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YAML-driven configuration layer over PEFT, supporting QLoRA and FSDP</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Simplifies multi-GPU and distributed fine-tuning configuration without code changes</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LitGPT (Lightning 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Unified interface for pre-training and fine-tuning 20+ LLM architectures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Single codebase covers the full lifecycle from scratch training to deployment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AutoTrain (Hugging Face)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No-code fine-tuning: upload dataset, configure parameters, receive trained model</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Accessible to non-ML practitioners; suitable for domain adaptation without framework expertise</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bl>
    <w:p>
      <w:pPr>
        <w:spacing w:before="120" w:after="0"/>
      </w:pPr>
    </w:p>
    <w:p>
      <w:pPr>
        <w:spacing w:before="0" w:after="200" w:line="276" w:lineRule="auto"/>
      </w:pPr>
      <w:r>
        <w:rPr>
          <w:rFonts w:ascii="Arial" w:cs="Arial" w:eastAsia="Arial" w:hAnsi="Arial"/>
          <w:color w:val="2C2C2C"/>
          <w:sz w:val="22"/>
          <w:szCs w:val="22"/>
        </w:rPr>
        <w:t xml:space="preserve">The recommended fine-tuning stack is Unsloth over PEFT/LoRA for training efficiency, with Axolotl as the configuration layer for multi-GPU runs. For Llama 4 Scout specifically, Unsloth is the preferred tool as it is the only fine-tuning library with first-party MoE-aware LoRA support as of March 2026. AutoTrain is the recommended option for platform users who require fine-tuning capability without ML framework expertise. Every fine-tuning run is a ContextKeeper governed session: hyperparameter decisions are logged to the decisions table, model checkpoints are tracked with SHA-256 hashes via the MANIFEST integrity system (WP-001 v1.2, Section 9), and experiments can be handed off to a different model or framework mid-project with no loss of state.</w:t>
      </w:r>
    </w:p>
    <w:p>
      <w:pPr>
        <w:pStyle w:val="Heading2"/>
        <w:spacing w:before="240" w:after="80" w:line="276" w:lineRule="auto"/>
      </w:pPr>
      <w:r>
        <w:rPr>
          <w:rFonts w:ascii="Arial" w:cs="Arial" w:eastAsia="Arial" w:hAnsi="Arial"/>
          <w:b/>
          <w:bCs/>
          <w:color w:val="2E75B6"/>
          <w:sz w:val="28"/>
          <w:szCs w:val="28"/>
        </w:rPr>
        <w:t xml:space="preserve">2.4 Post-Llama 4 Model Landscape Update</w:t>
      </w:r>
    </w:p>
    <w:p>
      <w:pPr>
        <w:spacing w:before="0" w:after="200" w:line="276" w:lineRule="auto"/>
      </w:pPr>
      <w:r>
        <w:rPr>
          <w:rFonts w:ascii="Arial" w:cs="Arial" w:eastAsia="Arial" w:hAnsi="Arial"/>
          <w:color w:val="2C2C2C"/>
          <w:sz w:val="22"/>
          <w:szCs w:val="22"/>
        </w:rPr>
        <w:t xml:space="preserve">Six major developments from April 2025 through March 2026 have reshaped the open-weight landscape beyond what was captured in WP-004 v1.1.</w:t>
      </w:r>
    </w:p>
    <w:p>
      <w:pPr>
        <w:spacing w:before="0" w:after="200" w:line="276" w:lineRule="auto"/>
      </w:pPr>
      <w:r>
        <w:rPr>
          <w:rFonts w:ascii="Arial" w:cs="Arial" w:eastAsia="Arial" w:hAnsi="Arial"/>
          <w:color w:val="2C2C2C"/>
          <w:sz w:val="22"/>
          <w:szCs w:val="22"/>
        </w:rPr>
        <w:t xml:space="preserve">Chinese labs now dominate open-weight model development by download volume. During summer 2025, downloads on Hugging Face shifted from US-dominant to China-dominant model families. Qwen 3.5 (397B total, Apache 2.0) has overtaken Llama in total downloads and achieves 76.4% on SWE-bench Verified, matching or exceeding many closed frontier models on software engineering tasks. Its hybrid thinking/non-thinking mode allows operators to control reasoning depth and token cost at query time. GLM-4.7 (Zhipu AI) achieves 94.2% on HumanEval and 95.7% on AIME 2025. Kimi K2 (Moonshot AI) leads on SWE-rebench as of early 2026 and ranks as the strongest open model by overall benchmark score per independent evaluators.</w:t>
      </w:r>
    </w:p>
    <w:p>
      <w:pPr>
        <w:spacing w:before="0" w:after="200" w:line="276" w:lineRule="auto"/>
      </w:pPr>
      <w:r>
        <w:rPr>
          <w:rFonts w:ascii="Arial" w:cs="Arial" w:eastAsia="Arial" w:hAnsi="Arial"/>
          <w:color w:val="2C2C2C"/>
          <w:sz w:val="22"/>
          <w:szCs w:val="22"/>
        </w:rPr>
        <w:t xml:space="preserve">MiniMax M2.5 achieves 80.2% on SWE-bench Verified, the highest score among open-weight models as of February 2026 and competitive with Claude Opus 4.6 Thinking at 79.2% and GPT-5.4 at 77.2%. This represents a fundamental shift: open-weight models have reached near-parity with the best closed models on the canonical software engineering benchmark. For ContextKeeper's hosted model tier (Build Sequence Step 8), this means self-hosted open models can now deliver frontier-class SE performance without BYOK.</w:t>
      </w:r>
    </w:p>
    <w:p>
      <w:pPr>
        <w:spacing w:before="0" w:after="200" w:line="276" w:lineRule="auto"/>
      </w:pPr>
      <w:r>
        <w:rPr>
          <w:rFonts w:ascii="Arial" w:cs="Arial" w:eastAsia="Arial" w:hAnsi="Arial"/>
          <w:color w:val="2C2C2C"/>
          <w:sz w:val="22"/>
          <w:szCs w:val="22"/>
        </w:rPr>
        <w:t xml:space="preserve">Step-3.5-Flash (StepFun) achieves AIME 97.3% at only 196B total parameters, demonstrating that reasoning performance no longer requires 600B+ parameter models. DeepSeek-R1-0528 (May 2025) improved over the January release with better code understanding and reduced hallucination rates. Table 3 provides a benchmark snapshot for SE-relevant tasks.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SWE-bench Verified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LiveCodeBench</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AIME 2025</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MiniMax M2.5</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80.2%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Highest open-weight SWE-bench score as of February 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Qwen 3.5 (397B)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76.4%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Most-downloaded base model on HF as of early 2026; overtook Llama</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Kimi K2 (Moonshot)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approximately 75%</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Leads SWE-rebench; strongest open model overall per independent evaluators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GLM-4.7 (Zhipu)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73.8%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HumanEval 94.2%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95.7%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Strong academic coding benchmark performance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Step-3.5-Flash (StepFun)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74.4%</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97.3%</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Frontier reasoning at only 196B total parameters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4 Maverick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approximately 41% (est)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Disappointing vs flagship closed models; benchmark controversy noted in Section 2.1</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4 Scout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approximately 35% (est)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32.8%</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Best for cost-efficient deployment; not competitive on raw SE benchmarks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GPT-5.4 (closed, reference)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77.2%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Reference frontier closed model</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Claude Sonnet 4.6 (closed, reference)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approximately 80%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72.4%</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Reference frontier closed model</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2.5 Open-Weight SE Benchmarks</w:t>
      </w:r>
    </w:p>
    <w:p>
      <w:pPr>
        <w:spacing w:before="0" w:after="200" w:line="276" w:lineRule="auto"/>
      </w:pPr>
      <w:r>
        <w:rPr>
          <w:rFonts w:ascii="Arial" w:cs="Arial" w:eastAsia="Arial" w:hAnsi="Arial"/>
          <w:color w:val="2C2C2C"/>
          <w:sz w:val="22"/>
          <w:szCs w:val="22"/>
        </w:rPr>
        <w:t xml:space="preserve">The most consequential benchmark for ContextKeeper's agent platform is SWE-bench Verified (Jimenez et al., ICLR 2024): the canonical measure of AI agent capability on real GitHub issues. As of February 2026, the top open-weight models rank: MiniMax M2.5 (80.2%), Qwen 3.5 (76.4%), Kimi K2 (approximately 75%), Step-3.5-Flash (74.4%), GLM-4.7 (73.8%). All of these exceed Llama 4 Maverick substantially. For the ContextKeeper hosted model tier, Qwen 3.5 and Kimi K2 are the recommended models when maximum SE task performance from open-weight models is required. For cost-efficient deployment on a single H100, Llama 4 Scout and Llama 3.3 70B remain appropriate for general-purpose work where SE benchmark scores are not the primary constraint.</w:t>
      </w:r>
    </w:p>
    <w:p>
      <w:pPr>
        <w:spacing w:before="0" w:after="200" w:line="276" w:lineRule="auto"/>
      </w:pPr>
      <w:r>
        <w:rPr>
          <w:rFonts w:ascii="Arial" w:cs="Arial" w:eastAsia="Arial" w:hAnsi="Arial"/>
          <w:color w:val="2C2C2C"/>
          <w:sz w:val="22"/>
          <w:szCs w:val="22"/>
        </w:rPr>
        <w:t xml:space="preserve">SWE-bench Pro (Scale Labs) introduces harder, contamination-resistant tasks where even frontier closed models drop to approximately 23% Pass@1 on multi-file tasks without scaffolding. This benchmark better reflects production AI-assisted development difficulty and should be used when evaluating agent frameworks rather than raw model capability.</w:t>
      </w:r>
    </w:p>
    <w:p>
      <w:pPr>
        <w:pStyle w:val="Heading2"/>
        <w:spacing w:before="240" w:after="80" w:line="276" w:lineRule="auto"/>
      </w:pPr>
      <w:r>
        <w:rPr>
          <w:rFonts w:ascii="Arial" w:cs="Arial" w:eastAsia="Arial" w:hAnsi="Arial"/>
          <w:b/>
          <w:bCs/>
          <w:color w:val="2E75B6"/>
          <w:sz w:val="28"/>
          <w:szCs w:val="28"/>
        </w:rPr>
        <w:t xml:space="preserve">2.6 Research Context and Evidence Base</w:t>
      </w:r>
    </w:p>
    <w:p>
      <w:pPr>
        <w:spacing w:before="0" w:after="200" w:line="276" w:lineRule="auto"/>
      </w:pPr>
      <w:r>
        <w:rPr>
          <w:rFonts w:ascii="Arial" w:cs="Arial" w:eastAsia="Arial" w:hAnsi="Arial"/>
          <w:color w:val="2C2C2C"/>
          <w:sz w:val="22"/>
          <w:szCs w:val="22"/>
        </w:rPr>
        <w:t xml:space="preserve">Three published findings are directly relevant to model selection and deployment decisions in this paper.</w:t>
      </w:r>
    </w:p>
    <w:p>
      <w:pPr>
        <w:spacing w:before="0" w:after="200" w:line="276" w:lineRule="auto"/>
      </w:pPr>
      <w:r>
        <w:rPr>
          <w:rFonts w:ascii="Arial" w:cs="Arial" w:eastAsia="Arial" w:hAnsi="Arial"/>
          <w:color w:val="2C2C2C"/>
          <w:sz w:val="22"/>
          <w:szCs w:val="22"/>
        </w:rPr>
        <w:t xml:space="preserve">Context window size does not guarantee retrieval performance. The RULER benchmark (Hsieh et al., COLM 2024, arXiv:2404.06654) found that only half of models claiming 32K+ context maintained satisfactory performance on complex retrieval tasks at that length. The NoLiMa benchmark (ICML 2025, arXiv:2502.05167) found that at 32K tokens, most frontier models fell below 50% of their short-context baseline. Du et al. (EMNLP 2025, arXiv:2510.05381) demonstrated that context length alone hurts performance even with 100% perfect retrieval. These findings validate the need for RAG and diff-based context injection (WP-003 v1.2, Section 4.6) even as context windows expand to 1M tokens.</w:t>
      </w:r>
    </w:p>
    <w:p>
      <w:pPr>
        <w:spacing w:before="0" w:after="200" w:line="276" w:lineRule="auto"/>
      </w:pPr>
      <w:r>
        <w:rPr>
          <w:rFonts w:ascii="Arial" w:cs="Arial" w:eastAsia="Arial" w:hAnsi="Arial"/>
          <w:color w:val="2C2C2C"/>
          <w:sz w:val="22"/>
          <w:szCs w:val="22"/>
        </w:rPr>
        <w:t xml:space="preserve">Model routing achieves validated 50-98% cost reduction. FrugalGPT (Chen, Zaharia, Zou; TMLR 2024, arXiv:2305.05176) demonstrated 98% cost reduction while matching GPT-4 performance through cascade routing. RouteLLM (Ong et al., ICLR 2025) achieved greater than 2x cost reduction using preference-data-trained routers. The 20x cost spread between frontier closed models and economy-tier open models documented in Section 8 is the optimization surface that justifies the ContextKeeper CostOptimizer (WP-003 v1.2, Section 8). Khraishi et al. (arXiv:2603.03111) found that mid-task model switching produces statistically significant drift of plus or minus 4 absolute F1, motivating the structured bootstrap protocol (WP-001 v1.2, Section 3) used when switching models.</w:t>
      </w:r>
    </w:p>
    <w:p>
      <w:pPr>
        <w:spacing w:before="0" w:after="200" w:line="276" w:lineRule="auto"/>
      </w:pPr>
      <w:r>
        <w:rPr>
          <w:rFonts w:ascii="Arial" w:cs="Arial" w:eastAsia="Arial" w:hAnsi="Arial"/>
          <w:color w:val="2C2C2C"/>
          <w:sz w:val="22"/>
          <w:szCs w:val="22"/>
        </w:rPr>
        <w:t xml:space="preserve">Open-weight models have reached near-parity with closed models on SE benchmarks. As documented in Section 2.4, MiniMax M2.5 at 80.2% on SWE-bench Verified is competitive with Claude Opus 4.6 (79.2%) and GPT-5.4 (77.2%). This represents a fundamental change from the assumptions underlying WP-004 v1.0, which assumed a significant capability gap between open and closed models. That gap has largely closed for software engineering tasks as of early 2026, making the hosted open model tier in the build sequence (Step 8) commercially viable earlier than originally projected.</w:t>
      </w:r>
    </w:p>
    <w:p>
      <w:pPr>
        <w:pStyle w:val="Heading1"/>
        <w:pageBreakBefore/>
        <w:spacing w:before="360" w:after="120" w:line="276" w:lineRule="auto"/>
      </w:pPr>
      <w:r>
        <w:rPr>
          <w:rFonts w:ascii="Arial" w:cs="Arial" w:eastAsia="Arial" w:hAnsi="Arial"/>
          <w:b/>
          <w:bCs/>
          <w:color w:val="1B2A4A"/>
          <w:sz w:val="36"/>
          <w:szCs w:val="36"/>
        </w:rPr>
        <w:t xml:space="preserve">3. Model Context Protocol</w:t>
      </w:r>
    </w:p>
    <w:p>
      <w:pPr>
        <w:spacing w:before="0" w:after="200" w:line="276" w:lineRule="auto"/>
      </w:pPr>
      <w:r>
        <w:rPr>
          <w:rFonts w:ascii="Arial" w:cs="Arial" w:eastAsia="Arial" w:hAnsi="Arial"/>
          <w:color w:val="2C2C2C"/>
          <w:sz w:val="22"/>
          <w:szCs w:val="22"/>
        </w:rPr>
        <w:t xml:space="preserve">The Model Context Protocol (MCP) is an open protocol that standardizes how LLM applications connect to external data sources and tools. Absent from the original WP-004, MCP has become foundational open infrastructure in the 16 months since Anthropic announced it in November 2024. It is now under Linux Foundation stewardship through the Agentic AI Foundation (AAIF) directed fund, supported by every major IDE and AI client, with over 97 million monthly SDK downloads across Python and TypeScript and approximately 10,000 active public MCP servers. Any platform building on open AI infrastructure that does not address MCP is architecturally incomplete.</w:t>
      </w:r>
    </w:p>
    <w:p>
      <w:pPr>
        <w:pStyle w:val="Heading2"/>
        <w:spacing w:before="240" w:after="80" w:line="276" w:lineRule="auto"/>
      </w:pPr>
      <w:r>
        <w:rPr>
          <w:rFonts w:ascii="Arial" w:cs="Arial" w:eastAsia="Arial" w:hAnsi="Arial"/>
          <w:b/>
          <w:bCs/>
          <w:color w:val="2E75B6"/>
          <w:sz w:val="28"/>
          <w:szCs w:val="28"/>
        </w:rPr>
        <w:t xml:space="preserve">3.1 Protocol Architecture and Specification</w:t>
      </w:r>
    </w:p>
    <w:p>
      <w:pPr>
        <w:spacing w:before="0" w:after="200" w:line="276" w:lineRule="auto"/>
      </w:pPr>
      <w:r>
        <w:rPr>
          <w:rFonts w:ascii="Arial" w:cs="Arial" w:eastAsia="Arial" w:hAnsi="Arial"/>
          <w:color w:val="2C2C2C"/>
          <w:sz w:val="22"/>
          <w:szCs w:val="22"/>
        </w:rPr>
        <w:t xml:space="preserve">MCP defines a three-tier client/server architecture built on JSON-RPC 2.0. MCP Hosts are AI applications such as Claude Desktop, Cursor, and VS Code Copilot that orchestrate access to context. MCP Clients maintain 1:1 connections to servers, handling JSON-RPC formatting, session management, and capability negotiation. MCP Servers expose three core primitives to clients: Tools (functions the model can execute, including database queries, API calls, and file operations), Resources (data the application can read, including files, database records, and API responses), and Prompts (templated workflows for users, meaning reusable interaction patterns). Tools are defined using JSON Schema with name, description, inputSchema, and optional outputSchema. ToolAnnotations (readOnlyHint, destructiveHint, idempotentHint, openWorldHint) are part of the MCP schema as of the June 2025 specification (2025-06-18) and should be treated as advisory hints from trusted servers only. The November 2025 specification (2025-11-25) added asynchronous operations, stateless operation mode for serverless deployments, server identity, and official extensions.</w:t>
      </w:r>
    </w:p>
    <w:p>
      <w:pPr>
        <w:spacing w:before="0" w:after="200" w:line="276" w:lineRule="auto"/>
      </w:pPr>
      <w:r>
        <w:rPr>
          <w:rFonts w:ascii="Arial" w:cs="Arial" w:eastAsia="Arial" w:hAnsi="Arial"/>
          <w:color w:val="2C2C2C"/>
          <w:sz w:val="22"/>
          <w:szCs w:val="22"/>
        </w:rPr>
        <w:t xml:space="preserve">Two transport layers are supported. The stdio transport launches the server as a subprocess with JSON-RPC over stdin/stdout, ideal for local integrations and Ollama deployments due to low-overhead local IPC and simple process management. Streamable HTTP (introduced March 2025, replacing legacy HTTP+SSE (Server-Sent Events) which is now deprecated per the 2025-03-26 specification) provides a single HTTP endpoint supporting POST and GET, with session management via Mcp-Session-Id headers and resumable streams. For remote servers, authentication uses OAuth 2.1 with PKCE and mandatory Resource Indicators (RFC 8707) binding tokens to specific servers.</w:t>
      </w:r>
    </w:p>
    <w:p>
      <w:pPr>
        <w:spacing w:before="0" w:after="200" w:line="276" w:lineRule="auto"/>
      </w:pPr>
      <w:r>
        <w:rPr>
          <w:rFonts w:ascii="Arial" w:cs="Arial" w:eastAsia="Arial" w:hAnsi="Arial"/>
          <w:color w:val="2C2C2C"/>
          <w:sz w:val="22"/>
          <w:szCs w:val="22"/>
        </w:rPr>
        <w:t xml:space="preserve">MCP was donated to the Agentic AI Foundation (AAIF) under the Linux Foundation on December 9, 2025, co-founded by Anthropic, Block, and OpenAI. Platinum AAIF members include AWS, Anthropic, Block, Bloomberg, Cloudflare, Google, Microsoft, and OpenAI. Three founding projects: MCP from Anthropic, goose from Block, and AGENTS.md from OpenAI. The protocol operates under the Linux Foundation governance model, similar to Kubernetes/CNCF, with the SEP (Specification Enhancement Proposal) process for changes. The latest specification version is 2025-11-25.</w:t>
      </w:r>
    </w:p>
    <w:p>
      <w:pPr>
        <w:pStyle w:val="Heading2"/>
        <w:spacing w:before="240" w:after="80" w:line="276" w:lineRule="auto"/>
      </w:pPr>
      <w:r>
        <w:rPr>
          <w:rFonts w:ascii="Arial" w:cs="Arial" w:eastAsia="Arial" w:hAnsi="Arial"/>
          <w:b/>
          <w:bCs/>
          <w:color w:val="2E75B6"/>
          <w:sz w:val="28"/>
          <w:szCs w:val="28"/>
        </w:rPr>
        <w:t xml:space="preserve">3.2 SDK Ecosystem and Server Registry</w:t>
      </w:r>
    </w:p>
    <w:p>
      <w:pPr>
        <w:spacing w:before="0" w:after="200" w:line="276" w:lineRule="auto"/>
      </w:pPr>
      <w:r>
        <w:rPr>
          <w:rFonts w:ascii="Arial" w:cs="Arial" w:eastAsia="Arial" w:hAnsi="Arial"/>
          <w:color w:val="2C2C2C"/>
          <w:sz w:val="22"/>
          <w:szCs w:val="22"/>
        </w:rPr>
        <w:t xml:space="preserve">Official MCP SDKs span ten languages in three maturity tiers. Tier 1 (full spec compliance, fast maintenance): TypeScript, Python, C#/.NET, and Go. Tier 2 (good compliance, active maintenance): Java and Rust. Tier 3 (basic functionality): Swift, Ruby, and PHP. Kotlin: status TBD per the official SDK tier table. The Python SDK includes FastMCP, a high-level framework that reduces a basic server to approximately 20 lines of code. The TypeScript SDK alone has accumulated 83.6 million npm downloads; combined with the Python SDK, total monthly downloads exceed the project-reported 97 million monthly figure. Over 17,967 repositories are tagged with MCP on GitHub.</w:t>
      </w:r>
    </w:p>
    <w:p>
      <w:pPr>
        <w:spacing w:before="0" w:after="200" w:line="276" w:lineRule="auto"/>
      </w:pPr>
      <w:r>
        <w:rPr>
          <w:rFonts w:ascii="Arial" w:cs="Arial" w:eastAsia="Arial" w:hAnsi="Arial"/>
          <w:color w:val="2C2C2C"/>
          <w:sz w:val="22"/>
          <w:szCs w:val="22"/>
        </w:rPr>
        <w:t xml:space="preserve">The official MCP Registry (registry.modelcontextprotocol.io, launched September 2025) operates as a metaregistry storing server metadata in server.json format, with reverse-DNS namespacing and GitHub OAuth for publisher authentication. It contained approximately 87 validated servers as of March 2026 (this count is dynamic; cite only with the caveat 'as of March 2026'), intentionally selective compared to the broader ecosystem of approximately 10,000 active public MCP servers. Notable high-quality servers include the official GitHub MCP server (20,200+ stars, 100+ tools), Playwright (browser automation), Figma, Stripe, PostgreSQL, Google Cloud (AlloyDB, BigQuery, Spanner), and Salesforce. IDE and AI client adoption is now universal: VS Code via GitHub Copilot, Cursor, JetBrains, Windsurf, Zed, Replit, Amazon Kiro, Claude Desktop, and Claude Code all provide first-class support. OpenAI launched apps in ChatGPT and the Apps SDK on October 6, 2025, explicitly describing the Apps SDK as an open standard built on MCP; app submissions opened December 17, 2025.</w:t>
      </w:r>
    </w:p>
    <w:p>
      <w:pPr>
        <w:spacing w:before="0" w:after="200" w:line="276" w:lineRule="auto"/>
      </w:pPr>
      <w:r>
        <w:rPr>
          <w:rFonts w:ascii="Arial" w:cs="Arial" w:eastAsia="Arial" w:hAnsi="Arial"/>
          <w:color w:val="2C2C2C"/>
          <w:sz w:val="22"/>
          <w:szCs w:val="22"/>
        </w:rPr>
        <w:t xml:space="preserve">MCP's adoption arc is now best understood through two converging layers: tool connectivity and interactive UI. On the tool-connectivity layer, MCP has moved into multi-vendor stewardship under the AAIF directed fund, with over 97 million monthly SDK downloads and approximately 10,000 active public MCP servers. On the interactive UI layer, the protocol has begun standardizing what agent UI means: OpenAI's Apps SDK explicitly describes itself as an open standard built on MCP and extends MCP so developers can implement both the logic and the interface of chat-native apps in ChatGPT. In March 2026, the MCP project announced MCP Apps as an official MCP extension enabling tools to return interactive UI components rendered directly in the client experience. For ContextKeeper, connector-as-MCP-server is necessary but not sufficient: competitive platform integrations will pair MCP tool endpoints with UI-first affordances (forms, dashboards, multi-step workflows) where they improve human validation and reduce operational risk in governed execution loops.</w:t>
      </w:r>
    </w:p>
    <w:p>
      <w:pPr>
        <w:pStyle w:val="Heading2"/>
        <w:spacing w:before="240" w:after="80" w:line="276" w:lineRule="auto"/>
      </w:pPr>
      <w:r>
        <w:rPr>
          <w:rFonts w:ascii="Arial" w:cs="Arial" w:eastAsia="Arial" w:hAnsi="Arial"/>
          <w:b/>
          <w:bCs/>
          <w:color w:val="2E75B6"/>
          <w:sz w:val="28"/>
          <w:szCs w:val="28"/>
        </w:rPr>
        <w:t xml:space="preserve">3.3 MCP in Local Inference Engines</w:t>
      </w:r>
    </w:p>
    <w:p>
      <w:pPr>
        <w:spacing w:before="0" w:after="200" w:line="276" w:lineRule="auto"/>
      </w:pPr>
      <w:r>
        <w:rPr>
          <w:rFonts w:ascii="Arial" w:cs="Arial" w:eastAsia="Arial" w:hAnsi="Arial"/>
          <w:color w:val="2C2C2C"/>
          <w:sz w:val="22"/>
          <w:szCs w:val="22"/>
        </w:rPr>
        <w:t xml:space="preserve">No major local inference engine natively implements MCP. Ollama, vLLM, TGI, and LocalAI all serve as LLM backends within MCP host applications, providing function/tool calling capability and OpenAI-compatible APIs that MCP hosts use to generate structured tool calls. Ollama GitHub issue #7865 tracks native MCP server support and remains open as of March 2026 with no committed timeline.</w:t>
      </w:r>
    </w:p>
    <w:p>
      <w:pPr>
        <w:spacing w:before="0" w:after="200" w:line="276" w:lineRule="auto"/>
      </w:pPr>
      <w:r>
        <w:rPr>
          <w:rFonts w:ascii="Arial" w:cs="Arial" w:eastAsia="Arial" w:hAnsi="Arial"/>
          <w:color w:val="2C2C2C"/>
          <w:sz w:val="22"/>
          <w:szCs w:val="22"/>
        </w:rPr>
        <w:t xml:space="preserve">The integration architecture is intentionally layered: inference engines handle generation, while MCP handles protocol-level tool orchestration. An MCP Host communicates with an MCP Client; the client connects to MCP Servers for tool calls; for model inference, the host uses Ollama's OpenAI-compatible endpoint to generate structured tool calls based on available tool descriptions, then routes those calls through the MCP client to the appropriate server. Community bridges including ollama-mcp-bridge, MCPHost (Go), and mcp-client-for-ollama provide this connection pattern.</w:t>
      </w:r>
    </w:p>
    <w:p>
      <w:pPr>
        <w:pStyle w:val="Heading2"/>
        <w:spacing w:before="240" w:after="80" w:line="276" w:lineRule="auto"/>
      </w:pPr>
      <w:r>
        <w:rPr>
          <w:rFonts w:ascii="Arial" w:cs="Arial" w:eastAsia="Arial" w:hAnsi="Arial"/>
          <w:b/>
          <w:bCs/>
          <w:color w:val="2E75B6"/>
          <w:sz w:val="28"/>
          <w:szCs w:val="28"/>
        </w:rPr>
        <w:t xml:space="preserve">3.4 MCP Security Considerations</w:t>
      </w:r>
    </w:p>
    <w:p>
      <w:pPr>
        <w:spacing w:before="0" w:after="200" w:line="276" w:lineRule="auto"/>
      </w:pPr>
      <w:r>
        <w:rPr>
          <w:rFonts w:ascii="Arial" w:cs="Arial" w:eastAsia="Arial" w:hAnsi="Arial"/>
          <w:color w:val="2C2C2C"/>
          <w:sz w:val="22"/>
          <w:szCs w:val="22"/>
        </w:rPr>
        <w:t xml:space="preserve">MCP security risks have become one of the most rapidly evolving areas in AI infrastructure. As of March 2026, OWASP has published two dedicated frameworks, more than 30 CVEs have been filed against MCP implementations in 60 days, and peer-reviewed academic research has produced a formal taxonomy of attack vectors.</w:t>
      </w:r>
    </w:p>
    <w:p>
      <w:pPr>
        <w:spacing w:before="0" w:after="200" w:line="276" w:lineRule="auto"/>
      </w:pPr>
      <w:r>
        <w:rPr>
          <w:rFonts w:ascii="Arial" w:cs="Arial" w:eastAsia="Arial" w:hAnsi="Arial"/>
          <w:color w:val="2C2C2C"/>
          <w:sz w:val="22"/>
          <w:szCs w:val="22"/>
        </w:rPr>
        <w:t xml:space="preserve">Tool Poisoning Attacks were first demonstrated by Invariant Labs in April 2025. Malicious MCP servers embed harmful instructions within tool descriptions using invisible Unicode characters or metadata tags such as &lt;IMPORTANT&gt; that the model reads but the user does not see. The model then exfiltrates data or executes unauthorized actions through hidden parameters. Demonstrated attacks include SSH key exfiltration from Cursor (stealing ~/.ssh/id_rsa and ~/.cursor/mcp.json through a poisoned add tool), cross-repository data leakage via the official GitHub MCP server (exploiting prompt injection in public repository issues to access private repositories), and WhatsApp history exfiltration via a malicious server. The MCPTox benchmark (arXiv:2508.14925) is the first formal benchmark for MCP tool poisoning, finding attack success rates above 60% for GPT-4o-mini, o1-mini, DeepSeek-R1, and Phi-4. This establishes that vulnerability is systematic across frontier models, not limited to specific implementations.</w:t>
      </w:r>
    </w:p>
    <w:p>
      <w:pPr>
        <w:spacing w:before="0" w:after="200" w:line="276" w:lineRule="auto"/>
      </w:pPr>
      <w:r>
        <w:rPr>
          <w:rFonts w:ascii="Arial" w:cs="Arial" w:eastAsia="Arial" w:hAnsi="Arial"/>
          <w:color w:val="2C2C2C"/>
          <w:sz w:val="22"/>
          <w:szCs w:val="22"/>
        </w:rPr>
        <w:t xml:space="preserve">Supply chain attacks were demonstrated against the Smithery platform and mcp-remote (CVE-2025-6514, CVSS 9.6: a critical command injection affecting 437,000+ package downloads). Anthropic's own mcp-server-git had three chained CVEs achieving full RCE. Rug pull attacks, where a server's tool definitions change after trust has been established, are trivially executable and difficult to detect without continuous monitoring. Palo Alto Networks Unit 42 documented sampling-based attacks enabling resource theft and conversation hijacking. A comprehensive vulnerability tracker is maintained at vulnerablemcp.info. Academic coverage includes 'Securing the Model Context Protocol: Risks, Controls, and Governance' (arXiv:2511.20920) and 'Model Context Protocol: Landscape, Security Threats, and Future Research Directions' (arXiv:2503.23278).</w:t>
      </w:r>
    </w:p>
    <w:p>
      <w:pPr>
        <w:spacing w:before="0" w:after="200" w:line="276" w:lineRule="auto"/>
      </w:pPr>
      <w:r>
        <w:rPr>
          <w:rFonts w:ascii="Arial" w:cs="Arial" w:eastAsia="Arial" w:hAnsi="Arial"/>
          <w:color w:val="2C2C2C"/>
          <w:sz w:val="22"/>
          <w:szCs w:val="22"/>
        </w:rPr>
        <w:t xml:space="preserve">OWASP published two critical security frameworks in December 2025. The OWASP Top 10 for Agentic Applications (peer-reviewed by 100+ security experts) identified ten risk categories: Agent Goal Hijack, Tool Misuse, Identity and Privilege Abuse, Agentic Supply Chain Vulnerabilities (explicitly citing MCP/A2A component poisoning), Unexpected Code Execution, Memory and Context Poisoning, Insecure Inter-Agent Communication, Cascading Failures, Human-Agent Trust Exploitation, and Rogue Agents. The separate OWASP MCP Top 10 (beta) covers MCP-specific risks including tool poisoning with 84.2% success rate under auto-approval in testing, rug pulls, and supply chain compromise. An audit of 17 popular MCP servers found an average security score of 34/100 with 100% lacking permission declarations.</w:t>
      </w:r>
    </w:p>
    <w:p>
      <w:pPr>
        <w:spacing w:before="0" w:after="200" w:line="276" w:lineRule="auto"/>
      </w:pPr>
      <w:r>
        <w:rPr>
          <w:rFonts w:ascii="Arial" w:cs="Arial" w:eastAsia="Arial" w:hAnsi="Arial"/>
          <w:color w:val="2C2C2C"/>
          <w:sz w:val="22"/>
          <w:szCs w:val="22"/>
        </w:rPr>
        <w:t xml:space="preserve">Recommended security posture for MCP deployments: apply principle of least privilege to all API tokens used by MCP servers; maintain tool allowlists per workflow rather than granting blanket tool access; implement MCP Gateway patterns for centralized enforcement and audit logging; apply egress controls to prevent data exfiltration via server-side requests; monitor tool descriptions continuously for changes (rug pull detection); require code review for any MCP server before deployment; pin server versions and validate SHA-256 hash integrity on updates.</w:t>
      </w:r>
    </w:p>
    <w:p>
      <w:pPr>
        <w:spacing w:before="0" w:after="200" w:line="276" w:lineRule="auto"/>
      </w:pPr>
      <w:r>
        <w:rPr>
          <w:rFonts w:ascii="Arial" w:cs="Arial" w:eastAsia="Arial" w:hAnsi="Arial"/>
          <w:color w:val="2C2C2C"/>
          <w:sz w:val="22"/>
          <w:szCs w:val="22"/>
        </w:rPr>
        <w:t xml:space="preserve">MCP security posture should be implemented as a zero-trust protocol boundary even inside nominally trusted enterprise networks. Two MCP specification details are particularly operationally actionable. First, the authorization specification requires OAuth 2.1 security best practices and mandates PKCE for authorization code protection; it explicitly requires token audience binding using RFC 8707 Resource Indicators. MCP clients must include the resource parameter in authorization flows, and MCP servers must validate that tokens were issued specifically for that server. Any token not audience-bound to the server must be rejected. Second, tool metadata should be treated as advisory rather than authoritative: ToolAnnotations (readOnlyHint, destructiveHint, idempotentHint) are formally defined as hints, and the specification makes clear they are not reliable unless they originate from trusted servers. For ContextKeeper, these requirements map to a governance-first implementation: enforce OAuth token audience validation at the MCP ingress boundary, treat ToolAnnotations as untrusted signals unless the server is in an allowlisted trust domain, and apply DEL-v2 gate checks to any invocation flagged as potentially destructive so that human-in-the-loop is a protocol-level invariant enforced in the governed execution loop rather than merely a UI pattern.</w:t>
      </w:r>
    </w:p>
    <w:p>
      <w:pPr>
        <w:pStyle w:val="Heading2"/>
        <w:spacing w:before="240" w:after="80" w:line="276" w:lineRule="auto"/>
      </w:pPr>
      <w:r>
        <w:rPr>
          <w:rFonts w:ascii="Arial" w:cs="Arial" w:eastAsia="Arial" w:hAnsi="Arial"/>
          <w:b/>
          <w:bCs/>
          <w:color w:val="2E75B6"/>
          <w:sz w:val="28"/>
          <w:szCs w:val="28"/>
        </w:rPr>
        <w:t xml:space="preserve">3.5 ContextKeeper MCP Integration Strategy</w:t>
      </w:r>
    </w:p>
    <w:p>
      <w:pPr>
        <w:spacing w:before="0" w:after="200" w:line="276" w:lineRule="auto"/>
      </w:pPr>
      <w:r>
        <w:rPr>
          <w:rFonts w:ascii="Arial" w:cs="Arial" w:eastAsia="Arial" w:hAnsi="Arial"/>
          <w:color w:val="2C2C2C"/>
          <w:sz w:val="22"/>
          <w:szCs w:val="22"/>
        </w:rPr>
        <w:t xml:space="preserve">ContextKeeper's 67-connector ecosystem maps naturally onto the MCP server architecture. Each connector type, including GitHub, Google Drive, S3, PostgreSQL, LocalFile, and the 62 interface-only connectors, can be exposed as an MCP server, transforming ContextKeeper from a platform with proprietary connectors into an MCP-compatible tool provider that any MCP host can consume. This is the preferred long-term connector architecture: implement each connector as an MCP server using the official Python or TypeScript SDK, expose it via stdio transport for local deployment or Streamable HTTP for remote access, and register it in the official MCP registry.</w:t>
      </w:r>
    </w:p>
    <w:p>
      <w:pPr>
        <w:spacing w:before="0" w:after="200" w:line="276" w:lineRule="auto"/>
      </w:pPr>
      <w:r>
        <w:rPr>
          <w:rFonts w:ascii="Arial" w:cs="Arial" w:eastAsia="Arial" w:hAnsi="Arial"/>
          <w:color w:val="2C2C2C"/>
          <w:sz w:val="22"/>
          <w:szCs w:val="22"/>
        </w:rPr>
        <w:t xml:space="preserve">The DEL-v2 governance layer (WP-001 v1.2) wraps MCP tool execution with formal state machine enforcement. When an agent in a ContextKeeper session makes an MCP tool call, the Governance Layer (WP-003 v1.2, Section 5.1.4) intercepts the tool call, verifies it against the session's active invariants, logs the call to the decisions table, and only permits execution if all gate conditions are satisfied. MCP provides the protocol for invoking tools; ContextKeeper provides the formal enforcement layer governing which tools may be invoked under which conditions. The OWASP Agentic Supply Chain Vulnerability risk is directly mitigated by invariant enforcement: even if a tool definition is poisoned, the invariant checking layer can detect and halt unauthorized data access patterns before execution proceeds.</w:t>
      </w:r>
    </w:p>
    <w:p>
      <w:pPr>
        <w:pStyle w:val="Heading1"/>
        <w:pageBreakBefore/>
        <w:spacing w:before="360" w:after="120" w:line="276" w:lineRule="auto"/>
      </w:pPr>
      <w:r>
        <w:rPr>
          <w:rFonts w:ascii="Arial" w:cs="Arial" w:eastAsia="Arial" w:hAnsi="Arial"/>
          <w:b/>
          <w:bCs/>
          <w:color w:val="1B2A4A"/>
          <w:sz w:val="36"/>
          <w:szCs w:val="36"/>
        </w:rPr>
        <w:t xml:space="preserve">4. ML Pipeline Tooling</w:t>
      </w:r>
    </w:p>
    <w:p>
      <w:pPr>
        <w:spacing w:before="0" w:after="200" w:line="276" w:lineRule="auto"/>
      </w:pPr>
      <w:r>
        <w:rPr>
          <w:rFonts w:ascii="Arial" w:cs="Arial" w:eastAsia="Arial" w:hAnsi="Arial"/>
          <w:color w:val="2C2C2C"/>
          <w:sz w:val="22"/>
          <w:szCs w:val="22"/>
        </w:rPr>
        <w:t xml:space="preserve">The ML pipeline tooling stack covers the full machine learning workflow from data ingestion and processing through experiment tracking, model training, and pipeline orchestration. All tools are open-source and carry zero licensing cost in production. Table 4 provides a consolidated reference.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Tool</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Function</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PyTorch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Core framework</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Dominant deep learning framework; dynamic computation graphs; foundational for all LLM training and inference</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BSD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Scikit-learn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Classical ML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Classification, regression, clustering, and preprocessing for tabular and structured data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BSD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XGBoost / LightGBM / CatBoost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Gradient boosting</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State-of-the-art performance on tabular data; wins most structured data competitions</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Hugging Face Transformers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hub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Unified API for 200,000+ pretrained models; tokenization, inference, and fine-tuning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JAX</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Numerical computing</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 high-performance framework with XLA compilation; hardware-agnostic acceleration</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MLflow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Experiment tracking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Logs parameters, metrics, artifacts; model registry and serving interface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DVC (Data Version Control)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versioning</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Git-equivalent for datasets and pipeline reproducibility; tracks data provenance</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Aim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Experiment UI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Visual experiment comparison; run inspection; parameter and metric exploration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ClearML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MLOps platform</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lifecycle: experiment tracking, data management, pipeline orchestration, model deployment</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Airflow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Pipeline orchestration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DAG-based workflow scheduler; broad ecosystem of operators for external service integration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Prefect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Pipeline orchestration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Python-native workflow orchestration with hybrid local and cloud execution</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Metaflow (Netflix)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Pipeline orchestration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Human-friendly ML pipeline framework scaling from laptop to cloud without code changes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Pandas / Polars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processing</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Dataframe manipulation; Polars achieves 10-100x speedup over Pandas on large datasets</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 BSD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DuckDB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Analytical SQL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In-process SQL analytics engine; fast aggregations on local files without a server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Great Expectations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quality</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validation and quality testing; defines and enforces expectations on pipeline inputs and outputs</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4.1 Core Frameworks and Experiment Tracking</w:t>
      </w:r>
    </w:p>
    <w:p>
      <w:pPr>
        <w:spacing w:before="0" w:after="200" w:line="276" w:lineRule="auto"/>
      </w:pPr>
      <w:r>
        <w:rPr>
          <w:rFonts w:ascii="Arial" w:cs="Arial" w:eastAsia="Arial" w:hAnsi="Arial"/>
          <w:color w:val="2C2C2C"/>
          <w:sz w:val="22"/>
          <w:szCs w:val="22"/>
        </w:rPr>
        <w:t xml:space="preserve">PyTorch is the foundational deep learning framework and a non-negotiable dependency of the fine-tuning stack. Hugging Face Transformers provides the unified model API layer across all Tier 1 models. MLflow is the recommended experiment tracking tool: it logs parameters, metrics, and artifacts; provides a model registry for versioning trained models; and exposes a serving interface. DVC complements MLflow by providing Git-equivalent versioning for the datasets that feed training runs. Together they create a complete reproducibility record directly aligned with the ContextKeeper Reproducibility Contract defined in WP-002 v1.1, Section 11.6.</w:t>
      </w:r>
    </w:p>
    <w:p>
      <w:pPr>
        <w:pStyle w:val="Heading2"/>
        <w:spacing w:before="240" w:after="80" w:line="276" w:lineRule="auto"/>
      </w:pPr>
      <w:r>
        <w:rPr>
          <w:rFonts w:ascii="Arial" w:cs="Arial" w:eastAsia="Arial" w:hAnsi="Arial"/>
          <w:b/>
          <w:bCs/>
          <w:color w:val="2E75B6"/>
          <w:sz w:val="28"/>
          <w:szCs w:val="28"/>
        </w:rPr>
        <w:t xml:space="preserve">4.2 Pipeline Orchestration and Data Processing</w:t>
      </w:r>
    </w:p>
    <w:p>
      <w:pPr>
        <w:spacing w:before="0" w:after="200" w:line="276" w:lineRule="auto"/>
      </w:pPr>
      <w:r>
        <w:rPr>
          <w:rFonts w:ascii="Arial" w:cs="Arial" w:eastAsia="Arial" w:hAnsi="Arial"/>
          <w:color w:val="2C2C2C"/>
          <w:sz w:val="22"/>
          <w:szCs w:val="22"/>
        </w:rPr>
        <w:t xml:space="preserve">Apache Airflow is the recommended pipeline orchestration tool for production ML workflows. Its DAG-based scheduling model is directly analogous to ContextKeeper's Planning Mode DAG structure (WP-003 v1.2, Section 4): tasks have dependencies, execute in topological order, and produce auditable execution records. Prefect is the recommended alternative when Python-native workflow definition is preferred. For data processing, Polars is recommended over Pandas for any dataset exceeding approximately one million rows. DuckDB is recommended for ad-hoc SQL analytics on local files. Great Expectations is the recommended data quality tool for any pipeline where data contract violations must be detected before they propagate to downstream model training.</w:t>
      </w:r>
    </w:p>
    <w:p>
      <w:pPr>
        <w:pStyle w:val="Heading1"/>
        <w:pageBreakBefore/>
        <w:spacing w:before="360" w:after="120" w:line="276" w:lineRule="auto"/>
      </w:pPr>
      <w:r>
        <w:rPr>
          <w:rFonts w:ascii="Arial" w:cs="Arial" w:eastAsia="Arial" w:hAnsi="Arial"/>
          <w:b/>
          <w:bCs/>
          <w:color w:val="1B2A4A"/>
          <w:sz w:val="36"/>
          <w:szCs w:val="36"/>
        </w:rPr>
        <w:t xml:space="preserve">5. RAG Architecture</w:t>
      </w:r>
    </w:p>
    <w:p>
      <w:pPr>
        <w:spacing w:before="0" w:after="200" w:line="276" w:lineRule="auto"/>
      </w:pPr>
      <w:r>
        <w:rPr>
          <w:rFonts w:ascii="Arial" w:cs="Arial" w:eastAsia="Arial" w:hAnsi="Arial"/>
          <w:color w:val="2C2C2C"/>
          <w:sz w:val="22"/>
          <w:szCs w:val="22"/>
        </w:rPr>
        <w:t xml:space="preserve">Retrieval-Augmented Generation grounds LLM responses in retrieved documents rather than relying on the model's training data. Despite the expansion of context windows to 1M+ tokens, RAG remains essential for production deployments: 1M-token contexts are too expensive for continuous operation at scale, lack real-time data access, and do not provide the source attribution that enterprise compliance demands. Research confirms that context length alone hurts performance even with perfect retrieval (Du et al., EMNLP 2025): RAG is approximately 100x cheaper than full long-context injection for large document sets while preserving quality (Li et al., EMNLP 2024). The RAG pattern has evolved: GraphRAG and Agentic RAG are now production patterns, though each carries specific trade-offs documented in Sections 5.4 and 5.5.</w:t>
      </w:r>
    </w:p>
    <w:p>
      <w:pPr>
        <w:pStyle w:val="Heading2"/>
        <w:spacing w:before="240" w:after="80" w:line="276" w:lineRule="auto"/>
      </w:pPr>
      <w:r>
        <w:rPr>
          <w:rFonts w:ascii="Arial" w:cs="Arial" w:eastAsia="Arial" w:hAnsi="Arial"/>
          <w:b/>
          <w:bCs/>
          <w:color w:val="2E75B6"/>
          <w:sz w:val="28"/>
          <w:szCs w:val="28"/>
        </w:rPr>
        <w:t xml:space="preserve">5.1 RAG Frameworks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400"/>
        <w:gridCol w:w="1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Framework</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Capabilities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Use</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LlamaIndex (47,764 stars; now agentic document platform)</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ingestion, indexing, querying, and agent integration; LlamaParse v2 for cloud parsing; LlamaAgents for one-click deployment; LlamaExtract for structured data; event-driven Workflows for async orchestration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Production RAG pipelines with rich connector integrations; recommended primary framework for ContextKeeper</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LangChain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Chains, agents, RAG pipelines, tool use, and memory; 200+ document loaders; broad ecosystem; LangGraph (separate project) for production agent workflows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Rapid prototyping and complex multi-step chains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Haystack (deepset)</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Production-grade NLP pipelines with RAG, question answering, and semantic search; modular pipeline composition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 NLP workloads requiring production reliability and modular pipeline components</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RAGFlow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Open-source RAG engine with deep document understanding and intelligent chunking; preserves table structure and reading order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High-fidelity document parsing where layout and structure carry semantic meaning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5.2 Vector Databases</w:t>
      </w:r>
    </w:p>
    <w:p>
      <w:pPr>
        <w:spacing w:before="0" w:after="200" w:line="276" w:lineRule="auto"/>
      </w:pPr>
      <w:r>
        <w:rPr>
          <w:rFonts w:ascii="Arial" w:cs="Arial" w:eastAsia="Arial" w:hAnsi="Arial"/>
          <w:color w:val="2C2C2C"/>
          <w:sz w:val="22"/>
          <w:szCs w:val="22"/>
        </w:rPr>
        <w:t xml:space="preserve">A vector database stores embedding vectors and supports efficient approximate nearest-neighbor search for retrieval. The market has segmented into clear tiers, and vectors are increasingly a data type within existing databases rather than a separate infrastructure component. At the embedding dimensionalities used by BGE-M3 and Nomic-Embed (768 to 1536 dimensions), all databases in Table 6 produce equivalent retrieval quality at datasets up to tens of millions of vectors.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1400"/>
        <w:gridCol w:w="21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Database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Deployment Model</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Best For</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Scale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Chroma (v1.5.5; 26K+ stars; 1.0 reached)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Embedded or Chroma Cloud (serverless); new Rust execution engine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Prototyping and small-to-medium datasets; zero infrastructure overhead; production-ready at 1.0</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Millions of vectors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Qdrant (v1.17.x; 29,600 stars; $50M Series B Mar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Server or embedded; Rust-based; replaced RocksDB with custom Gridstore 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Production RAG with fast metadata filtering and payload-aware retrieval; recommended production choice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Hundreds of millions of vectors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Weaviate (v1.36.5; 15,800 stars)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Full-featured server with vector and keyword hybrid search; new Weaviate Agents and managed embeddings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Hybrid search workloads; multimodal data including text, image, and audio</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Hundreds of millions of vectors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BSD-3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Milvus (v2.6.11; 43K+ stars)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Distributed cloud-native; replaced RocksDB with Woodpecker; v3.0 roadmap has streaming ingestion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Billion-scale vector similarity search; horizontal scaling across nodes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Billions of vectors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pgvector (v0.8.2)</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PostgreSQL extension; no separate database required; iterative index scans (5.7x query improvement)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Teams already operating PostgreSQL; avoids additional infrastructure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Tens of millions of vectors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PostgreSQL License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FAISS (Meta)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In-memory library; no server or persistence layer; fastest similarity search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Research workloads and fastest similarity search where persistence is not 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Hundreds of millions in-memory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bl>
    <w:p>
      <w:pPr>
        <w:spacing w:before="120" w:after="0"/>
      </w:pPr>
    </w:p>
    <w:p>
      <w:pPr>
        <w:spacing w:before="0" w:after="200" w:line="276" w:lineRule="auto"/>
      </w:pPr>
      <w:r>
        <w:rPr>
          <w:rFonts w:ascii="Arial" w:cs="Arial" w:eastAsia="Arial" w:hAnsi="Arial"/>
          <w:color w:val="2C2C2C"/>
          <w:sz w:val="22"/>
          <w:szCs w:val="22"/>
        </w:rPr>
        <w:t xml:space="preserve">The recommended selection logic: Chroma for initial development (zero infrastructure overhead, now at 1.0), Qdrant for production RAG (fast filtering, Rust reliability, $50M Series B funding signals strong institutional backing), and pgvector for teams already operating PostgreSQL. Milvus is reserved for billion-scale deployments not anticipated in ContextKeeper's initial phases.</w:t>
      </w:r>
    </w:p>
    <w:p>
      <w:pPr>
        <w:pStyle w:val="Heading2"/>
        <w:spacing w:before="240" w:after="80" w:line="276" w:lineRule="auto"/>
      </w:pPr>
      <w:r>
        <w:rPr>
          <w:rFonts w:ascii="Arial" w:cs="Arial" w:eastAsia="Arial" w:hAnsi="Arial"/>
          <w:b/>
          <w:bCs/>
          <w:color w:val="2E75B6"/>
          <w:sz w:val="28"/>
          <w:szCs w:val="28"/>
        </w:rPr>
        <w:t xml:space="preserve">5.3 Document Processing for RAG</w:t>
      </w:r>
    </w:p>
    <w:p>
      <w:pPr>
        <w:spacing w:before="0" w:after="200" w:line="276" w:lineRule="auto"/>
      </w:pPr>
      <w:r>
        <w:rPr>
          <w:rFonts w:ascii="Arial" w:cs="Arial" w:eastAsia="Arial" w:hAnsi="Arial"/>
          <w:color w:val="2C2C2C"/>
          <w:sz w:val="22"/>
          <w:szCs w:val="22"/>
        </w:rPr>
        <w:t xml:space="preserve">Document processing converts raw documents into LLM-ready text chunks before embedding. The quality of this step directly determines RAG retrieval accuracy.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200"/>
        <w:gridCol w:w="1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Tool</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Capabilities</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Use</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Docling (IBM / LF AI and Data; 37,000+ stars): PRIMARY</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Advanced document parsing with layout understanding using the Granite-Docling-258M vision model; preserves table structure, column layouts, and reading order; supports PDF, DOCX, PPTX, XLSX, HTML, images, audio, video, LaTeX, and financial reports; docling-serve REST API; docling-mcp server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Universal enterprise document ingestion; primary document processing tool for ContextKeeper RAG pipeline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Unstructured.io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Parses PDFs, DOCX, HTML, images, and tables into LLM-ready text chunks with layout awareness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Fallback for formats Docling handles suboptimally; proven production track record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LangChain Document Loaders</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200+ loaders covering every major file format and data source including web, databases, and cloud storage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Rapid connector-to-RAG integration using existing LangChain pipeline infrastructure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marker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Converts PDFs to Markdown with high fidelity including tables, equations, and embedded images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Scientific papers, technical documentation, and reports requiring equation and table preservation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GPL</w:t>
            </w:r>
          </w:p>
        </w:tc>
      </w:tr>
    </w:tbl>
    <w:p>
      <w:pPr>
        <w:spacing w:before="120" w:after="0"/>
      </w:pPr>
    </w:p>
    <w:p>
      <w:pPr>
        <w:spacing w:before="0" w:after="200" w:line="276" w:lineRule="auto"/>
      </w:pPr>
      <w:r>
        <w:rPr>
          <w:rFonts w:ascii="Arial" w:cs="Arial" w:eastAsia="Arial" w:hAnsi="Arial"/>
          <w:color w:val="2C2C2C"/>
          <w:sz w:val="22"/>
          <w:szCs w:val="22"/>
        </w:rPr>
        <w:t xml:space="preserve">Docling is elevated to the primary recommendation based on its production deployment in banking via the Docling OpenShift Operator, its first-party docling-mcp server enabling agentic document workflows, and the availability of the Granite-Docling-258M model for single-pass extraction without heuristics. Unstructured.io remains the recommended fallback for edge cases and for teams with existing Unstructured.io deployments.</w:t>
      </w:r>
    </w:p>
    <w:p>
      <w:pPr>
        <w:pStyle w:val="Heading2"/>
        <w:spacing w:before="240" w:after="80" w:line="276" w:lineRule="auto"/>
      </w:pPr>
      <w:r>
        <w:rPr>
          <w:rFonts w:ascii="Arial" w:cs="Arial" w:eastAsia="Arial" w:hAnsi="Arial"/>
          <w:b/>
          <w:bCs/>
          <w:color w:val="2E75B6"/>
          <w:sz w:val="28"/>
          <w:szCs w:val="28"/>
        </w:rPr>
        <w:t xml:space="preserve">5.4 GraphRAG vs Standard RAG</w:t>
      </w:r>
    </w:p>
    <w:p>
      <w:pPr>
        <w:spacing w:before="0" w:after="200" w:line="276" w:lineRule="auto"/>
      </w:pPr>
      <w:r>
        <w:rPr>
          <w:rFonts w:ascii="Arial" w:cs="Arial" w:eastAsia="Arial" w:hAnsi="Arial"/>
          <w:color w:val="2C2C2C"/>
          <w:sz w:val="22"/>
          <w:szCs w:val="22"/>
        </w:rPr>
        <w:t xml:space="preserve">GraphRAG uses entity-relationship graphs to enable multi-hop reasoning across retrieved documents. Microsoft open-sourced GraphRAG in 2024 and it has become a mainstream production pattern. Peer-reviewed research presents a more nuanced picture than early practitioner advocacy suggested, with performance depending heavily on query type.</w:t>
      </w:r>
    </w:p>
    <w:p>
      <w:pPr>
        <w:spacing w:before="0" w:after="200" w:line="276" w:lineRule="auto"/>
      </w:pPr>
      <w:r>
        <w:rPr>
          <w:rFonts w:ascii="Arial" w:cs="Arial" w:eastAsia="Arial" w:hAnsi="Arial"/>
          <w:color w:val="2C2C2C"/>
          <w:sz w:val="22"/>
          <w:szCs w:val="22"/>
        </w:rPr>
        <w:t xml:space="preserve">Han et al. (arXiv:2502.11371, February 2025, Microsoft and Meta) conducted a systematic evaluation finding that neither GraphRAG nor standard RAG universally dominates: GraphRAG excels at multi-hop reasoning and global summarization questions, while standard RAG is better for simple factual retrieval. The GraphRAG-Bench benchmark (ICLR 2026) reported that 'recent studies report that GraphRAG frequently underperforms vanilla RAG on many real-world tasks.' AWS documentation cites GraphRAG at 80% correct versus 50.8% for standard RAG on complex multi-hop datasets, with 2.4x higher latency as the trade-off for 1.5x better accuracy on those specific query types. Microsoft's LazyGraphRAG, a lighter-weight graph approach, outperformed all comparison conditions in 96/96 comparisons with statistical significance, suggesting that moderate graph enrichment outperforms both naive RAG and full GraphRAG for mixed workloads.</w:t>
      </w:r>
    </w:p>
    <w:p>
      <w:pPr>
        <w:spacing w:before="0" w:after="200" w:line="276" w:lineRule="auto"/>
      </w:pPr>
      <w:r>
        <w:rPr>
          <w:rFonts w:ascii="Arial" w:cs="Arial" w:eastAsia="Arial" w:hAnsi="Arial"/>
          <w:color w:val="2C2C2C"/>
          <w:sz w:val="22"/>
          <w:szCs w:val="22"/>
        </w:rPr>
        <w:t xml:space="preserve">Practical guidance for ContextKeeper: use standard RAG (LlamaIndex + Qdrant) as the default retrieval pattern. Add GraphRAG specifically for queries requiring multi-hop reasoning across connected documents, such as legal document analysis, regulatory research, and knowledge graph applications. For mixed workloads, implement LazyGraphRAG as a latency-efficient middle path. Do not assume GraphRAG outperforms standard RAG without workload-specific benchmarking.</w:t>
      </w:r>
    </w:p>
    <w:p>
      <w:pPr>
        <w:pStyle w:val="Heading2"/>
        <w:spacing w:before="240" w:after="80" w:line="276" w:lineRule="auto"/>
      </w:pPr>
      <w:r>
        <w:rPr>
          <w:rFonts w:ascii="Arial" w:cs="Arial" w:eastAsia="Arial" w:hAnsi="Arial"/>
          <w:b/>
          <w:bCs/>
          <w:color w:val="2E75B6"/>
          <w:sz w:val="28"/>
          <w:szCs w:val="28"/>
        </w:rPr>
        <w:t xml:space="preserve">5.5 Agentic RAG</w:t>
      </w:r>
    </w:p>
    <w:p>
      <w:pPr>
        <w:spacing w:before="0" w:after="200" w:line="276" w:lineRule="auto"/>
      </w:pPr>
      <w:r>
        <w:rPr>
          <w:rFonts w:ascii="Arial" w:cs="Arial" w:eastAsia="Arial" w:hAnsi="Arial"/>
          <w:color w:val="2C2C2C"/>
          <w:sz w:val="22"/>
          <w:szCs w:val="22"/>
        </w:rPr>
        <w:t xml:space="preserve">Agentic RAG replaces single-shot similarity search with an autonomous agent that plans multi-step retrieval strategies. Instead of one embedding query, the agent decides what to retrieve, in what order, and how to combine results. This is natively supported through LangGraph or LlamaIndex's event-driven Workflow system integrated with the DEL-v2 governance layer.</w:t>
      </w:r>
    </w:p>
    <w:p>
      <w:pPr>
        <w:spacing w:before="0" w:after="200" w:line="276" w:lineRule="auto"/>
      </w:pPr>
      <w:r>
        <w:rPr>
          <w:rFonts w:ascii="Arial" w:cs="Arial" w:eastAsia="Arial" w:hAnsi="Arial"/>
          <w:color w:val="2C2C2C"/>
          <w:sz w:val="22"/>
          <w:szCs w:val="22"/>
        </w:rPr>
        <w:t xml:space="preserve">'Is Agentic RAG worth it?' (arXiv:2601.07711, January 2026) compared naive, enhanced, and agentic RAG across multiple LLMs, finding a critical dependency: agentic RAG performance is highly LLM-quality-dependent. Weaker generators show disproportionate degradation in agentic mode, while stronger generators show consistent improvement. Contextual AI's agentic RAG system achieved 71.2% on RAG-QA Arena, a 5.4% improvement over the strongest non-agentic baseline. The practical implication: agentic RAG is beneficial when using a frontier-class model (Claude Sonnet 4.6, GPT-4.1, Qwen 3.5) but may degrade performance with smaller models. For ContextKeeper's connector-aware RAG pipeline, agentic patterns should be enabled by default for frontier BYOK models and disabled for cost-optimized local models below the 30B parameter range.</w:t>
      </w:r>
    </w:p>
    <w:p>
      <w:pPr>
        <w:pStyle w:val="Heading2"/>
        <w:spacing w:before="240" w:after="80" w:line="276" w:lineRule="auto"/>
      </w:pPr>
      <w:r>
        <w:rPr>
          <w:rFonts w:ascii="Arial" w:cs="Arial" w:eastAsia="Arial" w:hAnsi="Arial"/>
          <w:b/>
          <w:bCs/>
          <w:color w:val="2E75B6"/>
          <w:sz w:val="28"/>
          <w:szCs w:val="28"/>
        </w:rPr>
        <w:t xml:space="preserve">5.6 ContextKeeper RAG Integration</w:t>
      </w:r>
    </w:p>
    <w:p>
      <w:pPr>
        <w:spacing w:before="0" w:after="200" w:line="276" w:lineRule="auto"/>
      </w:pPr>
      <w:r>
        <w:rPr>
          <w:rFonts w:ascii="Arial" w:cs="Arial" w:eastAsia="Arial" w:hAnsi="Arial"/>
          <w:color w:val="2C2C2C"/>
          <w:sz w:val="22"/>
          <w:szCs w:val="22"/>
        </w:rPr>
        <w:t xml:space="preserve">The ContextKeeper connector ecosystem is the primary data source for the RAG pipeline. Connectors feed content into the vector database in two modes: synchronous retrieval (a user query triggers a live connector fetch, chunked and embedded at query time) and pre-indexed retrieval (a scheduled sync pushes connector content into the vector database in advance, enabling sub-100ms retrieval latency). With MCP integration (Section 3.5), each connector can additionally expose its data as an MCP Resource, enabling any MCP host to access connector data without going through the ContextKeeper proxy. The RAG pipeline is context-aware: because the decisions table records what the user has been working on, the retrieval system can weight recent project decisions more heavily in the retrieved context. Agentic RAG patterns are natively supported through LangGraph or LlamaIndex's event-driven Workflow system integrated with the DEL-v2 governance layer, but should be enabled selectively based on the model tier as described in Section 5.5.</w:t>
      </w:r>
    </w:p>
    <w:p>
      <w:pPr>
        <w:pStyle w:val="Heading1"/>
        <w:pageBreakBefore/>
        <w:spacing w:before="360" w:after="120" w:line="276" w:lineRule="auto"/>
      </w:pPr>
      <w:r>
        <w:rPr>
          <w:rFonts w:ascii="Arial" w:cs="Arial" w:eastAsia="Arial" w:hAnsi="Arial"/>
          <w:b/>
          <w:bCs/>
          <w:color w:val="1B2A4A"/>
          <w:sz w:val="36"/>
          <w:szCs w:val="36"/>
        </w:rPr>
        <w:t xml:space="preserve">6. Agent Frameworks</w:t>
      </w:r>
    </w:p>
    <w:p>
      <w:pPr>
        <w:spacing w:before="0" w:after="200" w:line="276" w:lineRule="auto"/>
      </w:pPr>
      <w:r>
        <w:rPr>
          <w:rFonts w:ascii="Arial" w:cs="Arial" w:eastAsia="Arial" w:hAnsi="Arial"/>
          <w:color w:val="2C2C2C"/>
          <w:sz w:val="22"/>
          <w:szCs w:val="22"/>
        </w:rPr>
        <w:t xml:space="preserve">Agents are language models that can take actions: call APIs, run code, query databases, search the web, and execute multi-step plans. The agent framework landscape has consolidated significantly since v1.0: AutoGen and Semantic Kernel have had investment shifted to the Microsoft Agent Framework; Google ADK and OpenAI Agents SDK have emerged as major new entrants; LangGraph continues to dominate production deployments; and a new inter-agent communication layer (A2A protocol) has emerged enabling cross-framework agent delegation.</w:t>
      </w:r>
    </w:p>
    <w:p>
      <w:pPr>
        <w:pStyle w:val="Heading2"/>
        <w:spacing w:before="240" w:after="80" w:line="276" w:lineRule="auto"/>
      </w:pPr>
      <w:r>
        <w:rPr>
          <w:rFonts w:ascii="Arial" w:cs="Arial" w:eastAsia="Arial" w:hAnsi="Arial"/>
          <w:b/>
          <w:bCs/>
          <w:color w:val="2E75B6"/>
          <w:sz w:val="28"/>
          <w:szCs w:val="28"/>
        </w:rPr>
        <w:t xml:space="preserve">6.1 General Agent Frameworks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2000"/>
        <w:gridCol w:w="2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Framework</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Key Capability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Use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LangGraph v1.1.0 (LangChain; 26,200 stars; Mar 2026): RECOMMENDED PRIMARY</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Graph-based agent workflows with explicit state machines; Pregel execution engine; PostgresSaver checkpointing; LangGraph Studio for visual debugging; AG-UI and A2A protocol support. License structure: the core library is MIT and free for all uses; the langgraph-api server package uses Elastic License 2.0 (self-hosting permitted, hosting-as-a-service to others prohibited); LangGraph Platform is proprietary commercial software starting at $39/seat/month.</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Multi-step agents requiring deterministic control flow and conditional branching; confirmed production use at LinkedIn, Uber, Klarna, Replit, and 400+ organizations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Library: MIT. API server: Elastic License 2.0. Platform: proprietary.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CrewAI (~44,700 stars)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Multi-agent collaboration with defined roles, goals, and tool assignments per agent; Flows abstraction for pipeline orchestration; CrewAI AMP enterprise management platform; native MCP and A2A support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Role-specialized agent teams where each agent has distinct responsibilities and toolsets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Microsoft Agent Framework RC (Oct 2025 preview; RC Feb 2026; ~7,200 stars)</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Unified successor to AutoGen and Semantic Kernel, both now in investment-shift mode; graph-based workflows with streaming and checkpointing; Python and C#/.NET; multi-provider support (Azure OpenAI, Anthropic, Ollama, AWS Bedrock); A2A, AG-UI, and MCP protocol support. GA target: end Q1 2026.</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 Microsoft ecosystem integrations; .NET environments; migration target for AutoGen and Semantic Kernel codebases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 ADK v1.27.2 (Apr 2025; 17,600 stars)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Multi-agent hierarchies with coordinator agents; native Vertex AI integration; A2A protocol; built-in eval via adk eval; bidirectional audio/video streaming; Python, TypeScript, Go, and Java; same framework powering Google Agentspace and Customer Engagement Suite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Gemini-optimized multi-agent workflows; Vertex AI native deployments; multi-language agent development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 Agents SDK v0.12.5 (Mar 2025; ~20,000 stars)</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Agents, Handoffs (task delegation), Guardrails (parallel safety checks), Tracing (integrated evaluation); MCP integration; persistent sessions (Redis, SQLAlchemy, SQLite); realtime voice agents; model-agnostic via OpenAI-compatible API</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OpenAI-model-optimized agents with built-in safety primitives; MCP tool integration; voice agent workloads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Smolagents v1.24.0 (Hugging Face; ~25,500 stars)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Code-first agents where agents write and execute Python as primary action; text, vision, video, audio support; MCP integration; multiple sandboxes (E2B, Docker, Modal, Pyodide/Deno); OpenTelemetry; CLI tools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Tasks best expressed as code generation and execution; multimodal agent workflows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 Interpreter</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Natural language to code execution; runs locally and privately with filesystem access; AGPL license requires review for hosted deployments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Local code execution agents where privacy and filesystem access are required without routing code to external APIs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AGPL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Aider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AI pair programming in the terminal; works with any LLM via API; tracks git changes automatically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Interactive code generation and editing directly within development workflows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Continue.dev</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VS Code and JetBrains extension providing open-source Copilot alternative; MCP support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In-editor code completion and generation using locally or remotely hosted models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bl>
    <w:p>
      <w:pPr>
        <w:spacing w:before="120" w:after="0"/>
      </w:pPr>
    </w:p>
    <w:p>
      <w:pPr>
        <w:spacing w:before="0" w:after="200" w:line="276" w:lineRule="auto"/>
      </w:pPr>
      <w:r>
        <w:rPr>
          <w:rFonts w:ascii="Arial" w:cs="Arial" w:eastAsia="Arial" w:hAnsi="Arial"/>
          <w:color w:val="2C2C2C"/>
          <w:sz w:val="22"/>
          <w:szCs w:val="22"/>
        </w:rPr>
        <w:t xml:space="preserve">LangGraph remains the recommended primary agent framework for ContextKeeper's agent execution layer. Its explicit state machine model is the closest architectural analogue to DEL-v2 among all open-source frameworks. License clarification (corrected from v1.1): LangGraph has a three-tier licensing structure. The core library is MIT and free for all commercial uses. The langgraph-api server package uses Elastic License 2.0, which permits self-hosting but prohibits offering LangGraph API as a competing managed service. The LangGraph Platform (hosted deployment service, now branded LangSmith Deployment) is proprietary commercial software starting at $39/seat/month. Teams self-hosting the open-source library do not require a commercial license; teams using LangGraph Platform's hosted deployment do. The v1.1 characterization of 'LangGraph changed to proprietary' was inaccurate: the library remains MIT, and the commercial license applies only to the platform offering.</w:t>
      </w:r>
    </w:p>
    <w:p>
      <w:pPr>
        <w:spacing w:before="0" w:after="200" w:line="276" w:lineRule="auto"/>
      </w:pPr>
      <w:r>
        <w:rPr>
          <w:rFonts w:ascii="Arial" w:cs="Arial" w:eastAsia="Arial" w:hAnsi="Arial"/>
          <w:color w:val="2C2C2C"/>
          <w:sz w:val="22"/>
          <w:szCs w:val="22"/>
        </w:rPr>
        <w:t xml:space="preserve">CrewAI is the recommended framework when the use case requires explicitly role-specialized agent teams. Microsoft Agent Framework (RC, target GA end Q1 2026) is recommended for .NET environments and as the migration target for any existing AutoGen or Semantic Kernel code. Google ADK is recommended for Gemini-optimized multi-agent hierarchies and Vertex AI native deployments.</w:t>
      </w:r>
    </w:p>
    <w:p>
      <w:pPr>
        <w:spacing w:before="0" w:after="200" w:line="276" w:lineRule="auto"/>
      </w:pPr>
      <w:r>
        <w:rPr>
          <w:rFonts w:ascii="Arial" w:cs="Arial" w:eastAsia="Arial" w:hAnsi="Arial"/>
          <w:color w:val="2C2C2C"/>
          <w:sz w:val="22"/>
          <w:szCs w:val="22"/>
        </w:rPr>
        <w:t xml:space="preserve">AutoGen and Semantic Kernel are in a de facto investment-shift phase. Microsoft's official position is that 'most investment is now focused on Microsoft Agent Framework' while both projects will continue to receive bug fixes and security updates for at least one year after Microsoft Agent Framework reaches general availability. Microsoft has published official migration guides with tooling to port both codebases. New projects should not start with AutoGen or Semantic Kernel.</w:t>
      </w:r>
    </w:p>
    <w:p>
      <w:pPr>
        <w:pStyle w:val="Heading2"/>
        <w:spacing w:before="240" w:after="80" w:line="276" w:lineRule="auto"/>
      </w:pPr>
      <w:r>
        <w:rPr>
          <w:rFonts w:ascii="Arial" w:cs="Arial" w:eastAsia="Arial" w:hAnsi="Arial"/>
          <w:b/>
          <w:bCs/>
          <w:color w:val="2E75B6"/>
          <w:sz w:val="28"/>
          <w:szCs w:val="28"/>
        </w:rPr>
        <w:t xml:space="preserve">6.2 Inter-Agent Communication: A2A Protocol</w:t>
      </w:r>
    </w:p>
    <w:p>
      <w:pPr>
        <w:spacing w:before="0" w:after="200" w:line="276" w:lineRule="auto"/>
      </w:pPr>
      <w:r>
        <w:rPr>
          <w:rFonts w:ascii="Arial" w:cs="Arial" w:eastAsia="Arial" w:hAnsi="Arial"/>
          <w:color w:val="2C2C2C"/>
          <w:sz w:val="22"/>
          <w:szCs w:val="22"/>
        </w:rPr>
        <w:t xml:space="preserve">The Agent-to-Agent (A2A) protocol, released by Google in April 2025 under Apache 2.0, defines a standard for how AI agents from different frameworks and providers communicate with each other. Where MCP handles agent-to-tool communication (structured tool calls), A2A handles agent-to-agent communication (delegating tasks between agents). A2A defines a well-formed task lifecycle with states: submitted, working, input-required, completed, failed, and canceled. This is directly analogous to DEL-v2's 10-state lifecycle applied at the inter-agent communication level.</w:t>
      </w:r>
    </w:p>
    <w:p>
      <w:pPr>
        <w:spacing w:before="0" w:after="200" w:line="276" w:lineRule="auto"/>
      </w:pPr>
      <w:r>
        <w:rPr>
          <w:rFonts w:ascii="Arial" w:cs="Arial" w:eastAsia="Arial" w:hAnsi="Arial"/>
          <w:color w:val="2C2C2C"/>
          <w:sz w:val="22"/>
          <w:szCs w:val="22"/>
        </w:rPr>
        <w:t xml:space="preserve">A2A is now supported by Microsoft Agent Framework, Google ADK v1.27.2, CrewAI, OpenAI Agents SDK, and LangGraph. This creates a cross-framework agent communication layer: a ContextKeeper DEL-v2-governed agent running on LangGraph can delegate sub-tasks to a Google ADK agent on Vertex AI, with both communicating via A2A's standardized task handoff protocol. The practical implication for the ContextKeeper agent marketplace (Build Sequence Step 10): agents can be composed across framework and provider boundaries without proprietary integration code. The governance layer must extend A2A task handoffs: every A2A task delegation is intercepted by the Governance Layer (WP-003 v1.2, Section 5.1.4), logged to the decisions table, and verified against active invariants before execution proceeds.</w:t>
      </w:r>
    </w:p>
    <w:p>
      <w:pPr>
        <w:pStyle w:val="Heading2"/>
        <w:spacing w:before="240" w:after="80" w:line="276" w:lineRule="auto"/>
      </w:pPr>
      <w:r>
        <w:rPr>
          <w:rFonts w:ascii="Arial" w:cs="Arial" w:eastAsia="Arial" w:hAnsi="Arial"/>
          <w:b/>
          <w:bCs/>
          <w:color w:val="2E75B6"/>
          <w:sz w:val="28"/>
          <w:szCs w:val="28"/>
        </w:rPr>
        <w:t xml:space="preserve">6.3 The Governance Differentiator</w:t>
      </w:r>
    </w:p>
    <w:p>
      <w:pPr>
        <w:spacing w:before="0" w:after="200" w:line="276" w:lineRule="auto"/>
      </w:pPr>
      <w:r>
        <w:rPr>
          <w:rFonts w:ascii="Arial" w:cs="Arial" w:eastAsia="Arial" w:hAnsi="Arial"/>
          <w:color w:val="2C2C2C"/>
          <w:sz w:val="22"/>
          <w:szCs w:val="22"/>
        </w:rPr>
        <w:t xml:space="preserve">Every agent framework listed in Section 6.1 shares the same fundamental architectural gap: no formal governance. Table 8 maps each gap to its ContextKeeper resolution.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Framework</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Governance Gap</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ContextKeeper Resolution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LangGraph</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 graph defined in code but no external verification; hallucinated tool calls execute without detection; internal enforcement only</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 wraps agent execution in a 10-state lifecycle with gate enforcement at every transition boundary; MCP tool calls intercepted and verified against active invariants before execution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CrewAI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role separation is prompt-level advisory, not system-level enforced; an agent can take actions outside its defined role without system-level detection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Multi-agent role separation (Operator/Executor/Auditor) is structurally enforced; no single agent can self-approve its own output regardless of what its role prompt says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Microsoft Agent Framework</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OpenTelemetry observability and Entra auth provided; no cryptographic audit trail; Purview extension adds audit logging but not cryptographic verification; Agent Governance Toolkit (separate, early-stage, 8 stars) provides Ed25519 identity but is not integrated into the framework</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SHA-256-verified state transitions produce an audit trail linking every decision to the specific model and session; PROTOCOL_BREACH halts all downstream execution on invariant violation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 ADK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Vertex AI governance stack (IAM principals, Security Command Center, Model Armor, VPC-SC) is among the strongest native offerings; strongest competitor to ContextKeeper governed-agent thesis at the platform level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 governance is platform-agnostic and model-agnostic; applicable to any inference provider including Vertex AI; adds formal DEL-v2 state machine enforcement and cross-session audit trail that Vertex AI does not provide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 Agents SDK</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Guardrails and tracing are developer-configured building blocks, not out-of-the-box compliance tools; formal compliance features exist only at OpenAI Enterprise platform level; no persistent cross-session governance</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 governance layer wraps any Agents SDK execution with persistent database-backed state; governance decisions survive session and model switches, which Agents SDK tracing does not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frameworks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 framework provides breach detection that halts execution and prevents forward progress when an invariant is violated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PROTOCOL_BREACH state (WP-001 v1.2, Section 4) halts all execution on invariant violation; no automatic recovery; human operator approval required to resume</w:t>
            </w:r>
          </w:p>
        </w:tc>
      </w:tr>
    </w:tbl>
    <w:p>
      <w:pPr>
        <w:spacing w:before="120" w:after="0"/>
      </w:pPr>
    </w:p>
    <w:p>
      <w:pPr>
        <w:pBdr>
          <w:left w:val="single" w:color="2E75B6" w:sz="6" w:space="8"/>
        </w:pBdr>
        <w:spacing w:before="120" w:after="200"/>
        <w:ind w:left="720"/>
      </w:pPr>
      <w:r>
        <w:rPr>
          <w:rFonts w:ascii="Arial" w:cs="Arial" w:eastAsia="Arial" w:hAnsi="Arial"/>
          <w:i/>
          <w:iCs/>
          <w:color w:val="555555"/>
          <w:sz w:val="22"/>
          <w:szCs w:val="22"/>
        </w:rPr>
        <w:t xml:space="preserve">The competitive moat is not the agent framework itself. Any team can deploy LangGraph or CrewAI. The moat is the governance wrapper: 10-state DEL-v2 lifecycle enforcement, SHA-256-verified state transitions, cryptographic audit trails, and multi-agent role separation that no single agent can circumvent. This is the enterprise compliance feature that justifies ContextKeeper pricing versus a bare framework deployment.</w:t>
      </w:r>
    </w:p>
    <w:p>
      <w:pPr>
        <w:pStyle w:val="Heading1"/>
        <w:pageBreakBefore/>
        <w:spacing w:before="360" w:after="120" w:line="276" w:lineRule="auto"/>
      </w:pPr>
      <w:r>
        <w:rPr>
          <w:rFonts w:ascii="Arial" w:cs="Arial" w:eastAsia="Arial" w:hAnsi="Arial"/>
          <w:b/>
          <w:bCs/>
          <w:color w:val="1B2A4A"/>
          <w:sz w:val="36"/>
          <w:szCs w:val="36"/>
        </w:rPr>
        <w:t xml:space="preserve">7. Chat UI and Inference Backend Reference</w:t>
      </w:r>
    </w:p>
    <w:p>
      <w:pPr>
        <w:pStyle w:val="Heading2"/>
        <w:spacing w:before="240" w:after="80" w:line="276" w:lineRule="auto"/>
      </w:pPr>
      <w:r>
        <w:rPr>
          <w:rFonts w:ascii="Arial" w:cs="Arial" w:eastAsia="Arial" w:hAnsi="Arial"/>
          <w:b/>
          <w:bCs/>
          <w:color w:val="2E75B6"/>
          <w:sz w:val="28"/>
          <w:szCs w:val="28"/>
        </w:rPr>
        <w:t xml:space="preserve">7.1 Open-Source Chat UI Options</w:t>
      </w:r>
    </w:p>
    <w:p>
      <w:pPr>
        <w:spacing w:before="0" w:after="200" w:line="276" w:lineRule="auto"/>
      </w:pPr>
      <w:r>
        <w:rPr>
          <w:rFonts w:ascii="Arial" w:cs="Arial" w:eastAsia="Arial" w:hAnsi="Arial"/>
          <w:color w:val="2C2C2C"/>
          <w:sz w:val="22"/>
          <w:szCs w:val="22"/>
        </w:rPr>
        <w:t xml:space="preserve">Table 9 catalogs open-source chat UI options with their feature sets, technology stacks, and recommended use cases. The landscape has consolidated since v1.0: Open WebUI has become the clear leader at 127,665 stars, LibreChat was acquired by ClickHouse (November 4, 2025) and is now enterprise-focused, and LobeChat has rebranded to LobeHub (November 3, 2025) as a comprehensive agent platform.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400"/>
        <w:gridCol w:w="2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Project</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Key Features</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Tech Stack</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 WebUI (127,665 stars; 290M+ downloads): RECOMMENDED PRIMARY</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Multi-model (Ollama, OpenAI-compatible, Anthropic); 9 vector DB options for RAG (Chroma, pgvector, Qdrant, Milvus, Elasticsearch, OpenSearch, Pinecone, S3Vector, Oracle 23ai); code interpreter; voice/video; Python function calling; persistent artifact storage; enterprise SSO/RBAC/SCIM/audit logs; OpenTelemetry; desktop app (alpha)</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Python + Svelte</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LibreChat (34,300 stars; acquired by ClickHouse Nov 2025)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Multi-provider; full agent support with MCP integration; Code Interpreter; Artifacts (generative UI with Monaco editor); Responses API support; enterprise-grade admin panel roadmap; used by Daimler Truck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Node.js + React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LobeHub/LobeChat (50,000+ stars; rebranded from LobeChat Nov 2025)</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Agent-first; multi-agent collaboration; MCP Marketplace; knowledge base/RAG; polished modern UI; desktop apps; one-click Vercel deploy; voice/vision/TTS/STT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Next.js</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Chatbot UI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Clean ChatGPT-style clone; multi-model; prompt library; file handling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Next.js + Supabase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Big-AGI</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Power-user features; multi-chat; beam search; personas; drawings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Next.js</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bl>
    <w:p>
      <w:pPr>
        <w:spacing w:before="120" w:after="0"/>
      </w:pPr>
    </w:p>
    <w:p>
      <w:pPr>
        <w:spacing w:before="0" w:after="200" w:line="276" w:lineRule="auto"/>
      </w:pPr>
      <w:r>
        <w:rPr>
          <w:rFonts w:ascii="Arial" w:cs="Arial" w:eastAsia="Arial" w:hAnsi="Arial"/>
          <w:color w:val="2C2C2C"/>
          <w:sz w:val="22"/>
          <w:szCs w:val="22"/>
        </w:rPr>
        <w:t xml:space="preserve">Open WebUI is the recommended primary choice for the ContextKeeper deployment. Its native 9-option RAG integration eliminates the need to build a separate RAG UI layer; its enterprise RBAC maps to ContextKeeper's plan-gating and user-tier model; and its Python + Svelte stack is straightforward to fork and extend with ContextKeeper-specific components (token meter, governance status indicator, context health display, DEL-v2 state indicator). LibreChat is the recommended fallback if Open WebUI's Python dependency proves incompatible with the cPanel shared hosting environment, as LibreChat's Node.js stack has lower server-side resource requirements.</w:t>
      </w:r>
    </w:p>
    <w:p>
      <w:pPr>
        <w:pStyle w:val="Heading2"/>
        <w:spacing w:before="240" w:after="80" w:line="276" w:lineRule="auto"/>
      </w:pPr>
      <w:r>
        <w:rPr>
          <w:rFonts w:ascii="Arial" w:cs="Arial" w:eastAsia="Arial" w:hAnsi="Arial"/>
          <w:b/>
          <w:bCs/>
          <w:color w:val="2E75B6"/>
          <w:sz w:val="28"/>
          <w:szCs w:val="28"/>
        </w:rPr>
        <w:t xml:space="preserve">7.2 LLM Inference Backends</w:t>
      </w:r>
    </w:p>
    <w:p>
      <w:pPr>
        <w:spacing w:before="0" w:after="200" w:line="276" w:lineRule="auto"/>
      </w:pPr>
      <w:r>
        <w:rPr>
          <w:rFonts w:ascii="Arial" w:cs="Arial" w:eastAsia="Arial" w:hAnsi="Arial"/>
          <w:color w:val="2C2C2C"/>
          <w:sz w:val="22"/>
          <w:szCs w:val="22"/>
        </w:rPr>
        <w:t xml:space="preserve">Inference backends serve open-weight models via an OpenAI-compatible API endpoint, enabling the Model Router to switch between open-weight and commercial models using identical request structure. Table 10 catalogs the updated backend landscape. SGLang is added as a new entry: it was absent from v1.0 but is now deployed on 400,000+ GPUs worldwide and provides the highest production throughput for structured generation workloads.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Backend</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Key Properties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Recommended Use</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Ollama (~v0.17.x; 162,000 stars): RECOMMENDED development/single-user</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One-command model serving; 100+ model families including Llama 4, Qwen 3, DeepSeek-R1, GPT-OSS; OpenAI-compatible API; multimodal support; cloud model access via :cloud tag; MLX engine for Apple Silicon; no native MCP (issue #7865 open)</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Development and single-user serving; simplest path to running any open model locally; all Phase 1-2 open model testing</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vLLM (v0.17.1; 73,500 stars): RECOMMENDED production multi-user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PagedAttention for efficient KV-cache; FlashAttention 4; async scheduling plus pipeline parallelism (+30.8% E2E throughput per v0.16.0 release notes); Model Runner V2 (MRV2) is a separate architectural refactor, not yet feature-complete; disaggregated prefill/decode; Realtime API WebSocket streaming; Blackwell support; multi-LoRA serving; speculative decoding (Eagle3); structured output (JSON schema enforcement); vLLM-Omni for multimodal (Nov 2025); Semantic Router v0.1 Iris (Jan 2026); V1 architecture rewrite replacing V0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Production multi-user inference serving; highest throughput for concurrent requests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SGLang (v0.5.9; 24,300 stars): RECOMMENDED high-throughput structured generation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RadixAttention (automatic KV cache reuse via radix tree; up to 5x throughput improvement for shared-prefix workloads per published SGLang paper; real-world gains vary); compressed FSM for constrained decoding; prefill-decode disaggregation; native RL integrations. Deployed on 400,000+ GPUs at xAI (100K+ GPUs confirmed), AMD, NVIDIA, LinkedIn, and Cursor.</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Structured generation, multi-call workloads, RAG serving, and RL training where token throughput is the primary constraint</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llama.cpp (~94,700 stars; ggml.ai team joined Hugging Face Feb 2026)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CPU and GPU inference for GGUF quantized models; GGUF v3 with i-quants (non-linear codebooks); Llama 4 supported; up to 35% MoE throughput improvement (NVIDIA CES 2026 blog); grammar-constrained decoding (GBNF); LoRA hot-swapping; Vulkan, CUDA, Metal, ROCm, SYCL, OpenCL acceleration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Low-resource environments; edge deployment; CPU-only servers; maximum quantization control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TGI (Hugging Face)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Text Generation Inference with optimized serving, streaming, and continuous batching</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High-throughput serving with native Hugging Face Hub model integration and streaming responses</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LocalAI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Drop-in OpenAI API replacement supporting LLMs, image generation, audio, and embeddings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Unified API endpoint replacing multiple provider integrations with a single local interface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bl>
    <w:p>
      <w:pPr>
        <w:spacing w:before="120" w:after="0"/>
      </w:pPr>
    </w:p>
    <w:p>
      <w:pPr>
        <w:spacing w:before="0" w:after="200" w:line="276" w:lineRule="auto"/>
      </w:pPr>
      <w:r>
        <w:rPr>
          <w:rFonts w:ascii="Arial" w:cs="Arial" w:eastAsia="Arial" w:hAnsi="Arial"/>
          <w:color w:val="2C2C2C"/>
          <w:sz w:val="22"/>
          <w:szCs w:val="22"/>
        </w:rPr>
        <w:t xml:space="preserve">The recommended backend selection follows deployment phase. In Phase 1 (BYOK), no self-hosted inference backend is required. In Phase 2 (open model hosting), Ollama is recommended for development and single-user serving; vLLM is recommended for production multi-user serving; SGLang is recommended when structured output, RAG queries, or RL workloads are the primary throughput bottleneck. llama.cpp is recommended for any deployment environment where NVIDIA GPU hardware is unavailable. The up to 5x SGLang throughput improvement is a peak figure for workloads with significant shared prefixes; real-world improvements in mixed workloads are typically in the 10-20% range. TabbyML, listed in v1.0, has stalled development and is excluded from this catalog.</w:t>
      </w:r>
    </w:p>
    <w:p>
      <w:pPr>
        <w:spacing w:before="0" w:after="200" w:line="276" w:lineRule="auto"/>
      </w:pPr>
      <w:r>
        <w:rPr>
          <w:rFonts w:ascii="Arial" w:cs="Arial" w:eastAsia="Arial" w:hAnsi="Arial"/>
          <w:color w:val="2C2C2C"/>
          <w:sz w:val="22"/>
          <w:szCs w:val="22"/>
        </w:rPr>
        <w:t xml:space="preserve">Operators should treat all throughput and latency figures in this section as hardware- and workload-conditional, and track them as live KPIs rather than static facts. The minimum viable benchmark set for any chosen backend is: (1) time-to-first-token (TTFT) at p50 and p95, (2) time-per-output-token (TPOT) at p50 and p95, (3) sustained tokens per second (tok/s) under representative concurrency, and (4) cost per million tokens at the serving layer. The reason is that the ecosystem is experiencing step-function performance shifts from both kernel-level and scheduling innovation: vLLM v0.16.0 release notes attribute the 30.8% E2E throughput improvement to full support of async scheduling plus pipeline parallelism; SGLang's published paper (arXiv:2312.07104) reports up to 5x acceleration via RadixAttention; NVIDIA's CES 2026 blog reports up to 35% faster token generation for MoE models in llama.cpp and up to 30% on Ollama on RTX PCs. ContextKeeper's recommended operational stance is to bind backend selection to measurable thresholds and re-run the benchmark suite at every backend upgrade boundary as part of the governed engineering loop.</w:t>
      </w:r>
    </w:p>
    <w:p>
      <w:pPr>
        <w:pStyle w:val="Heading1"/>
        <w:pageBreakBefore/>
        <w:spacing w:before="360" w:after="120" w:line="276" w:lineRule="auto"/>
      </w:pPr>
      <w:r>
        <w:rPr>
          <w:rFonts w:ascii="Arial" w:cs="Arial" w:eastAsia="Arial" w:hAnsi="Arial"/>
          <w:b/>
          <w:bCs/>
          <w:color w:val="1B2A4A"/>
          <w:sz w:val="36"/>
          <w:szCs w:val="36"/>
        </w:rPr>
        <w:t xml:space="preserve">8. Hosting Options and Scaling Path</w:t>
      </w:r>
    </w:p>
    <w:p>
      <w:pPr>
        <w:spacing w:before="0" w:after="200" w:line="276" w:lineRule="auto"/>
      </w:pPr>
      <w:r>
        <w:rPr>
          <w:rFonts w:ascii="Arial" w:cs="Arial" w:eastAsia="Arial" w:hAnsi="Arial"/>
          <w:color w:val="2C2C2C"/>
          <w:sz w:val="22"/>
          <w:szCs w:val="22"/>
        </w:rPr>
        <w:t xml:space="preserve">The GPU infrastructure decision is the primary cost variable in deploying the ContextKeeper AI platform layer. The strategy is phased: defer all GPU expenditure until usage volume justifies it, and stage the introduction of inference backends to match demonstrated demand. GPU cloud pricing has collapsed 64-75% from its 2024 peak, driven by 300+ new providers entering the market and AWS cutting H100 prices approximately 44% in June 2025.</w:t>
      </w:r>
    </w:p>
    <w:p>
      <w:pPr>
        <w:pStyle w:val="Heading2"/>
        <w:spacing w:before="240" w:after="80" w:line="276" w:lineRule="auto"/>
      </w:pPr>
      <w:r>
        <w:rPr>
          <w:rFonts w:ascii="Arial" w:cs="Arial" w:eastAsia="Arial" w:hAnsi="Arial"/>
          <w:b/>
          <w:bCs/>
          <w:color w:val="2E75B6"/>
          <w:sz w:val="28"/>
          <w:szCs w:val="28"/>
        </w:rPr>
        <w:t xml:space="preserve">8.1 BYOK: Zero Infrastructure Start</w:t>
      </w:r>
    </w:p>
    <w:p>
      <w:pPr>
        <w:spacing w:before="0" w:after="200" w:line="276" w:lineRule="auto"/>
      </w:pPr>
      <w:r>
        <w:rPr>
          <w:rFonts w:ascii="Arial" w:cs="Arial" w:eastAsia="Arial" w:hAnsi="Arial"/>
          <w:color w:val="2C2C2C"/>
          <w:sz w:val="22"/>
          <w:szCs w:val="22"/>
        </w:rPr>
        <w:t xml:space="preserve">The Phase 1 deployment strategy is BYOK (Bring Your Own Key): users provide their own OpenAI, Anthropic, Google, Groq, or DeepSeek API keys. The Model Router forwards requests to the user's chosen provider. ContextKeeper provides the governance layer, connector ecosystem, chat interface, and token tracking. No GPU infrastructure is required on the operator side. This strategy is deployable immediately on existing cPanel shared hosting with no additional infrastructure expenditure. BYOK is not a temporary expedient; it is a permanent deployment option for enterprise users who prefer direct billing relationships with providers and full control over API keys.</w:t>
      </w:r>
    </w:p>
    <w:p>
      <w:pPr>
        <w:pStyle w:val="Heading2"/>
        <w:spacing w:before="240" w:after="80" w:line="276" w:lineRule="auto"/>
      </w:pPr>
      <w:r>
        <w:rPr>
          <w:rFonts w:ascii="Arial" w:cs="Arial" w:eastAsia="Arial" w:hAnsi="Arial"/>
          <w:b/>
          <w:bCs/>
          <w:color w:val="2E75B6"/>
          <w:sz w:val="28"/>
          <w:szCs w:val="28"/>
        </w:rPr>
        <w:t xml:space="preserve">8.2 Managed API Options</w:t>
      </w:r>
    </w:p>
    <w:p>
      <w:pPr>
        <w:spacing w:before="0" w:after="200" w:line="276" w:lineRule="auto"/>
      </w:pPr>
      <w:r>
        <w:rPr>
          <w:rFonts w:ascii="Arial" w:cs="Arial" w:eastAsia="Arial" w:hAnsi="Arial"/>
          <w:color w:val="2C2C2C"/>
          <w:sz w:val="22"/>
          <w:szCs w:val="22"/>
        </w:rPr>
        <w:t xml:space="preserve">Phase 2 adds managed inference options as additional routing targets alongside BYOK. Groq's LPU inference remains the recommended first Phase 2 addition: its inference speed exceeds most GPU deployments for Llama 4 Scout ($0.11/$0.34 per 1M tokens), Maverick ($0.20/$0.60), and Llama 3.3 70B ($0.59/$0.79), and the API is OpenAI-compatible requiring no changes to the Model Router. Together AI and Fireworks AI provide broader model variety at comparable cost. DeepSeek's own API ($0.28/$0.42 for V3.2) offers strong cost-performance but carries data sovereignty concerns documented in Section 2.1.</w:t>
      </w:r>
    </w:p>
    <w:p>
      <w:pPr>
        <w:pStyle w:val="Heading2"/>
        <w:spacing w:before="240" w:after="80" w:line="276" w:lineRule="auto"/>
      </w:pPr>
      <w:r>
        <w:rPr>
          <w:rFonts w:ascii="Arial" w:cs="Arial" w:eastAsia="Arial" w:hAnsi="Arial"/>
          <w:b/>
          <w:bCs/>
          <w:color w:val="2E75B6"/>
          <w:sz w:val="28"/>
          <w:szCs w:val="28"/>
        </w:rPr>
        <w:t xml:space="preserve">8.3 Dedicated GPU: Phase 3 Scaling</w:t>
      </w:r>
    </w:p>
    <w:p>
      <w:pPr>
        <w:spacing w:before="0" w:after="200" w:line="276" w:lineRule="auto"/>
      </w:pPr>
      <w:r>
        <w:rPr>
          <w:rFonts w:ascii="Arial" w:cs="Arial" w:eastAsia="Arial" w:hAnsi="Arial"/>
          <w:color w:val="2C2C2C"/>
          <w:sz w:val="22"/>
          <w:szCs w:val="22"/>
        </w:rPr>
        <w:t xml:space="preserve">Phase 3 introduces dedicated GPU instances when production traffic volume demonstrates that free tier limits constrain user experience. H100 SXM 80GB instances are now available at $2.69/hr on RunPod Secure Cloud and $1.91/hr median on Vast.ai, down from the approximately $8/hr peak of late 2024. RTX 4090 instances start at $0.34/hr on RunPod, sufficient for quantized Llama 4 Scout at Q4_K_M with CPU offloading. For Llama 4 Scout in production, a single H100 80GB is the minimum recommended dedicated GPU, enabling Q4 quantization at approximately 65 GB VRAM with space for the KV cache. vLLM is the recommended inference backend for production serving of multi-user workloads; SGLang is recommended when structured generation or RAG throughput is the primary bottleneck; llama.cpp remains suitable for CPU-only or low-VRAM environments.</w:t>
      </w:r>
    </w:p>
    <w:p>
      <w:pPr>
        <w:pStyle w:val="Heading2"/>
        <w:spacing w:before="240" w:after="80" w:line="276" w:lineRule="auto"/>
      </w:pPr>
      <w:r>
        <w:rPr>
          <w:rFonts w:ascii="Arial" w:cs="Arial" w:eastAsia="Arial" w:hAnsi="Arial"/>
          <w:b/>
          <w:bCs/>
          <w:color w:val="2E75B6"/>
          <w:sz w:val="28"/>
          <w:szCs w:val="28"/>
        </w:rPr>
        <w:t xml:space="preserve">8.4 Hosting Option Comparison</w:t>
      </w:r>
    </w:p>
    <w:p>
      <w:pPr>
        <w:spacing w:before="0" w:after="200" w:line="276" w:lineRule="auto"/>
      </w:pPr>
      <w:r>
        <w:rPr>
          <w:rFonts w:ascii="Arial" w:cs="Arial" w:eastAsia="Arial" w:hAnsi="Arial"/>
          <w:color w:val="2C2C2C"/>
          <w:sz w:val="22"/>
          <w:szCs w:val="22"/>
        </w:rPr>
        <w:t xml:space="preserve">Table 11 provides a consolidated comparison with verified March 2026 pricing.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Option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Cost Structure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Capability</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Recommended Phase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BYOK (Bring Your Own Key)</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Zero cost to operator; user pays own provider bills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commercial model access (GPT-5.4, Claude Sonnet 4.6, Gemini 2.5 Flash); no GPU required on operator side</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1: deploy immediately on existing cPanel hosting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Groq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Pay-per-token; Llama 4 Scout $0.11/$0.34 per 1M; Llama 3.3 70B $0.59/$0.79 per 1M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LPU-accelerated inference: 594 tok/s (Scout), 394 tok/s (3.3 70B); fastest available API for open models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2: add as a backend option alongside BYOK</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Together AI</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Pay-per-token; Llama 4 Maverick $0.27/$0.85 per 1M; Llama 3.3 70B $0.88/$0.88 per 1M</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Broad open model catalog; simple API; broad model variety</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2: add alongside Groq for model variety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Fireworks 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Tiered pricing; Llama MoE models approximately $0.50/1M blended; 70B+ non-MoE approximately $0.90/1M blended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Fast inference for popular open models; competitive production pricing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2: evaluate as alternative to Together AI</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 Colab</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Free T4 GPU (15 GB VRAM); usage time limits apply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Sufficient for 7B model development and testing; not suitable for production serving</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Development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RunPod (Community Cloud)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RTX 4090: $0.34/hr; A100 SXM 80GB: $1.39/hr; H100 SXM 80GB: $2.69/hr; H200 141GB: $3.59/hr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Broad GPU variety; reliable provisioning; Secure Cloud option for compliance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3: when usage volume justifies dedicated compute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Vast.ai (Marketplace)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RTX 4090 median: $0.43/hr; A100 80GB median: $0.77/hr; H100 80GB median: $1.91/hr; B200: $2.67/hr</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Lowest spot prices; variable availability; best for cost-sensitive batch workloads; budget 30-50% above advertised for predictability</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3: cost-sensitive batch fine-tuning and inference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Lambda Labs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H100 SXM 80GB 8x cluster: $3.44/hr per GPU; B200 8x: $5.74/hr per GPU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Reliable managed clusters; 1 Gbps+ networking between nodes; strong for multi-GPU training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3: multi-GPU fine-tuning at scale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CoreWeave / Nebius / Crusoe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H100: $2.50-3.00/hr; H200: $3.50/hr; institutional-grade SLAs; enterprise contracts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Enterprise-grade neocloud infrastructure; major contracts with Meta, Microsoft, OpenAI; compliance-ready configurations</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3: enterprise-scale production deployments</w:t>
            </w:r>
          </w:p>
        </w:tc>
      </w:tr>
    </w:tbl>
    <w:p>
      <w:pPr>
        <w:pStyle w:val="Heading1"/>
        <w:pageBreakBefore/>
        <w:spacing w:before="360" w:after="120" w:line="276" w:lineRule="auto"/>
      </w:pPr>
      <w:r>
        <w:rPr>
          <w:rFonts w:ascii="Arial" w:cs="Arial" w:eastAsia="Arial" w:hAnsi="Arial"/>
          <w:b/>
          <w:bCs/>
          <w:color w:val="1B2A4A"/>
          <w:sz w:val="36"/>
          <w:szCs w:val="36"/>
        </w:rPr>
        <w:t xml:space="preserve">9. The Complete Free Stack</w:t>
      </w:r>
    </w:p>
    <w:p>
      <w:pPr>
        <w:spacing w:before="0" w:after="200" w:line="276" w:lineRule="auto"/>
      </w:pPr>
      <w:r>
        <w:rPr>
          <w:rFonts w:ascii="Arial" w:cs="Arial" w:eastAsia="Arial" w:hAnsi="Arial"/>
          <w:color w:val="2C2C2C"/>
          <w:sz w:val="22"/>
          <w:szCs w:val="22"/>
        </w:rPr>
        <w:t xml:space="preserve">Table 12 presents the complete ContextKeeper-powered AI platform stack where every open-source component carries zero licensing cost. The table reflects the updated March 2026 technology selections throughout. The only costs are hosting infrastructure (existing cPanel for Phase 1) and GPU compute (deferred to Phase 3). ContextKeeper proprietary components (governance, connectors, auth, and billing) are the platform's own intellectual property and carry no external licensing cost.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600"/>
        <w:gridCol w:w="2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Stack Layer</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Recommended Tool</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Purpose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Chat UI</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 WebUI (primary) or LibreChat (fallback)</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User-facing conversational interface with RAG, RBAC, and MCP-compatible tool support</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Inference 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Ollama (dev) + vLLM (prod) + SGLang (high-throughput structured)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Serve open-weight LLMs with OpenAI-compatible API endpoint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 Apache 2.0</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Base Model</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4 Scout (default) or Llama 3.3 70B (dense 70B-class)</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Core LLM for general-purpose chat, reasoning, code generation, and multimodal input</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4 Community License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Fine-Tuning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Unsloth + PEFT/LoRA (with Axolotl for multi-GPU)</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Domain-specific model personalization; MoE-aware LoRA for Llama 4 Scout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MCP Integration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Official Python/TypeScript MCP SDK (FastMCP)</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Expose connectors as MCP servers; integrate with MCP-compatible hosts; tool governance layer</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 Apache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RAG 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LlamaIndex (primary) or LangChain (prototyping)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Document ingestion, chunking, indexing, and retrieval pipeline; agentic document processing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Vector Database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Qdrant (production) or Chroma (development)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Embedding storage and similarity search for retrieved context</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Document Processing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Docling (primary) with Unstructured.io (fallback)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Parse PDFs, DOCX, and enterprise documents with layout-aware extraction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 Apache 2.0</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Embedding Model</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BGE-M3 or Nomic-Embed-v1.5</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Text-to-vector conversion for semantic search and retrieval; CPU inference sufficient</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 Apache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LangGraph (primary) + CrewAI (role-specialized teams)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Multi-step agent workflows with state machine control and role separation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Library: MIT (LangGraph) / MIT (CrewAI)</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ML Pipelines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MLflow + DVC</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Experiment tracking, model versioning, and pipeline reproducibility</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Code Execution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 Interpreter (local) or Smolagents sandboxed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Natural language to code execution; AGPL license review required for hosted Open Interpreter deployments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AGPL / Apache 2.0</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 (DEL-v2)</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 machine governance, cryptographic audit trail, session continuity, MCP tool call enforcement</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Proprietary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 (67 types) + MCP server exposure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External service integration: databases, storage, repositories, APIs; MCP-compatible tool exposure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Proprietary</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Auth and Billing</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 PHP backend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User management, API key authentication, plan gating, Stripe billing</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Proprietary</w:t>
            </w:r>
          </w:p>
        </w:tc>
      </w:tr>
    </w:tbl>
    <w:p>
      <w:pPr>
        <w:spacing w:before="120" w:after="0"/>
      </w:pPr>
    </w:p>
    <w:p>
      <w:pPr>
        <w:spacing w:before="0" w:after="200" w:line="276" w:lineRule="auto"/>
      </w:pPr>
      <w:r>
        <w:rPr>
          <w:rFonts w:ascii="Arial" w:cs="Arial" w:eastAsia="Arial" w:hAnsi="Arial"/>
          <w:color w:val="2C2C2C"/>
          <w:sz w:val="22"/>
          <w:szCs w:val="22"/>
        </w:rPr>
        <w:t xml:space="preserve">The total licensing cost of the open-source components in Table 12 is zero. Two license notes require attention. First, LangGraph uses a three-tier structure: the core library is MIT (free for self-hosting), the API server uses Elastic License 2.0 (self-hosting permitted, hosting-as-a-service prohibited), and the platform offering is proprietary commercial software. Teams self-hosting LangGraph open-source require no commercial license. Second, the AGPL license on Open Interpreter requires that source code of any modifications be made available to users who interact with the service over a network. For hosted deployment, Smolagents with Docker or E2B sandbox is the recommended alternative. For self-hosted and on-premises deployments, Open Interpreter's AGPL is not a constraint.</w:t>
      </w:r>
    </w:p>
    <w:p>
      <w:pPr>
        <w:pStyle w:val="Heading1"/>
        <w:pageBreakBefore/>
        <w:spacing w:before="360" w:after="120" w:line="276" w:lineRule="auto"/>
      </w:pPr>
      <w:r>
        <w:rPr>
          <w:rFonts w:ascii="Arial" w:cs="Arial" w:eastAsia="Arial" w:hAnsi="Arial"/>
          <w:b/>
          <w:bCs/>
          <w:color w:val="1B2A4A"/>
          <w:sz w:val="36"/>
          <w:szCs w:val="36"/>
        </w:rPr>
        <w:t xml:space="preserve">10. AI Platform Build Sequence</w:t>
      </w:r>
    </w:p>
    <w:p>
      <w:pPr>
        <w:spacing w:before="0" w:after="200" w:line="276" w:lineRule="auto"/>
      </w:pPr>
      <w:r>
        <w:rPr>
          <w:rFonts w:ascii="Arial" w:cs="Arial" w:eastAsia="Arial" w:hAnsi="Arial"/>
          <w:color w:val="2C2C2C"/>
          <w:sz w:val="22"/>
          <w:szCs w:val="22"/>
        </w:rPr>
        <w:t xml:space="preserve">The AI platform capabilities layer onto the existing ContextKeeper SaaS foundation in a defined sequence. Each step has explicit dependencies that make parallel execution impossible without satisfying prerequisites. Table 13 defines the build sequence, updated to include MCP server exposure as an explicit step.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800"/>
        <w:gridCol w:w="37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Capability</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Implementation Approach</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Dependencies</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BYOK Chat Interface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Fork Open WebUI; integrate with existing PHP auth system; add model router for user-provided API keys (OpenAI, Anthropic, Google, Groq, DeepSeek)</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Auth system (live); API key table (live)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Connector-Aware Chat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Bridge chat to connector ecosystem so users can query GitHub, S3, and Postgres from within conversations via ConnectorInterface.php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1 connector implementations (5 live)</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RAG Pipeline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Add LlamaIndex and Qdrant or Chroma; users upload documents or connect sources; Docling for document processing; chat retrieves against them</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Step 2 complete; vector database hosting decision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 Integration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Wrap chat sessions in DEL-v2; every decision logged to decisions table; state tracked; bootstrap protocol active on model switch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Steps 1-3; bundle system (WP-001 v1.2)</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MCP Server Exposure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Implement each active connector as an MCP server using Python or TypeScript MCP SDK; expose via stdio transport locally and Streamable HTTP for remote access; register in official MCP registry; apply security review per Section 3.4 for each server</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Step 2 complete; MCP SDK; security review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Designer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UI to define agents with system prompts, connector bindings (also MCP-exposed), and governance rules; persist to agents table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Steps 1-5; dashboard polish</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Execution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 agent definitions on manual, API, webhook, and schedule triggers; full audit trail in agent_runs; LangGraph or Smolagents as execution engine wrapped in DEL-v2; A2A protocol support for cross-framework delegation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Steps 1-6; security hardening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Hosted Model Serving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Add Ollama or vLLM backend for open-weight models; users select platform models (Llama 4 Scout, Qwen 3.5, Llama 3.3 70B) instead of BYOK; SGLang for structured output workloads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GPU hosting decision; billing system</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9</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Fine-Tuning Service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Users upload domain data; platform runs Unsloth fine-tuning job on Llama 4 Scout or Llama 3.3 70B with MoE-aware LoRA; trained model served back to user</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Step 8 complete; GPU hosting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Community Marketplace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Publish agent configurations and MCP server templates; fork templates; ratings and creator profiles; premium agent sales; MCP server marketplace integrated with official registry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Steps 6-7; team features; MCP registry integration (Step 5)</w:t>
            </w:r>
          </w:p>
        </w:tc>
      </w:tr>
    </w:tbl>
    <w:p>
      <w:pPr>
        <w:spacing w:before="120" w:after="0"/>
      </w:pPr>
    </w:p>
    <w:p>
      <w:pPr>
        <w:spacing w:before="0" w:after="200" w:line="276" w:lineRule="auto"/>
      </w:pPr>
      <w:r>
        <w:rPr>
          <w:rFonts w:ascii="Arial" w:cs="Arial" w:eastAsia="Arial" w:hAnsi="Arial"/>
          <w:color w:val="2C2C2C"/>
          <w:sz w:val="22"/>
          <w:szCs w:val="22"/>
        </w:rPr>
        <w:t xml:space="preserve">Steps 1 through 5 require no GPU hosting at all. BYOK mode in Step 1 means the user provides compute via their own API keys; the operator provides governance, connectors, and the interface on existing cPanel infrastructure. MCP server exposure in Step 5 is a software-only change that transforms ContextKeeper's proprietary connectors into standard open infrastructure available to any MCP host. Steps 6 and 7 similarly require no GPU; agents call external APIs or user-provided models. Steps 8 and 9 are the first steps requiring GPU infrastructure decisions. Step 10 (community marketplace) extends the agent marketplace to include MCP server templates, creating a second marketplace layer alongside agent configurations.</w:t>
      </w:r>
    </w:p>
    <w:p>
      <w:pPr>
        <w:spacing w:before="0" w:after="200" w:line="276" w:lineRule="auto"/>
      </w:pPr>
      <w:r>
        <w:rPr>
          <w:rFonts w:ascii="Arial" w:cs="Arial" w:eastAsia="Arial" w:hAnsi="Arial"/>
          <w:color w:val="2C2C2C"/>
          <w:sz w:val="22"/>
          <w:szCs w:val="22"/>
        </w:rPr>
        <w:t xml:space="preserve">The sequencing is governed by the Dynamic Task Prioritization system (WP-003 v1.2, Section 6). Each step is scored on Revenue, Unblock, Dependency, and Effort dimensions at the start of each development session. The sequence in Table 13 reflects the default scoring order absent customer-driven override signals.</w:t>
      </w:r>
    </w:p>
    <w:p>
      <w:pPr>
        <w:pStyle w:val="Heading1"/>
        <w:pageBreakBefore/>
        <w:spacing w:before="360" w:after="120" w:line="276" w:lineRule="auto"/>
      </w:pPr>
      <w:r>
        <w:rPr>
          <w:rFonts w:ascii="Arial" w:cs="Arial" w:eastAsia="Arial" w:hAnsi="Arial"/>
          <w:b/>
          <w:bCs/>
          <w:color w:val="1B2A4A"/>
          <w:sz w:val="36"/>
          <w:szCs w:val="36"/>
        </w:rPr>
        <w:t xml:space="preserve">11. Integration Points</w:t>
      </w:r>
    </w:p>
    <w:p>
      <w:pPr>
        <w:spacing w:before="0" w:after="200" w:line="276" w:lineRule="auto"/>
      </w:pPr>
      <w:r>
        <w:rPr>
          <w:rFonts w:ascii="Arial" w:cs="Arial" w:eastAsia="Arial" w:hAnsi="Arial"/>
          <w:color w:val="2C2C2C"/>
          <w:sz w:val="22"/>
          <w:szCs w:val="22"/>
        </w:rPr>
        <w:t xml:space="preserve">WP-001 (DEL-v2 Technical Reference, v1.2): the governance wrapper applied to all agent frameworks in Section 6 is the DEL-v2 10-state lifecycle defined in WP-001. The SHA-256 verification used to track fine-tuning checkpoints uses the MANIFEST integrity mechanism from WP-001, Section 9. The multi-agent role separation (Operator/Executor/Auditor) that prevents agent self-approval is defined in WP-001, Section 7. MCP tool call enforcement (Section 3.5) integrates directly with the DEL-v2 gate enforcement mechanism. A2A task handoffs (Section 6.2) are intercepted by the same gate enforcement layer.</w:t>
      </w:r>
    </w:p>
    <w:p>
      <w:pPr>
        <w:spacing w:before="0" w:after="200" w:line="276" w:lineRule="auto"/>
      </w:pPr>
      <w:r>
        <w:rPr>
          <w:rFonts w:ascii="Arial" w:cs="Arial" w:eastAsia="Arial" w:hAnsi="Arial"/>
          <w:color w:val="2C2C2C"/>
          <w:sz w:val="22"/>
          <w:szCs w:val="22"/>
        </w:rPr>
        <w:t xml:space="preserve">WP-002 (Enterprise Delivery Governance, v1.1): the reproducibility property of fine-tuning runs (Section 2.3) is governed by the Reproducibility Contract defined in WP-002 v1.1, Section 11.6. The ML pipeline tooling's experiment tracking (MLflow, DVC) provides the input manifest and output manifest fields required by that contract.</w:t>
      </w:r>
    </w:p>
    <w:p>
      <w:pPr>
        <w:spacing w:before="0" w:after="200" w:line="276" w:lineRule="auto"/>
      </w:pPr>
      <w:r>
        <w:rPr>
          <w:rFonts w:ascii="Arial" w:cs="Arial" w:eastAsia="Arial" w:hAnsi="Arial"/>
          <w:color w:val="2C2C2C"/>
          <w:sz w:val="22"/>
          <w:szCs w:val="22"/>
        </w:rPr>
        <w:t xml:space="preserve">WP-003 (Platform Architecture and Token Intelligence, v1.2): the Model Router described in Section 7.2 of this paper is the same component specified as Layer 2 of the chat interface in WP-003 v1.2, Section 5.1.2. The inference backends in Section 7.2 are the backends that Model Router dispatches to. The token tracking infrastructure in WP-003 v1.2, Section 3 applies to all inference calls routed through the backends described in this paper, including calls to locally hosted open models and calls made via MCP tool executions.</w:t>
      </w:r>
    </w:p>
    <w:p>
      <w:pPr>
        <w:spacing w:before="0" w:after="200" w:line="276" w:lineRule="auto"/>
      </w:pPr>
      <w:r>
        <w:rPr>
          <w:rFonts w:ascii="Arial" w:cs="Arial" w:eastAsia="Arial" w:hAnsi="Arial"/>
          <w:color w:val="2C2C2C"/>
          <w:sz w:val="22"/>
          <w:szCs w:val="22"/>
        </w:rPr>
        <w:t xml:space="preserve">WP-005 (Agent Orchestration, Marketplace, and Revenue Architecture, v1.2): the agent frameworks cataloged in Section 6 of this paper are the execution engines that the agent builder hub in WP-005 wraps with governance definitions. The connector-aware RAG pipeline in Section 5.6 is the retrieval infrastructure that connector-powered agents in WP-005 use for context retrieval. The MCP server marketplace in Build Sequence Step 10 is the open-infrastructure extension of the agent marketplace defined in WP-005.</w:t>
      </w:r>
    </w:p>
    <w:p>
      <w:pPr>
        <w:spacing w:before="0" w:after="200" w:line="276" w:lineRule="auto"/>
      </w:pPr>
      <w:r>
        <w:rPr>
          <w:rFonts w:ascii="Arial" w:cs="Arial" w:eastAsia="Arial" w:hAnsi="Arial"/>
          <w:color w:val="2C2C2C"/>
          <w:sz w:val="22"/>
          <w:szCs w:val="22"/>
        </w:rPr>
        <w:t xml:space="preserve">WP-006 (Master Execution Plan and Phased Delivery Roadmap, planned): the build sequence defined in Section 10 of this paper is incorporated into the phased delivery roadmap in WP-006. The GPU hosting decision points identified in Section 8.3 correspond to infrastructure milestones in WP-006's dependency graph.</w:t>
      </w:r>
    </w:p>
    <w:p>
      <w:pPr>
        <w:pStyle w:val="Heading1"/>
        <w:pageBreakBefore/>
        <w:spacing w:before="360" w:after="120" w:line="276" w:lineRule="auto"/>
      </w:pPr>
      <w:r>
        <w:rPr>
          <w:rFonts w:ascii="Arial" w:cs="Arial" w:eastAsia="Arial" w:hAnsi="Arial"/>
          <w:b/>
          <w:bCs/>
          <w:color w:val="1B2A4A"/>
          <w:sz w:val="36"/>
          <w:szCs w:val="36"/>
        </w:rPr>
        <w:t xml:space="preserve">12. Conclusion</w:t>
      </w:r>
    </w:p>
    <w:p>
      <w:pPr>
        <w:spacing w:before="0" w:after="200" w:line="276" w:lineRule="auto"/>
      </w:pPr>
      <w:r>
        <w:rPr>
          <w:rFonts w:ascii="Arial" w:cs="Arial" w:eastAsia="Arial" w:hAnsi="Arial"/>
          <w:color w:val="2C2C2C"/>
          <w:sz w:val="22"/>
          <w:szCs w:val="22"/>
        </w:rPr>
        <w:t xml:space="preserve">We have cataloged the complete open infrastructure and AI toolkit for the ContextKeeper platform, updated to reflect the state of the ecosystem as of March 2026. The stack includes: eight Tier 1 open-weight LLMs across four architectures (dense, MoE, MoE-dense-hybrid, and code-specialized), seven specialized models, five fine-tuning tools, fifteen ML pipeline components, four RAG frameworks, six vector databases, four document processing tools, nine agent frameworks, five chat UI options, six inference backends, and a comprehensive hosting strategy with current GPU pricing.</w:t>
      </w:r>
    </w:p>
    <w:p>
      <w:pPr>
        <w:spacing w:before="0" w:after="200" w:line="276" w:lineRule="auto"/>
      </w:pPr>
      <w:r>
        <w:rPr>
          <w:rFonts w:ascii="Arial" w:cs="Arial" w:eastAsia="Arial" w:hAnsi="Arial"/>
          <w:color w:val="2C2C2C"/>
          <w:sz w:val="22"/>
          <w:szCs w:val="22"/>
        </w:rPr>
        <w:t xml:space="preserve">Six structural findings for the updated ContextKeeper roadmap. First, MCP is required infrastructure, not optional: every connector ContextKeeper builds should be implemented as an MCP server, transforming proprietary connectors into standard open infrastructure usable by any MCP host and dramatically expanding the addressable market. However, MCP security must be treated as a first-class concern: the OWASP MCP Top 10, 30+ CVEs in 60 days, and MCPTox attack success rates above 60% establish that naive MCP deployment is a significant security risk; the DEL-v2 invariant enforcement layer is the correct mitigation. Second, MoE is the architecture to build around: Llama 4 Scout at 17B active parameters delivers performance exceeding the prior 405B dense model on most tasks while fitting on a single H100 (with the important caveat that 65 GB VRAM is required for the full 109B parameter load). Third, open-weight models have reached near-parity with closed models on SE benchmarks: MiniMax M2.5 at 80.2%, Qwen 3.5 at 76.4%, and Kimi K2 at approximately 75% on SWE-bench Verified all match or exceed current frontier closed models, making the hosted model tier commercially viable earlier than originally projected. Fourth, the agent framework landscape has converged enough to commit: LangGraph (MIT library, commercial platform) for production orchestration, CrewAI for role-specialized teams, and Microsoft Agent Framework for .NET environments cover the enterprise agent surface. Fifth, GPU cloud pricing collapse makes Phase 3 hosting accessible far earlier than originally projected: H100 at $2.69/hr on RunPod versus approximately $8/hr at prior peak means the economic threshold for introducing hosted open models is approximately 2-3x lower than the original business case assumed. Sixth, the governance wrapper is more differentiated now than when this paper was originally written: LangGraph's platform offering moved to proprietary, Google ADK and Microsoft Agent Framework both lack cryptographic audit trails, and the OWASP Top 10 for Agentic Applications has legitimized the governed-agent market thesis with a top standards body reference.</w:t>
      </w:r>
    </w:p>
    <w:p>
      <w:pPr>
        <w:spacing w:before="0" w:after="200" w:line="276" w:lineRule="auto"/>
      </w:pPr>
      <w:r>
        <w:rPr>
          <w:rFonts w:ascii="Arial" w:cs="Arial" w:eastAsia="Arial" w:hAnsi="Arial"/>
          <w:color w:val="2C2C2C"/>
          <w:sz w:val="22"/>
          <w:szCs w:val="22"/>
        </w:rPr>
        <w:t xml:space="preserve">The total licensing cost of the open-source components in this stack remains zero. The differentiating contribution of ContextKeeper is the governance layer that wraps every framework in this catalog with a formal state machine, SHA-256-verified audit trail, multi-agent role separation, MCP tool call enforcement, A2A task handoff governance, and breach detection that halts execution on invariant violations. This governance wrapper transforms a collection of excellent but ungoverned tools into a platform that enterprise customers in regulated industries can deploy with confidence. The EU AI Act's full enforcement date of August 2, 2026 provides a concrete commercial deadline: organizations building on open AI infrastructure need governance frameworks operational before that date, and ContextKeeper's DEL-v2 protocol is designed precisely for this requirement.</w:t>
      </w:r>
    </w:p>
    <w:p>
      <w:pPr>
        <w:spacing w:before="0" w:after="200" w:line="276" w:lineRule="auto"/>
      </w:pPr>
      <w:r>
        <w:rPr>
          <w:rFonts w:ascii="Arial" w:cs="Arial" w:eastAsia="Arial" w:hAnsi="Arial"/>
          <w:color w:val="2C2C2C"/>
          <w:sz w:val="22"/>
          <w:szCs w:val="22"/>
        </w:rPr>
        <w:t xml:space="preserve">Regulatory convergence is now an infrastructure concern, not only a policy concern, because the compliance posture of an LLM-powered platform is shaped by where models run and where tool calls route data. Three external signals now matter for ContextKeeper's enterprise readiness narrative. First, the EU is actively publishing implementation materials for general-purpose AI including a GPAI Code of Practice intended to help providers demonstrate compliance with EU AI Act GPAI obligations. Second, in the United States, the NIST AI RMF ecosystem has matured into implementable generative-AI guidance: NIST AI 600-1 provides a cross-sector Generative AI Profile companion to AI RMF 1.0, explicitly orienting organizations toward risk identification, measurement, and continuous monitoring practices that map onto operational KPIs rather than one-time documentation. Third, ISO/IEC 42001 has moved from abstract governance ideal to real certification behavior in the market, with major vendors (ServiceNow, TUV SUD clients) publicly announcing ISO/IEC 42001:2023 certifications for AI management systems. The practical implication: self-hosted inference and MCP connectors can reduce cross-border data movement and enable stronger evidence collection (logs, access controls, audit trails), but only if the platform is built to capture the artifacts these frameworks expect. ContextKeeper's SHA-256-verified decisions table and append-only governance logs are precisely this artifact layer.</w:t>
      </w:r>
    </w:p>
    <w:p>
      <w:pPr>
        <w:pStyle w:val="Heading1"/>
        <w:pageBreakBefore/>
        <w:spacing w:before="360" w:after="120" w:line="276" w:lineRule="auto"/>
      </w:pPr>
      <w:r>
        <w:rPr>
          <w:rFonts w:ascii="Arial" w:cs="Arial" w:eastAsia="Arial" w:hAnsi="Arial"/>
          <w:b/>
          <w:bCs/>
          <w:color w:val="1B2A4A"/>
          <w:sz w:val="36"/>
          <w:szCs w:val="36"/>
        </w:rPr>
        <w:t xml:space="preserve">Appendix A. Glossary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A2A (Agent-to-Agent) Protocol</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 open protocol released by Google in April 2025 (Apache 2.0) that standardizes how AI agents from different frameworks and providers communicate with each other, using a well-formed task lifecycle with states: submitted, working, input-required, completed, failed, and canceled. Now supported by Microsoft Agent Framework, Google ADK, CrewAI, OpenAI Agents SDK, and LangGraph. Complements MCP by handling agent-to-agent communication where MCP handles agent-to-tool communication.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Agentic RAG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RAG pattern in which an autonomous agent plans multi-step retrieval strategies instead of executing a single similarity search. Performance is highly LLM-quality-dependent per arXiv:2601.07711 (January 2026); beneficial with frontier models, potentially degrading with smaller models.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Airflow</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DAG-based workflow scheduler for pipeline orchestration. Used in ContextKeeper's open infrastructure stack for ML pipeline orchestration and scheduled data processing tasks.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Axolotl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YAML-driven fine-tuning configuration framework supporting QLoRA and FSDP. Simplifies multi-GPU and distributed fine-tuning without requiring manual code changes.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BGE-M3 / E5 / Nomic-Embed</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Open-weight embedding models that convert text into dense vector representations for semantic search and RAG retrieval. CPU inference is sufficient for RAG-scale embedding generation.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BYOK (Bring Your Own Key)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deployment pattern in which users supply their own LLM provider API credentials. The platform provides governance, connectors, and interface without incurring inference costs. Phase 1 hosting strategy for ContextKeeper.</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ChromaDB</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 embedded vector database that reached version 1.0 with a new Rust execution engine and Chroma Cloud (serverless). Recommended for development and prototyping.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CrewAI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multi-agent collaboration framework that defines roles, goals, and tool assignments per agent. Used within ContextKeeper's agent execution layer wrapped in DEL-v2 governance. MIT licensed.</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Deterministic Engineering Loop version 2. The formal state machine governance protocol defined in WP-001 v1.2 that provides the governance wrapper for every agent framework and MCP tool call in the ContextKeeper toolkit.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Docling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IBM's document parsing tool under LF AI and Data Foundation (MIT license, 37,000+ stars). Uses the Granite-Docling-258M vision model for single-pass layout-aware extraction. Primary document processor for ContextKeeper RAG pipelines.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DVC (Data Version Control)</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Git-equivalent versioning for datasets and ML pipelines. Tracks data provenance and enables experiment reproducibility across sessions and team members.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FastMCP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high-level Python framework built on the official MCP SDK that reduces a basic MCP server to approximately 20 lines of code. Recommended implementation tool for ContextKeeper MCP server development.</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FAISS (Meta)</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 in-memory vector similarity search library. Provides the fastest similarity search for research workloads where persistence is not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GGUF</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quantized model file format used by llama.cpp and Ollama. GGUF v3 introduced i-quants (importance-matrix quantization) with non-linear codebooks. Q4_K_M denotes 4-bit quantization with medium importance-matrix calibration.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 ADK</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Google's Agent Development Kit, released April 9, 2025 (Apache 2.0, 17,600 stars). Supports Python, TypeScript, Go, and Java; native Vertex AI integration; A2A protocol. Current version: v1.27.2 (March 17, 2026).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GraphRAG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RAG pattern using entity-relationship graphs to enable multi-hop reasoning across retrieved documents. Microsoft open-sourced GraphRAG in 2024. Per Han et al. (arXiv:2502.11371), neither GraphRAG nor standard RAG universally dominates: GraphRAG excels at multi-hop reasoning while standard RAG is better for simple factual retrieval.</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Haystack</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production-grade NLP pipeline framework from deepset supporting RAG, question answering, and semantic search. Used for enterprise NLP workloads requiring modular pipeline composition.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iRoPE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Interleaved Rotary Position Embedding: the attention architecture used by Llama 4 Scout and Maverick. Interleaves dense attention layers with MoE attention layers, enabling the claimed 10M-token context window for Scout via no positional encoding on MoE layers.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LangChain</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broad-purpose framework for building chains, agents, and RAG pipelines with tool use and memory. Provides 200+ document loaders and a large ecosystem of integrations. LangGraph (separate project) is recommended for production agent orchestration.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LangGraph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graph-based agent workflow framework from LangChain (v1.1.0, March 10, 2026). Three-tier license: core library is MIT (free for self-hosting and all commercial use); langgraph-api server is Elastic License 2.0 (self-hosting permitted, hosting-as-a-service prohibited); LangGraph Platform is proprietary commercial software starting at $39/seat/month. Deployed at LinkedIn, Uber, Klarna, Replit, and 400+ production organizations.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LlamaIndex</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Formerly the leading RAG framework; now rebranded as an agentic document processing platform. Provides LlamaParse v2, LlamaAgents, LlamaExtract, and event-driven Workflows. Recommended primary RAG framework for ContextKeeper.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llama.cpp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CPU and GPU inference library for GGUF quantized models (~94,700 stars). The ggml.ai founding team (creators of ggml and llama.cpp) joined Hugging Face in February 2026 to support long-term sustainability; the project remains open-source under MIT and community-driven. GGUF v3 introduced i-quants; Llama 4 is fully supported. Recommended backend for non-NVIDIA or low-VRAM deployment environments.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4 Scout / Maverick</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Meta's MoE models released April 5, 2025. Scout: 17B active / 109B total, 16 experts, iRoPE, natively multimodal, approximately 65 GB VRAM required (all 109B parameters must load for MoE routing). Maverick: 17B active / approximately 400B total, 128 experts, 1M context, requires datacenter GPU cluster. Both use iRoPE architecture and are natively multimodal under the Llama 4 Community License.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3.3 70B</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Meta's final Llama 3-series model (December 6, 2024). Dense 70B, 128K context, surpasses Llama 3.1 405B on instruction following, reasoning, and math benchmarks. Recommended 70B-class model for dense local deployment. Fits in approximately 42 GB Q4_K_M on a single 48 GB GPU.</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LoRA (Low-Rank Adaptation)</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parameter-efficient fine-tuning technique that trains small adapter matrices rather than full model weights. Enables fine-tuning of 7B-70B models on a single consumer GPU in hours.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MCP (Model Context Protocol)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 open protocol created by Anthropic (November 2024) and donated to the Agentic AI Foundation under the Linux Foundation (December 2025) that standardizes how LLM applications connect to external data sources and tools. Built on JSON-RPC 2.0 with three primitives: Tools, Resources, and Prompts. Current specification: 2025-11-25. 97 million monthly SDK downloads; 10,000+ published servers.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MCP Registry</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official metaregistry at registry.modelcontextprotocol.io (launched September 2025) containing approximately 87 validated MCP servers in structured server.json format. Broader ecosystem: 10,000+ servers across MCP.so, PulseMCP, and GitHub.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MCPTox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first formal benchmark for MCP tool poisoning attacks (arXiv:2508.14925). Found attack success rates above 60% for GPT-4o-mini, o1-mini, DeepSeek-R1, and Phi-4, establishing that vulnerability is systematic across frontier models.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Microsoft Agent Framework</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unified successor to AutoGen and Semantic Kernel (both now in investment-shift mode), announced October 2025 preview, RC February 2026. Python and C#/.NET; graph-based workflows; multi-provider; MCP, A2A, and AG-UI protocol support. GA target: end Q1 2026.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MLflow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 open-source experiment tracking platform providing a model registry, artifact logging, and serving interface. The recommended experiment tracking tool in the ContextKeeper ML pipeline stack.</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MoE (Mixture-of-Experts)</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model architecture in which only a subset of parameters are activated for each input token via a router that selects among multiple expert networks. Enables large effective model capacity at reduced inference cost per token. Used by Llama 4, Mistral Large 3, Qwen 3, DeepSeek-R1, GPT-OSS, and others. Note: VRAM requirements reflect the full parameter count, not the active parameter count, because all parameters must be loaded for routing.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Ollama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one-command local model serving tool with 100+ model families and an OpenAI-compatible API (~162,000 stars). Supports Llama 4, Qwen 3, DeepSeek-R1, GPT-OSS, and all major open-weight models. Does not natively support MCP (issue #7865 open). Recommended backend for development and single-user deployments.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 WebUI</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recommended open-source chat UI (127,665 stars, 290M+ downloads). Provides multi-model support, 9 vector DB RAG options, enterprise RBAC/SCIM/SSO, MCP compatibility, and OpenTelemetry integration. MIT licensed. Current version: v0.8.10 (March 9, 2026).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 Agents SDK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OpenAI's production multi-agent framework (v0.12.5, approximately 20,000 stars, MIT). Core primitives: Agents, Handoffs, Guardrails, Tracing. MCP integration confirmed. Model-agnostic via OpenAI-compatible API.</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OWASP MCP Top 10</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beta security framework from OWASP covering MCP-specific risks including tool poisoning (84.2% success rate with auto-approval in testing), rug pulls, and supply chain compromise. An audit of 17 popular MCP servers found an average security score of 34/100 with 100% lacking permission declarations.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OWASP Top 10 for Agentic 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security framework released December 2025, peer-reviewed by 100+ experts, identifying ten risk categories for AI agent deployments: Agent Goal Hijack, Tool Misuse, Identity and Privilege Abuse, Agentic Supply Chain Vulnerabilities (explicitly citing MCP/A2A poisoning), Unexpected Code Execution, Memory and Context Poisoning, Insecure Inter-Agent Communication, Cascading Failures, Human-Agent Trust Exploitation, and Rogue Agents.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GPT-OSS</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OpenAI's first open-weight models since GPT-2, released August 5, 2025 (Apache 2.0). GPT-OSS-120B: 116.8B total / 5.1B active MoE, fits on single H100. GPT-OSS-20B: 20.9B total / 3.6B active, runs on 16 GB RAM. Available on Ollama and Hugging Face.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PagedAttention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memory management technique used by vLLM that efficiently manages KV-cache storage across GPU memory pages. Enables higher throughput for concurrent inference requests than naive attention implementations.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PEFT (Parameter-Efficient Fine-Tuning)</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Hugging Face library implementing LoRA and other efficient fine-tuning methods. The foundational fine-tuning infrastructure in the ContextKeeper toolkit.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pgvector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PostgreSQL extension adding vector similarity search to existing PostgreSQL databases (v0.8.2). Iterative index scans deliver up to 5.7x query performance improvement at production scale.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Qdrant</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Rust-based vector database (v1.17.x, 29,600 stars, $50M Series B March 2026). Replaced RocksDB with custom Gridstore engine. Recommended for production RAG workloads requiring fast metadata filtering. Apache 2.0 licensed.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QLoRA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Quantized LoRA fine-tuning: combines 4-bit quantization of the base model with LoRA adapters to reduce memory requirements further than standard LoRA. Enables fine-tuning of 13B+ models on single consumer GPUs.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RAG (Retrieval-Augmented Generation)</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pattern of grounding LLM responses in retrieved documents rather than relying on training data. Remains essential at production scale despite 1M+ token context windows due to cost, latency, and compliance considerations. Has evolved into GraphRAG and Agentic RAG as dominant production patterns, though neither universally outperforms standard RAG (Han et al., arXiv:2502.11371).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SGLang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high-performance LLM inference framework (v0.5.9, 24,300 stars, Apache 2.0) from UC Berkeley/LMSYS. RadixAttention delivers up to 5x throughput improvement (peak, for shared-prefix workloads) via automatic KV cache reuse per published SGLang paper (arXiv:2312.07104). Deployed on 400,000+ GPUs by xAI, AMD, NVIDIA, LinkedIn, and Cursor. Recommended for structured generation and RAG throughput workloads.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Smolagents</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Hugging Face's code-first agent framework (v1.24.0, 25,500 stars, Apache 2.0). Agents write and execute Python as the primary action mechanism. Supports MCP, multiple sandboxes (E2B, Docker, Modal, Pyodide/Deno), and OpenTelemetry.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Streamable HTTP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current MCP transport layer (as of specification 2025-03-26) replacing legacy HTTP+SSE (deprecated). Provides a single endpoint supporting POST and GET with resumable SSE streams and session management via Mcp-Session-Id headers.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Tool Poisoning Attack</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 MCP security attack in which malicious server tool descriptions embed hidden instructions (using invisible Unicode or metadata tags) that manipulate model behavior to exfiltrate data or perform unauthorized actions. First demonstrated by Invariant Labs in April 2025. MCPTox benchmark (arXiv:2508.14925) measured attack success rates above 60% across frontier models.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Unsloth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fine-tuning optimization library with custom CUDA kernels (Apache 2.0). Achieves 2x faster training and 50% less memory than standard Hugging Face. Provides first-party Llama 4 Scout and Maverick MoE-aware LoRA support; the only framework to ship Llama 4 QLoRA at launch.</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vLLM</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production-grade inference serving library (v0.17.1, 73,500 stars, Apache 2.0) using PagedAttention and FlashAttention 4. Async scheduling plus pipeline parallelism delivers 30.8% E2E throughput improvement per v0.16.0 release notes; Model Runner V2 (MRV2) is a separate architectural refactor not yet feature-complete. Includes vLLM-Omni (November 2025) for multimodal serving and Semantic Router v0.1 Iris (January 2026) for production semantic routing. V1 architecture rewrite deprecates V0 engine. Recommended for production multi-user inference serving.</w:t>
            </w:r>
          </w:p>
        </w:tc>
      </w:tr>
    </w:tbl>
    <w:p>
      <w:pPr>
        <w:pStyle w:val="Heading1"/>
        <w:pageBreakBefore/>
        <w:spacing w:before="360" w:after="120" w:line="276" w:lineRule="auto"/>
      </w:pPr>
      <w:r>
        <w:rPr>
          <w:rFonts w:ascii="Arial" w:cs="Arial" w:eastAsia="Arial" w:hAnsi="Arial"/>
          <w:b/>
          <w:bCs/>
          <w:color w:val="1B2A4A"/>
          <w:sz w:val="36"/>
          <w:szCs w:val="36"/>
        </w:rPr>
        <w:t xml:space="preserve">References</w:t>
      </w:r>
    </w:p>
    <w:p>
      <w:pPr>
        <w:spacing w:before="0" w:after="200" w:line="276" w:lineRule="auto"/>
      </w:pPr>
      <w:r>
        <w:rPr>
          <w:rFonts w:ascii="Arial" w:cs="Arial" w:eastAsia="Arial" w:hAnsi="Arial"/>
          <w:color w:val="2C2C2C"/>
          <w:sz w:val="22"/>
          <w:szCs w:val="22"/>
        </w:rPr>
        <w:t xml:space="preserve">Internal sources</w:t>
      </w:r>
    </w:p>
    <w:p>
      <w:pPr>
        <w:spacing w:before="0" w:after="200" w:line="276" w:lineRule="auto"/>
      </w:pPr>
      <w:r>
        <w:rPr>
          <w:rFonts w:ascii="Arial" w:cs="Arial" w:eastAsia="Arial" w:hAnsi="Arial"/>
          <w:color w:val="2C2C2C"/>
          <w:sz w:val="22"/>
          <w:szCs w:val="22"/>
        </w:rPr>
        <w:t xml:space="preserve">Wazlavek, S. (2026). DEL-v2 Technical Reference: Deterministic Engineering Loop. ContextKeeper Enterprise Engineering White Paper Series, WP-001, v1.2. contextkeeper.org. [State machine governance, SHA-256 integrity verification, and multi-agent role separation referenced in Sections 2.3, 6.1, and 6.3.]</w:t>
      </w:r>
    </w:p>
    <w:p>
      <w:pPr>
        <w:spacing w:before="0" w:after="200" w:line="276" w:lineRule="auto"/>
      </w:pPr>
      <w:r>
        <w:rPr>
          <w:rFonts w:ascii="Arial" w:cs="Arial" w:eastAsia="Arial" w:hAnsi="Arial"/>
          <w:color w:val="2C2C2C"/>
          <w:sz w:val="22"/>
          <w:szCs w:val="22"/>
        </w:rPr>
        <w:t xml:space="preserve">Wazlavek, S. (2026). Enterprise Delivery Governance for AI-Orchestrated Software Engineering. ContextKeeper Enterprise Engineering White Paper Series, WP-002, v1.1. contextkeeper.org. [Reproducibility Contract referenced in Section 4.1 in the context of ML experiment tracking.]</w:t>
      </w:r>
    </w:p>
    <w:p>
      <w:pPr>
        <w:spacing w:before="0" w:after="200" w:line="276" w:lineRule="auto"/>
      </w:pPr>
      <w:r>
        <w:rPr>
          <w:rFonts w:ascii="Arial" w:cs="Arial" w:eastAsia="Arial" w:hAnsi="Arial"/>
          <w:color w:val="2C2C2C"/>
          <w:sz w:val="22"/>
          <w:szCs w:val="22"/>
        </w:rPr>
        <w:t xml:space="preserve">Wazlavek, S. (2026). Platform Architecture and Token Intelligence. ContextKeeper Enterprise Engineering White Paper Series, WP-003, v1.2. contextkeeper.org. [Chat interface five-layer architecture and Model Router referenced in Sections 7.1 and 7.2; MCP Governance Layer integration referenced in Section 3.5; CostOptimizer referenced in Section 2.6.]</w:t>
      </w:r>
    </w:p>
    <w:p>
      <w:pPr>
        <w:spacing w:before="80" w:after="0"/>
      </w:pPr>
    </w:p>
    <w:p>
      <w:pPr>
        <w:spacing w:before="0" w:after="200" w:line="276" w:lineRule="auto"/>
      </w:pPr>
      <w:r>
        <w:rPr>
          <w:rFonts w:ascii="Arial" w:cs="Arial" w:eastAsia="Arial" w:hAnsi="Arial"/>
          <w:color w:val="2C2C2C"/>
          <w:sz w:val="22"/>
          <w:szCs w:val="22"/>
        </w:rPr>
        <w:t xml:space="preserve">Open-weight LLM sources</w:t>
      </w:r>
    </w:p>
    <w:p>
      <w:pPr>
        <w:spacing w:before="0" w:after="200" w:line="276" w:lineRule="auto"/>
      </w:pPr>
      <w:r>
        <w:rPr>
          <w:rFonts w:ascii="Arial" w:cs="Arial" w:eastAsia="Arial" w:hAnsi="Arial"/>
          <w:color w:val="2C2C2C"/>
          <w:sz w:val="22"/>
          <w:szCs w:val="22"/>
        </w:rPr>
        <w:t xml:space="preserve">Meta AI. (2025, April 5). The Llama 4 herd: The beginning of a new era of natively multimodal AI innovation. ai.meta.com. [Llama 4 Scout and Maverick architecture, iRoPE attention, training compute, and community license referenced in Section 2.1.]</w:t>
      </w:r>
    </w:p>
    <w:p>
      <w:pPr>
        <w:spacing w:before="0" w:after="200" w:line="276" w:lineRule="auto"/>
      </w:pPr>
      <w:r>
        <w:rPr>
          <w:rFonts w:ascii="Arial" w:cs="Arial" w:eastAsia="Arial" w:hAnsi="Arial"/>
          <w:color w:val="2C2C2C"/>
          <w:sz w:val="22"/>
          <w:szCs w:val="22"/>
        </w:rPr>
        <w:t xml:space="preserve">Meta AI. (2024, December 6). Llama 3.3 70B. ai.meta.com. [Llama 3.3 70B performance benchmarks vs Llama 3.1 405B referenced in Section 2.1.]</w:t>
      </w:r>
    </w:p>
    <w:p>
      <w:pPr>
        <w:spacing w:before="0" w:after="200" w:line="276" w:lineRule="auto"/>
      </w:pPr>
      <w:r>
        <w:rPr>
          <w:rFonts w:ascii="Arial" w:cs="Arial" w:eastAsia="Arial" w:hAnsi="Arial"/>
          <w:color w:val="2C2C2C"/>
          <w:sz w:val="22"/>
          <w:szCs w:val="22"/>
        </w:rPr>
        <w:t xml:space="preserve">Mistral AI. (2025, December 2). Mistral Large 3. mistral.ai. [675B/41B active MoE architecture, Apache 2.0 license, and 256K context referenced in Section 2.1.]</w:t>
      </w:r>
    </w:p>
    <w:p>
      <w:pPr>
        <w:spacing w:before="0" w:after="200" w:line="276" w:lineRule="auto"/>
      </w:pPr>
      <w:r>
        <w:rPr>
          <w:rFonts w:ascii="Arial" w:cs="Arial" w:eastAsia="Arial" w:hAnsi="Arial"/>
          <w:color w:val="2C2C2C"/>
          <w:sz w:val="22"/>
          <w:szCs w:val="22"/>
        </w:rPr>
        <w:t xml:space="preserve">Alibaba / Qwen Team. (2025, April 28). Qwen3 Technical Report. arXiv:2505.09388. [Qwen 3 architecture, Apache 2.0 license, 36T training tokens, and benchmark comparisons referenced in Sections 2.1 and 2.4.]</w:t>
      </w:r>
    </w:p>
    <w:p>
      <w:pPr>
        <w:spacing w:before="0" w:after="200" w:line="276" w:lineRule="auto"/>
      </w:pPr>
      <w:r>
        <w:rPr>
          <w:rFonts w:ascii="Arial" w:cs="Arial" w:eastAsia="Arial" w:hAnsi="Arial"/>
          <w:color w:val="2C2C2C"/>
          <w:sz w:val="22"/>
          <w:szCs w:val="22"/>
        </w:rPr>
        <w:t xml:space="preserve">Google. (2025, March 12). Gemma 3 Technical Report. Hugging Face blog. [Gemma 3 architecture, 128K context, multimodal capability, and ELO 1338 benchmark referenced in Section 2.1.]</w:t>
      </w:r>
    </w:p>
    <w:p>
      <w:pPr>
        <w:spacing w:before="0" w:after="200" w:line="276" w:lineRule="auto"/>
      </w:pPr>
      <w:r>
        <w:rPr>
          <w:rFonts w:ascii="Arial" w:cs="Arial" w:eastAsia="Arial" w:hAnsi="Arial"/>
          <w:color w:val="2C2C2C"/>
          <w:sz w:val="22"/>
          <w:szCs w:val="22"/>
        </w:rPr>
        <w:t xml:space="preserve">Microsoft. (2024, December 12). Introducing Phi-4: Microsoft's Newest Small Language Model. Microsoft Community Hub. [Phi-4 14B architecture, MIT license, and math benchmarks referenced in Section 2.1.]</w:t>
      </w:r>
    </w:p>
    <w:p>
      <w:pPr>
        <w:spacing w:before="0" w:after="200" w:line="276" w:lineRule="auto"/>
      </w:pPr>
      <w:r>
        <w:rPr>
          <w:rFonts w:ascii="Arial" w:cs="Arial" w:eastAsia="Arial" w:hAnsi="Arial"/>
          <w:color w:val="2C2C2C"/>
          <w:sz w:val="22"/>
          <w:szCs w:val="22"/>
        </w:rPr>
        <w:t xml:space="preserve">Microsoft. (2025). Phi-4-reasoning Technical Report. microsoft.com/research. [Phi-4-reasoning AIME 2025 performance referenced in Section 2.1.]</w:t>
      </w:r>
    </w:p>
    <w:p>
      <w:pPr>
        <w:spacing w:before="0" w:after="200" w:line="276" w:lineRule="auto"/>
      </w:pPr>
      <w:r>
        <w:rPr>
          <w:rFonts w:ascii="Arial" w:cs="Arial" w:eastAsia="Arial" w:hAnsi="Arial"/>
          <w:color w:val="2C2C2C"/>
          <w:sz w:val="22"/>
          <w:szCs w:val="22"/>
        </w:rPr>
        <w:t xml:space="preserve">DeepSeek. (2025, January 20). DeepSeek-R1: Incentivizing Reasoning Capability in LLMs via Reinforcement Learning. deepseek.com. [DeepSeek-R1 architecture, MIT license, AIME 2024 benchmark referenced in Section 2.1.]</w:t>
      </w:r>
    </w:p>
    <w:p>
      <w:pPr>
        <w:spacing w:before="0" w:after="200" w:line="276" w:lineRule="auto"/>
      </w:pPr>
      <w:r>
        <w:rPr>
          <w:rFonts w:ascii="Arial" w:cs="Arial" w:eastAsia="Arial" w:hAnsi="Arial"/>
          <w:color w:val="2C2C2C"/>
          <w:sz w:val="22"/>
          <w:szCs w:val="22"/>
        </w:rPr>
        <w:t xml:space="preserve">OpenAI. (2025, August 5). Introducing gpt-oss. openai.com. [GPT-OSS-120B and GPT-OSS-20B architecture, Apache 2.0 license, single-H100 deployment referenced in Section 2.1.]</w:t>
      </w:r>
    </w:p>
    <w:p>
      <w:pPr>
        <w:spacing w:before="0" w:after="200" w:line="276" w:lineRule="auto"/>
      </w:pPr>
      <w:r>
        <w:rPr>
          <w:rFonts w:ascii="Arial" w:cs="Arial" w:eastAsia="Arial" w:hAnsi="Arial"/>
          <w:color w:val="2C2C2C"/>
          <w:sz w:val="22"/>
          <w:szCs w:val="22"/>
        </w:rPr>
        <w:t xml:space="preserve">LeCun, Y. (2026, January 2). Interview with Financial Times. [Confirmation that Llama 4 benchmark results 'were fudged a little bit' referenced in Section 2.1.]</w:t>
      </w:r>
    </w:p>
    <w:p>
      <w:pPr>
        <w:spacing w:before="0" w:after="200" w:line="276" w:lineRule="auto"/>
      </w:pPr>
      <w:r>
        <w:rPr>
          <w:rFonts w:ascii="Arial" w:cs="Arial" w:eastAsia="Arial" w:hAnsi="Arial"/>
          <w:color w:val="2C2C2C"/>
          <w:sz w:val="22"/>
          <w:szCs w:val="22"/>
        </w:rPr>
        <w:t xml:space="preserve">LMArena. (2025, April 8). Statement on Meta Llama 4 Maverick submission. lmarena.ai. [Official LMArena statement on benchmark methodology concern referenced in Section 2.1.]</w:t>
      </w:r>
    </w:p>
    <w:p>
      <w:pPr>
        <w:spacing w:before="80" w:after="0"/>
      </w:pPr>
    </w:p>
    <w:p>
      <w:pPr>
        <w:spacing w:before="0" w:after="200" w:line="276" w:lineRule="auto"/>
      </w:pPr>
      <w:r>
        <w:rPr>
          <w:rFonts w:ascii="Arial" w:cs="Arial" w:eastAsia="Arial" w:hAnsi="Arial"/>
          <w:color w:val="2C2C2C"/>
          <w:sz w:val="22"/>
          <w:szCs w:val="22"/>
        </w:rPr>
        <w:t xml:space="preserve">Post-Llama 4 open model landscape</w:t>
      </w:r>
    </w:p>
    <w:p>
      <w:pPr>
        <w:spacing w:before="0" w:after="200" w:line="276" w:lineRule="auto"/>
      </w:pPr>
      <w:r>
        <w:rPr>
          <w:rFonts w:ascii="Arial" w:cs="Arial" w:eastAsia="Arial" w:hAnsi="Arial"/>
          <w:color w:val="2C2C2C"/>
          <w:sz w:val="22"/>
          <w:szCs w:val="22"/>
        </w:rPr>
        <w:t xml:space="preserve">MiniMax. (2025). MiniMax M2.5 technical report. minimax.io. [80.2% SWE-bench Verified referenced in Sections 2.4 and 2.5.]</w:t>
      </w:r>
    </w:p>
    <w:p>
      <w:pPr>
        <w:spacing w:before="0" w:after="200" w:line="276" w:lineRule="auto"/>
      </w:pPr>
      <w:r>
        <w:rPr>
          <w:rFonts w:ascii="Arial" w:cs="Arial" w:eastAsia="Arial" w:hAnsi="Arial"/>
          <w:color w:val="2C2C2C"/>
          <w:sz w:val="22"/>
          <w:szCs w:val="22"/>
        </w:rPr>
        <w:t xml:space="preserve">Moonshot AI. (2026). Kimi K2 model release. moonshot.ai. [SWE-rebench leadership referenced in Sections 2.4 and 2.5.]</w:t>
      </w:r>
    </w:p>
    <w:p>
      <w:pPr>
        <w:spacing w:before="0" w:after="200" w:line="276" w:lineRule="auto"/>
      </w:pPr>
      <w:r>
        <w:rPr>
          <w:rFonts w:ascii="Arial" w:cs="Arial" w:eastAsia="Arial" w:hAnsi="Arial"/>
          <w:color w:val="2C2C2C"/>
          <w:sz w:val="22"/>
          <w:szCs w:val="22"/>
        </w:rPr>
        <w:t xml:space="preserve">Zhipu AI. (2026). GLM-4.7 model release. zhipuai.cn. [94.2% HumanEval, 95.7% AIME 2025, 73.8% SWE-bench Verified referenced in Sections 2.4 and 2.5.]</w:t>
      </w:r>
    </w:p>
    <w:p>
      <w:pPr>
        <w:spacing w:before="0" w:after="200" w:line="276" w:lineRule="auto"/>
      </w:pPr>
      <w:r>
        <w:rPr>
          <w:rFonts w:ascii="Arial" w:cs="Arial" w:eastAsia="Arial" w:hAnsi="Arial"/>
          <w:color w:val="2C2C2C"/>
          <w:sz w:val="22"/>
          <w:szCs w:val="22"/>
        </w:rPr>
        <w:t xml:space="preserve">StepFun. (2026). Step-3.5-Flash model release. stepfun.com. [74.4% SWE-bench Verified, 97.3% AIME 2025 at 196B parameters referenced in Sections 2.4 and 2.5.]</w:t>
      </w:r>
    </w:p>
    <w:p>
      <w:pPr>
        <w:spacing w:before="0" w:after="200" w:line="276" w:lineRule="auto"/>
      </w:pPr>
      <w:r>
        <w:rPr>
          <w:rFonts w:ascii="Arial" w:cs="Arial" w:eastAsia="Arial" w:hAnsi="Arial"/>
          <w:color w:val="2C2C2C"/>
          <w:sz w:val="22"/>
          <w:szCs w:val="22"/>
        </w:rPr>
        <w:t xml:space="preserve">Jimenez, C.E. et al. (2024). SWE-bench: Can Language Models Resolve Real-World GitHub Issues? ICLR 2024. [SWE-bench Verified benchmark definition referenced in Section 2.5.]</w:t>
      </w:r>
    </w:p>
    <w:p>
      <w:pPr>
        <w:spacing w:before="0" w:after="200" w:line="276" w:lineRule="auto"/>
      </w:pPr>
      <w:r>
        <w:rPr>
          <w:rFonts w:ascii="Arial" w:cs="Arial" w:eastAsia="Arial" w:hAnsi="Arial"/>
          <w:color w:val="2C2C2C"/>
          <w:sz w:val="22"/>
          <w:szCs w:val="22"/>
        </w:rPr>
        <w:t xml:space="preserve">Scale Labs. (2026). SWE-bench Pro leaderboard. labs.scale.com. [Contamination-resistant benchmark results referenced in Section 2.5.]</w:t>
      </w:r>
    </w:p>
    <w:p>
      <w:pPr>
        <w:spacing w:before="80" w:after="0"/>
      </w:pPr>
    </w:p>
    <w:p>
      <w:pPr>
        <w:spacing w:before="0" w:after="200" w:line="276" w:lineRule="auto"/>
      </w:pPr>
      <w:r>
        <w:rPr>
          <w:rFonts w:ascii="Arial" w:cs="Arial" w:eastAsia="Arial" w:hAnsi="Arial"/>
          <w:color w:val="2C2C2C"/>
          <w:sz w:val="22"/>
          <w:szCs w:val="22"/>
        </w:rPr>
        <w:t xml:space="preserve">Context window performance and routing economics</w:t>
      </w:r>
    </w:p>
    <w:p>
      <w:pPr>
        <w:spacing w:before="0" w:after="200" w:line="276" w:lineRule="auto"/>
      </w:pPr>
      <w:r>
        <w:rPr>
          <w:rFonts w:ascii="Arial" w:cs="Arial" w:eastAsia="Arial" w:hAnsi="Arial"/>
          <w:color w:val="2C2C2C"/>
          <w:sz w:val="22"/>
          <w:szCs w:val="22"/>
        </w:rPr>
        <w:t xml:space="preserve">Hsieh, C., Chen, S., Li, C. et al. (2024). RULER: What's the Real Context Size of Your Long-Context Language Models? COLM 2024. arXiv:2404.06654. [Only half of models claiming 32K+ context maintain satisfactory performance; referenced in Section 2.6.]</w:t>
      </w:r>
    </w:p>
    <w:p>
      <w:pPr>
        <w:spacing w:before="0" w:after="200" w:line="276" w:lineRule="auto"/>
      </w:pPr>
      <w:r>
        <w:rPr>
          <w:rFonts w:ascii="Arial" w:cs="Arial" w:eastAsia="Arial" w:hAnsi="Arial"/>
          <w:color w:val="2C2C2C"/>
          <w:sz w:val="22"/>
          <w:szCs w:val="22"/>
        </w:rPr>
        <w:t xml:space="preserve">Modarressi, A. et al. (2025). NoLiMa: Long-Context Evaluation Beyond Literal Matching. ICML 2025. arXiv:2502.05167. [Most frontier models drop below 50% baseline at 32K tokens; referenced in Section 2.6.]</w:t>
      </w:r>
    </w:p>
    <w:p>
      <w:pPr>
        <w:spacing w:before="0" w:after="200" w:line="276" w:lineRule="auto"/>
      </w:pPr>
      <w:r>
        <w:rPr>
          <w:rFonts w:ascii="Arial" w:cs="Arial" w:eastAsia="Arial" w:hAnsi="Arial"/>
          <w:color w:val="2C2C2C"/>
          <w:sz w:val="22"/>
          <w:szCs w:val="22"/>
        </w:rPr>
        <w:t xml:space="preserve">Du, Y. et al. (2025). Context Length Alone Hurts LLM Performance Despite Perfect Retrieval. Findings of EMNLP 2025. arXiv:2510.05381. [13.9-85% degradation even with perfect retrieval; referenced in Sections 2.6 and 5.]</w:t>
      </w:r>
    </w:p>
    <w:p>
      <w:pPr>
        <w:spacing w:before="0" w:after="200" w:line="276" w:lineRule="auto"/>
      </w:pPr>
      <w:r>
        <w:rPr>
          <w:rFonts w:ascii="Arial" w:cs="Arial" w:eastAsia="Arial" w:hAnsi="Arial"/>
          <w:color w:val="2C2C2C"/>
          <w:sz w:val="22"/>
          <w:szCs w:val="22"/>
        </w:rPr>
        <w:t xml:space="preserve">Chen, L., Zaharia, M., and Zou, J. (2024). FrugalGPT: How to Use Large Language Models While Reducing Cost and Improving Performance. TMLR 2024. arXiv:2305.05176. [Up to 98% cost reduction through cascade routing; referenced in Section 2.6.]</w:t>
      </w:r>
    </w:p>
    <w:p>
      <w:pPr>
        <w:spacing w:before="0" w:after="200" w:line="276" w:lineRule="auto"/>
      </w:pPr>
      <w:r>
        <w:rPr>
          <w:rFonts w:ascii="Arial" w:cs="Arial" w:eastAsia="Arial" w:hAnsi="Arial"/>
          <w:color w:val="2C2C2C"/>
          <w:sz w:val="22"/>
          <w:szCs w:val="22"/>
        </w:rPr>
        <w:t xml:space="preserve">Ong, I., Almahairi, A., Wu, V. et al. (2025). RouteLLM: Learning to Route LLMs with Preference Data. ICLR 2025. [Greater than 2x cost reduction with preference-trained routers; referenced in Section 2.6.]</w:t>
      </w:r>
    </w:p>
    <w:p>
      <w:pPr>
        <w:spacing w:before="0" w:after="200" w:line="276" w:lineRule="auto"/>
      </w:pPr>
      <w:r>
        <w:rPr>
          <w:rFonts w:ascii="Arial" w:cs="Arial" w:eastAsia="Arial" w:hAnsi="Arial"/>
          <w:color w:val="2C2C2C"/>
          <w:sz w:val="22"/>
          <w:szCs w:val="22"/>
        </w:rPr>
        <w:t xml:space="preserve">Khraishi, R. et al. (2025). Evaluating Performance Drift from Model Switching in Multi-Turn LLM Systems. arXiv:2603.03111. [Plus or minus 4 absolute F1 drift from single-turn handoff; referenced in Sections 2.6 and 8.]</w:t>
      </w:r>
    </w:p>
    <w:p>
      <w:pPr>
        <w:spacing w:before="80" w:after="0"/>
      </w:pPr>
    </w:p>
    <w:p>
      <w:pPr>
        <w:spacing w:before="0" w:after="200" w:line="276" w:lineRule="auto"/>
      </w:pPr>
      <w:r>
        <w:rPr>
          <w:rFonts w:ascii="Arial" w:cs="Arial" w:eastAsia="Arial" w:hAnsi="Arial"/>
          <w:color w:val="2C2C2C"/>
          <w:sz w:val="22"/>
          <w:szCs w:val="22"/>
        </w:rPr>
        <w:t xml:space="preserve">MCP protocol and security</w:t>
      </w:r>
    </w:p>
    <w:p>
      <w:pPr>
        <w:spacing w:before="0" w:after="200" w:line="276" w:lineRule="auto"/>
      </w:pPr>
      <w:r>
        <w:rPr>
          <w:rFonts w:ascii="Arial" w:cs="Arial" w:eastAsia="Arial" w:hAnsi="Arial"/>
          <w:color w:val="2C2C2C"/>
          <w:sz w:val="22"/>
          <w:szCs w:val="22"/>
        </w:rPr>
        <w:t xml:space="preserve">Anthropic / MCP Maintainers. (2024, November). Model Context Protocol specification. modelcontextprotocol.io. [Full protocol architecture, primitives, and transport specification referenced in Section 3.1.]</w:t>
      </w:r>
    </w:p>
    <w:p>
      <w:pPr>
        <w:spacing w:before="0" w:after="200" w:line="276" w:lineRule="auto"/>
      </w:pPr>
      <w:r>
        <w:rPr>
          <w:rFonts w:ascii="Arial" w:cs="Arial" w:eastAsia="Arial" w:hAnsi="Arial"/>
          <w:color w:val="2C2C2C"/>
          <w:sz w:val="22"/>
          <w:szCs w:val="22"/>
        </w:rPr>
        <w:t xml:space="preserve">Linux Foundation / AAIF. (2025, December 9). Linux Foundation Announces the Formation of the Agentic AI Foundation. linuxfoundation.org. [Governance structure, AAIF membership, and Linux Foundation model referenced in Section 3.1.]</w:t>
      </w:r>
    </w:p>
    <w:p>
      <w:pPr>
        <w:spacing w:before="0" w:after="200" w:line="276" w:lineRule="auto"/>
      </w:pPr>
      <w:r>
        <w:rPr>
          <w:rFonts w:ascii="Arial" w:cs="Arial" w:eastAsia="Arial" w:hAnsi="Arial"/>
          <w:color w:val="2C2C2C"/>
          <w:sz w:val="22"/>
          <w:szCs w:val="22"/>
        </w:rPr>
        <w:t xml:space="preserve">MCP Specification 2025-11-25. modelcontextprotocol.io/specification/2025-11-25. [Latest spec: Streamable HTTP, Tasks, ToolAnnotations, OAuth 2.1 authentication, stateless mode referenced in Section 3.1.]</w:t>
      </w:r>
    </w:p>
    <w:p>
      <w:pPr>
        <w:spacing w:before="0" w:after="200" w:line="276" w:lineRule="auto"/>
      </w:pPr>
      <w:r>
        <w:rPr>
          <w:rFonts w:ascii="Arial" w:cs="Arial" w:eastAsia="Arial" w:hAnsi="Arial"/>
          <w:color w:val="2C2C2C"/>
          <w:sz w:val="22"/>
          <w:szCs w:val="22"/>
        </w:rPr>
        <w:t xml:space="preserve">Invariant Labs. (2025, April). MCP Security Notification: Tool Poisoning Attacks. invariantlabs.ai. [SSH key exfiltration and GitHub MCP server cross-repository leakage referenced in Section 3.4.]</w:t>
      </w:r>
    </w:p>
    <w:p>
      <w:pPr>
        <w:spacing w:before="0" w:after="200" w:line="276" w:lineRule="auto"/>
      </w:pPr>
      <w:r>
        <w:rPr>
          <w:rFonts w:ascii="Arial" w:cs="Arial" w:eastAsia="Arial" w:hAnsi="Arial"/>
          <w:color w:val="2C2C2C"/>
          <w:sz w:val="22"/>
          <w:szCs w:val="22"/>
        </w:rPr>
        <w:t xml:space="preserve">Invariant Labs. (2025, May). GitHub MCP Exploited: Accessing private repositories via MCP. invariantlabs.ai. [Cross-repository private data leakage via prompt injection referenced in Section 3.4.]</w:t>
      </w:r>
    </w:p>
    <w:p>
      <w:pPr>
        <w:spacing w:before="0" w:after="200" w:line="276" w:lineRule="auto"/>
      </w:pPr>
      <w:r>
        <w:rPr>
          <w:rFonts w:ascii="Arial" w:cs="Arial" w:eastAsia="Arial" w:hAnsi="Arial"/>
          <w:color w:val="2C2C2C"/>
          <w:sz w:val="22"/>
          <w:szCs w:val="22"/>
        </w:rPr>
        <w:t xml:space="preserve">JFrog Security Research. (2025). CVE-2025-6514: Critical command injection in mcp-remote. jfrog.com. [CVSS 9.6, 437,000+ downloads affected, referenced in Section 3.4.]</w:t>
      </w:r>
    </w:p>
    <w:p>
      <w:pPr>
        <w:spacing w:before="0" w:after="200" w:line="276" w:lineRule="auto"/>
      </w:pPr>
      <w:r>
        <w:rPr>
          <w:rFonts w:ascii="Arial" w:cs="Arial" w:eastAsia="Arial" w:hAnsi="Arial"/>
          <w:color w:val="2C2C2C"/>
          <w:sz w:val="22"/>
          <w:szCs w:val="22"/>
        </w:rPr>
        <w:t xml:space="preserve">Palo Alto Networks Unit 42. (2025, December). New Prompt Injection Attack Vectors Through MCP Sampling. unit42.paloaltonetworks.com. [Resource theft and conversation hijacking via sampling referenced in Section 3.4.]</w:t>
      </w:r>
    </w:p>
    <w:p>
      <w:pPr>
        <w:spacing w:before="0" w:after="200" w:line="276" w:lineRule="auto"/>
      </w:pPr>
      <w:r>
        <w:rPr>
          <w:rFonts w:ascii="Arial" w:cs="Arial" w:eastAsia="Arial" w:hAnsi="Arial"/>
          <w:color w:val="2C2C2C"/>
          <w:sz w:val="22"/>
          <w:szCs w:val="22"/>
        </w:rPr>
        <w:t xml:space="preserve">arXiv:2508.14925. MCPTox: A Benchmark for Tool Poisoning Attack on Real-World MCP Servers. (2025). [First formal MCP tool poisoning benchmark; 60%+ attack success rates; referenced in Section 3.4.]</w:t>
      </w:r>
    </w:p>
    <w:p>
      <w:pPr>
        <w:spacing w:before="0" w:after="200" w:line="276" w:lineRule="auto"/>
      </w:pPr>
      <w:r>
        <w:rPr>
          <w:rFonts w:ascii="Arial" w:cs="Arial" w:eastAsia="Arial" w:hAnsi="Arial"/>
          <w:color w:val="2C2C2C"/>
          <w:sz w:val="22"/>
          <w:szCs w:val="22"/>
        </w:rPr>
        <w:t xml:space="preserve">arXiv:2511.20920. Securing the Model Context Protocol: Risks, Controls, and Governance. (2025). [Academic security taxonomy referenced in Section 3.4.]</w:t>
      </w:r>
    </w:p>
    <w:p>
      <w:pPr>
        <w:spacing w:before="0" w:after="200" w:line="276" w:lineRule="auto"/>
      </w:pPr>
      <w:r>
        <w:rPr>
          <w:rFonts w:ascii="Arial" w:cs="Arial" w:eastAsia="Arial" w:hAnsi="Arial"/>
          <w:color w:val="2C2C2C"/>
          <w:sz w:val="22"/>
          <w:szCs w:val="22"/>
        </w:rPr>
        <w:t xml:space="preserve">arXiv:2503.23278. Model Context Protocol: Landscape, Security Threats, and Future Research Directions. (2025). [Comprehensive threat landscape referenced in Section 3.4.]</w:t>
      </w:r>
    </w:p>
    <w:p>
      <w:pPr>
        <w:spacing w:before="0" w:after="200" w:line="276" w:lineRule="auto"/>
      </w:pPr>
      <w:r>
        <w:rPr>
          <w:rFonts w:ascii="Arial" w:cs="Arial" w:eastAsia="Arial" w:hAnsi="Arial"/>
          <w:color w:val="2C2C2C"/>
          <w:sz w:val="22"/>
          <w:szCs w:val="22"/>
        </w:rPr>
        <w:t xml:space="preserve">OWASP. (2025, December). OWASP Top 10 for Agentic Applications. genai.owasp.org. [Ten risk categories including Agentic Supply Chain Vulnerabilities referenced in Sections 3.4 and 12.]</w:t>
      </w:r>
    </w:p>
    <w:p>
      <w:pPr>
        <w:spacing w:before="0" w:after="200" w:line="276" w:lineRule="auto"/>
      </w:pPr>
      <w:r>
        <w:rPr>
          <w:rFonts w:ascii="Arial" w:cs="Arial" w:eastAsia="Arial" w:hAnsi="Arial"/>
          <w:color w:val="2C2C2C"/>
          <w:sz w:val="22"/>
          <w:szCs w:val="22"/>
        </w:rPr>
        <w:t xml:space="preserve">OWASP. (2025). OWASP MCP Top 10 (beta). owasp.org/www-project-mcp-top-10. [84.2% attack success rate with auto-approval; 34/100 average security score; referenced in Section 3.4.]</w:t>
      </w:r>
    </w:p>
    <w:p>
      <w:pPr>
        <w:spacing w:before="80" w:after="0"/>
      </w:pPr>
    </w:p>
    <w:p>
      <w:pPr>
        <w:spacing w:before="0" w:after="200" w:line="276" w:lineRule="auto"/>
      </w:pPr>
      <w:r>
        <w:rPr>
          <w:rFonts w:ascii="Arial" w:cs="Arial" w:eastAsia="Arial" w:hAnsi="Arial"/>
          <w:color w:val="2C2C2C"/>
          <w:sz w:val="22"/>
          <w:szCs w:val="22"/>
        </w:rPr>
        <w:t xml:space="preserve">RAG performance research</w:t>
      </w:r>
    </w:p>
    <w:p>
      <w:pPr>
        <w:spacing w:before="0" w:after="200" w:line="276" w:lineRule="auto"/>
      </w:pPr>
      <w:r>
        <w:rPr>
          <w:rFonts w:ascii="Arial" w:cs="Arial" w:eastAsia="Arial" w:hAnsi="Arial"/>
          <w:color w:val="2C2C2C"/>
          <w:sz w:val="22"/>
          <w:szCs w:val="22"/>
        </w:rPr>
        <w:t xml:space="preserve">Han, Y. et al. (2025). RAG vs. GraphRAG: A Systematic Evaluation and Key Insights. arXiv:2502.11371. Microsoft and Meta. [Neither approach universally dominates; referenced in Section 5.4.]</w:t>
      </w:r>
    </w:p>
    <w:p>
      <w:pPr>
        <w:spacing w:before="0" w:after="200" w:line="276" w:lineRule="auto"/>
      </w:pPr>
      <w:r>
        <w:rPr>
          <w:rFonts w:ascii="Arial" w:cs="Arial" w:eastAsia="Arial" w:hAnsi="Arial"/>
          <w:color w:val="2C2C2C"/>
          <w:sz w:val="22"/>
          <w:szCs w:val="22"/>
        </w:rPr>
        <w:t xml:space="preserve">GraphRAG-Bench / GraphRAG-Benchmark. (2026). When to Use Graphs in RAG: A Comprehensive Analysis for Graph Retrieval-Augmented Generation. ICLR 2026. [GraphRAG frequently underperforms vanilla RAG on real-world tasks; referenced in Section 5.4.]</w:t>
      </w:r>
    </w:p>
    <w:p>
      <w:pPr>
        <w:spacing w:before="0" w:after="200" w:line="276" w:lineRule="auto"/>
      </w:pPr>
      <w:r>
        <w:rPr>
          <w:rFonts w:ascii="Arial" w:cs="Arial" w:eastAsia="Arial" w:hAnsi="Arial"/>
          <w:color w:val="2C2C2C"/>
          <w:sz w:val="22"/>
          <w:szCs w:val="22"/>
        </w:rPr>
        <w:t xml:space="preserve">Anonymous. (2026). Is Agentic RAG worth it? An experimental comparison of RAG approaches. arXiv:2601.07711. [LLM-quality-dependent performance; 5.4% improvement from agentic approach; referenced in Section 5.5.]</w:t>
      </w:r>
    </w:p>
    <w:p>
      <w:pPr>
        <w:spacing w:before="0" w:after="200" w:line="276" w:lineRule="auto"/>
      </w:pPr>
      <w:r>
        <w:rPr>
          <w:rFonts w:ascii="Arial" w:cs="Arial" w:eastAsia="Arial" w:hAnsi="Arial"/>
          <w:color w:val="2C2C2C"/>
          <w:sz w:val="22"/>
          <w:szCs w:val="22"/>
        </w:rPr>
        <w:t xml:space="preserve">Li, J. et al. (2024). Retrieval Augmented Generation or Long-Context LLMs? A Comprehensive Study and Hybrid Approach. EMNLP 2024 Industry Track. arXiv:2407.16833. [RAG approximately 100x cheaper than long context; referenced in Section 5.]</w:t>
      </w:r>
    </w:p>
    <w:p>
      <w:pPr>
        <w:spacing w:before="80" w:after="0"/>
      </w:pPr>
    </w:p>
    <w:p>
      <w:pPr>
        <w:spacing w:before="0" w:after="200" w:line="276" w:lineRule="auto"/>
      </w:pPr>
      <w:r>
        <w:rPr>
          <w:rFonts w:ascii="Arial" w:cs="Arial" w:eastAsia="Arial" w:hAnsi="Arial"/>
          <w:color w:val="2C2C2C"/>
          <w:sz w:val="22"/>
          <w:szCs w:val="22"/>
        </w:rPr>
        <w:t xml:space="preserve">Agent frameworks</w:t>
      </w:r>
    </w:p>
    <w:p>
      <w:pPr>
        <w:spacing w:before="0" w:after="200" w:line="276" w:lineRule="auto"/>
      </w:pPr>
      <w:r>
        <w:rPr>
          <w:rFonts w:ascii="Arial" w:cs="Arial" w:eastAsia="Arial" w:hAnsi="Arial"/>
          <w:color w:val="2C2C2C"/>
          <w:sz w:val="22"/>
          <w:szCs w:val="22"/>
        </w:rPr>
        <w:t xml:space="preserve">Microsoft. (2025, October 1). Introducing Microsoft Agent Framework. devblogs.microsoft.com/foundry. [Preview launch, AutoGen/Semantic Kernel convergence, and architecture referenced in Section 6.1.]</w:t>
      </w:r>
    </w:p>
    <w:p>
      <w:pPr>
        <w:spacing w:before="0" w:after="200" w:line="276" w:lineRule="auto"/>
      </w:pPr>
      <w:r>
        <w:rPr>
          <w:rFonts w:ascii="Arial" w:cs="Arial" w:eastAsia="Arial" w:hAnsi="Arial"/>
          <w:color w:val="2C2C2C"/>
          <w:sz w:val="22"/>
          <w:szCs w:val="22"/>
        </w:rPr>
        <w:t xml:space="preserve">Microsoft. (2026, February 19). Microsoft Agent Framework Reaches Release Candidate. devblogs.microsoft.com/foundry. [RC status, GA timeline, Python and .NET SDK referenced in Section 6.1.]</w:t>
      </w:r>
    </w:p>
    <w:p>
      <w:pPr>
        <w:spacing w:before="0" w:after="200" w:line="276" w:lineRule="auto"/>
      </w:pPr>
      <w:r>
        <w:rPr>
          <w:rFonts w:ascii="Arial" w:cs="Arial" w:eastAsia="Arial" w:hAnsi="Arial"/>
          <w:color w:val="2C2C2C"/>
          <w:sz w:val="22"/>
          <w:szCs w:val="22"/>
        </w:rPr>
        <w:t xml:space="preserve">Microsoft. (2026). Migrate your Semantic Kernel and AutoGen projects to Microsoft Agent Framework Release Candidate. devblogs.microsoft.com. [Investment-shift framing, 12-month support commitment, migration tooling referenced in Section 6.1.]</w:t>
      </w:r>
    </w:p>
    <w:p>
      <w:pPr>
        <w:spacing w:before="0" w:after="200" w:line="276" w:lineRule="auto"/>
      </w:pPr>
      <w:r>
        <w:rPr>
          <w:rFonts w:ascii="Arial" w:cs="Arial" w:eastAsia="Arial" w:hAnsi="Arial"/>
          <w:color w:val="2C2C2C"/>
          <w:sz w:val="22"/>
          <w:szCs w:val="22"/>
        </w:rPr>
        <w:t xml:space="preserve">Google. (2025, April 9). Agent Development Kit (ADK) announcement. Cloud NEXT. [ADK architecture, Apache 2.0 license, Python/TypeScript/Go/Java SDKs referenced in Section 6.1.] Current version: v1.27.2 (March 17, 2026).</w:t>
      </w:r>
    </w:p>
    <w:p>
      <w:pPr>
        <w:spacing w:before="0" w:after="200" w:line="276" w:lineRule="auto"/>
      </w:pPr>
      <w:r>
        <w:rPr>
          <w:rFonts w:ascii="Arial" w:cs="Arial" w:eastAsia="Arial" w:hAnsi="Arial"/>
          <w:color w:val="2C2C2C"/>
          <w:sz w:val="22"/>
          <w:szCs w:val="22"/>
        </w:rPr>
        <w:t xml:space="preserve">OpenAI. (2025, March 11). New tools for building agents. openai.com. [Agents SDK launch, Handoffs, Guardrails, Tracing, MCP integration referenced in Section 6.1.] Current version: v0.12.5 (March 2026).</w:t>
      </w:r>
    </w:p>
    <w:p>
      <w:pPr>
        <w:spacing w:before="0" w:after="200" w:line="276" w:lineRule="auto"/>
      </w:pPr>
      <w:r>
        <w:rPr>
          <w:rFonts w:ascii="Arial" w:cs="Arial" w:eastAsia="Arial" w:hAnsi="Arial"/>
          <w:color w:val="2C2C2C"/>
          <w:sz w:val="22"/>
          <w:szCs w:val="22"/>
        </w:rPr>
        <w:t xml:space="preserve">Google. (2025, April). Agent-to-Agent (A2A) protocol specification. google.github.io/A2A. [A2A protocol architecture, task lifecycle states, Apache 2.0 license referenced in Section 6.2.]</w:t>
      </w:r>
    </w:p>
    <w:p>
      <w:pPr>
        <w:spacing w:before="80" w:after="0"/>
      </w:pPr>
    </w:p>
    <w:p>
      <w:pPr>
        <w:spacing w:before="0" w:after="200" w:line="276" w:lineRule="auto"/>
      </w:pPr>
      <w:r>
        <w:rPr>
          <w:rFonts w:ascii="Arial" w:cs="Arial" w:eastAsia="Arial" w:hAnsi="Arial"/>
          <w:color w:val="2C2C2C"/>
          <w:sz w:val="22"/>
          <w:szCs w:val="22"/>
        </w:rPr>
        <w:t xml:space="preserve">Inference backends and chat UI</w:t>
      </w:r>
    </w:p>
    <w:p>
      <w:pPr>
        <w:spacing w:before="0" w:after="200" w:line="276" w:lineRule="auto"/>
      </w:pPr>
      <w:r>
        <w:rPr>
          <w:rFonts w:ascii="Arial" w:cs="Arial" w:eastAsia="Arial" w:hAnsi="Arial"/>
          <w:color w:val="2C2C2C"/>
          <w:sz w:val="22"/>
          <w:szCs w:val="22"/>
        </w:rPr>
        <w:t xml:space="preserve">Ollama. (2026). GitHub releases. github.com/ollama/ollama/releases. [Approximately v0.17.x, 162K stars, Llama 4 support, issue #7865 (MCP) referenced in Section 7.2.]</w:t>
      </w:r>
    </w:p>
    <w:p>
      <w:pPr>
        <w:spacing w:before="0" w:after="200" w:line="276" w:lineRule="auto"/>
      </w:pPr>
      <w:r>
        <w:rPr>
          <w:rFonts w:ascii="Arial" w:cs="Arial" w:eastAsia="Arial" w:hAnsi="Arial"/>
          <w:color w:val="2C2C2C"/>
          <w:sz w:val="22"/>
          <w:szCs w:val="22"/>
        </w:rPr>
        <w:t xml:space="preserve">vLLM Project. (2026). vLLM v0.16.0 release notes (30.8% E2E throughput from async scheduling plus pipeline parallelism). github.com/vllm-project/vllm/releases. [vLLM 30.8% attribution referenced in Sections 7.2 and glossary.]</w:t>
      </w:r>
    </w:p>
    <w:p>
      <w:pPr>
        <w:spacing w:before="0" w:after="200" w:line="276" w:lineRule="auto"/>
      </w:pPr>
      <w:r>
        <w:rPr>
          <w:rFonts w:ascii="Arial" w:cs="Arial" w:eastAsia="Arial" w:hAnsi="Arial"/>
          <w:color w:val="2C2C2C"/>
          <w:sz w:val="22"/>
          <w:szCs w:val="22"/>
        </w:rPr>
        <w:t xml:space="preserve">vLLM Project. (2026). vLLM v0.17.1 release notes. github.com/vllm-project/vllm/releases. [FlashAttention 4, Blackwell support, vLLM-Omni, Semantic Router v0.1 Iris referenced in Section 7.2.]</w:t>
      </w:r>
    </w:p>
    <w:p>
      <w:pPr>
        <w:spacing w:before="0" w:after="200" w:line="276" w:lineRule="auto"/>
      </w:pPr>
      <w:r>
        <w:rPr>
          <w:rFonts w:ascii="Arial" w:cs="Arial" w:eastAsia="Arial" w:hAnsi="Arial"/>
          <w:color w:val="2C2C2C"/>
          <w:sz w:val="22"/>
          <w:szCs w:val="22"/>
        </w:rPr>
        <w:t xml:space="preserve">vLLM Project. (2026). Model Runner V2 Design Document (MRV2 not yet feature-complete, not rigorously tested). docs.vllm.ai/en/v0.17.1/design/model_runner_v2. [MRV2 status referenced in Section 7.2.]</w:t>
      </w:r>
    </w:p>
    <w:p>
      <w:pPr>
        <w:spacing w:before="0" w:after="200" w:line="276" w:lineRule="auto"/>
      </w:pPr>
      <w:r>
        <w:rPr>
          <w:rFonts w:ascii="Arial" w:cs="Arial" w:eastAsia="Arial" w:hAnsi="Arial"/>
          <w:color w:val="2C2C2C"/>
          <w:sz w:val="22"/>
          <w:szCs w:val="22"/>
        </w:rPr>
        <w:t xml:space="preserve">SGLang. (2026). SGLang v0.5.9. github.com/sgl-project/sglang. [Up to 5x throughput (peak, shared-prefix workloads), 400,000+ GPU deployment referenced in Section 7.2.]</w:t>
      </w:r>
    </w:p>
    <w:p>
      <w:pPr>
        <w:spacing w:before="0" w:after="200" w:line="276" w:lineRule="auto"/>
      </w:pPr>
      <w:r>
        <w:rPr>
          <w:rFonts w:ascii="Arial" w:cs="Arial" w:eastAsia="Arial" w:hAnsi="Arial"/>
          <w:color w:val="2C2C2C"/>
          <w:sz w:val="22"/>
          <w:szCs w:val="22"/>
        </w:rPr>
        <w:t xml:space="preserve">Zheng, L. et al. (2024). SGLang: Efficient Execution of Structured Language Model Programs. NeurIPS 2024. arXiv:2312.07104. [Up to 5x throughput improvement; peer-reviewed; referenced in Sections 7.2 and glossary.]</w:t>
      </w:r>
    </w:p>
    <w:p>
      <w:pPr>
        <w:spacing w:before="0" w:after="200" w:line="276" w:lineRule="auto"/>
      </w:pPr>
      <w:r>
        <w:rPr>
          <w:rFonts w:ascii="Arial" w:cs="Arial" w:eastAsia="Arial" w:hAnsi="Arial"/>
          <w:color w:val="2C2C2C"/>
          <w:sz w:val="22"/>
          <w:szCs w:val="22"/>
        </w:rPr>
        <w:t xml:space="preserve">Chockalingam, A. (2026, January 5). Open Source AI Tool Upgrades Speed Up LLM and Diffusion Models on NVIDIA RTX PCs (up to 35% faster token generation in llama.cpp for MoE; up to 30% in Ollama). NVIDIA Technical Blog. developer.nvidia.com/blog. [NVIDIA CES 2026 MoE throughput improvements referenced in Section 7.2.]</w:t>
      </w:r>
    </w:p>
    <w:p>
      <w:pPr>
        <w:spacing w:before="0" w:after="200" w:line="276" w:lineRule="auto"/>
      </w:pPr>
      <w:r>
        <w:rPr>
          <w:rFonts w:ascii="Arial" w:cs="Arial" w:eastAsia="Arial" w:hAnsi="Arial"/>
          <w:color w:val="2C2C2C"/>
          <w:sz w:val="22"/>
          <w:szCs w:val="22"/>
        </w:rPr>
        <w:t xml:space="preserve">Gerganov, G. (2026, February). ggml.ai joins Hugging Face to ensure the long-term progress of Local AI. github.com/ggml-org/llama.cpp/discussions/19759. [ggml.ai team joining HF, projects remain open and community-driven; referenced in Section 7.2 and glossary.]</w:t>
      </w:r>
    </w:p>
    <w:p>
      <w:pPr>
        <w:spacing w:before="0" w:after="200" w:line="276" w:lineRule="auto"/>
      </w:pPr>
      <w:r>
        <w:rPr>
          <w:rFonts w:ascii="Arial" w:cs="Arial" w:eastAsia="Arial" w:hAnsi="Arial"/>
          <w:color w:val="2C2C2C"/>
          <w:sz w:val="22"/>
          <w:szCs w:val="22"/>
        </w:rPr>
        <w:t xml:space="preserve">Hugging Face. (2026, February). GGML and llama.cpp join HF. huggingface.co/blog/ggml-joins-hf. [Framing of team joining HF vs acquisition; referenced in Section 7.2.]</w:t>
      </w:r>
    </w:p>
    <w:p>
      <w:pPr>
        <w:spacing w:before="0" w:after="200" w:line="276" w:lineRule="auto"/>
      </w:pPr>
      <w:r>
        <w:rPr>
          <w:rFonts w:ascii="Arial" w:cs="Arial" w:eastAsia="Arial" w:hAnsi="Arial"/>
          <w:color w:val="2C2C2C"/>
          <w:sz w:val="22"/>
          <w:szCs w:val="22"/>
        </w:rPr>
        <w:t xml:space="preserve">ClickHouse. (2025, November 4). ClickHouse acquires LibreChat. clickhouse.com/blog/clickhouse-acquires-librechat. [Acquisition of LibreChat; enterprise-focused direction; MIT license maintained; referenced in Section 7.1.]</w:t>
      </w:r>
    </w:p>
    <w:p>
      <w:pPr>
        <w:spacing w:before="0" w:after="200" w:line="276" w:lineRule="auto"/>
      </w:pPr>
      <w:r>
        <w:rPr>
          <w:rFonts w:ascii="Arial" w:cs="Arial" w:eastAsia="Arial" w:hAnsi="Arial"/>
          <w:color w:val="2C2C2C"/>
          <w:sz w:val="22"/>
          <w:szCs w:val="22"/>
        </w:rPr>
        <w:t xml:space="preserve">LobeHub. (2025, November 3). Starting 2.0 of LobeHub (LobeChat): A System Reconstruction and Reflection. github.com/lobehub/lobehub/discussions/10007. [Rebrand from LobeChat to LobeHub; multi-agent platform direction; referenced in Section 7.1.]</w:t>
      </w:r>
    </w:p>
    <w:p>
      <w:pPr>
        <w:spacing w:before="80" w:after="0"/>
      </w:pPr>
    </w:p>
    <w:p>
      <w:pPr>
        <w:spacing w:before="0" w:after="200" w:line="276" w:lineRule="auto"/>
      </w:pPr>
      <w:r>
        <w:rPr>
          <w:rFonts w:ascii="Arial" w:cs="Arial" w:eastAsia="Arial" w:hAnsi="Arial"/>
          <w:color w:val="2C2C2C"/>
          <w:sz w:val="22"/>
          <w:szCs w:val="22"/>
        </w:rPr>
        <w:t xml:space="preserve">GPU pricing and hosting</w:t>
      </w:r>
    </w:p>
    <w:p>
      <w:pPr>
        <w:spacing w:before="0" w:after="200" w:line="276" w:lineRule="auto"/>
      </w:pPr>
      <w:r>
        <w:rPr>
          <w:rFonts w:ascii="Arial" w:cs="Arial" w:eastAsia="Arial" w:hAnsi="Arial"/>
          <w:color w:val="2C2C2C"/>
          <w:sz w:val="22"/>
          <w:szCs w:val="22"/>
        </w:rPr>
        <w:t xml:space="preserve">Introl. (2025, December). GPU Cloud Prices Collapse. introl.com. [64-75% price decline from peak; H100 market dynamics referenced in Section 8.]</w:t>
      </w:r>
    </w:p>
    <w:p>
      <w:pPr>
        <w:spacing w:before="0" w:after="200" w:line="276" w:lineRule="auto"/>
      </w:pPr>
      <w:r>
        <w:rPr>
          <w:rFonts w:ascii="Arial" w:cs="Arial" w:eastAsia="Arial" w:hAnsi="Arial"/>
          <w:color w:val="2C2C2C"/>
          <w:sz w:val="22"/>
          <w:szCs w:val="22"/>
        </w:rPr>
        <w:t xml:space="preserve">ComputePrices.com. (2026, March 19). RunPod GPU Pricing. computeprices.com/providers/runpod. [H100 SXM $2.69/hr, RTX 4090 $0.34/hr, H200 $3.59/hr pricing verified; referenced in Section 8.3.]</w:t>
      </w:r>
    </w:p>
    <w:p>
      <w:pPr>
        <w:spacing w:before="0" w:after="200" w:line="276" w:lineRule="auto"/>
      </w:pPr>
      <w:r>
        <w:rPr>
          <w:rFonts w:ascii="Arial" w:cs="Arial" w:eastAsia="Arial" w:hAnsi="Arial"/>
          <w:color w:val="2C2C2C"/>
          <w:sz w:val="22"/>
          <w:szCs w:val="22"/>
        </w:rPr>
        <w:t xml:space="preserve">Qdrant. (2026, March 12). Qdrant $50M Series B. qdrant.tech. [Funding round and Gridstore engine referenced in Sections 5.2.]</w:t>
      </w:r>
    </w:p>
    <w:p>
      <w:pPr>
        <w:spacing w:before="0" w:after="200" w:line="276" w:lineRule="auto"/>
      </w:pPr>
      <w:r>
        <w:rPr>
          <w:rFonts w:ascii="Arial" w:cs="Arial" w:eastAsia="Arial" w:hAnsi="Arial"/>
          <w:color w:val="2C2C2C"/>
          <w:sz w:val="22"/>
          <w:szCs w:val="22"/>
        </w:rPr>
        <w:t xml:space="preserve">IBM / LF AI and Data Foundation. Docling. github.com/DS4SD/docling. [37,000+ stars, MIT license, Granite-Docling-258M model, banking deployment referenced in Section 5.3.]</w:t>
      </w:r>
    </w:p>
    <w:p>
      <w:pPr>
        <w:spacing w:before="0" w:after="200" w:line="276" w:lineRule="auto"/>
      </w:pPr>
      <w:r>
        <w:rPr>
          <w:rFonts w:ascii="Arial" w:cs="Arial" w:eastAsia="Arial" w:hAnsi="Arial"/>
          <w:color w:val="2C2C2C"/>
          <w:sz w:val="22"/>
          <w:szCs w:val="22"/>
        </w:rPr>
        <w:t xml:space="preserve">EU. (2024). Regulation (EU) 2024/1689 (Artificial Intelligence Act), Official Journal. eur-lex.europa.eu. [Article 113 full applicability August 2, 2026; referenced in Section 12.]</w:t>
      </w:r>
    </w:p>
    <w:p>
      <w:pPr>
        <w:spacing w:before="0" w:after="200" w:line="276" w:lineRule="auto"/>
      </w:pPr>
      <w:r>
        <w:rPr>
          <w:rFonts w:ascii="Arial" w:cs="Arial" w:eastAsia="Arial" w:hAnsi="Arial"/>
          <w:color w:val="2C2C2C"/>
          <w:sz w:val="22"/>
          <w:szCs w:val="22"/>
        </w:rPr>
        <w:t xml:space="preserve">European Commission. (2026). General-purpose AI Code of Practice (GPAI). digital-strategy.ec.europa.eu. [GPAI compliance obligations referenced in Section 12.]</w:t>
      </w:r>
    </w:p>
    <w:p>
      <w:pPr>
        <w:spacing w:before="0" w:after="200" w:line="276" w:lineRule="auto"/>
      </w:pPr>
      <w:r>
        <w:rPr>
          <w:rFonts w:ascii="Arial" w:cs="Arial" w:eastAsia="Arial" w:hAnsi="Arial"/>
          <w:color w:val="2C2C2C"/>
          <w:sz w:val="22"/>
          <w:szCs w:val="22"/>
        </w:rPr>
        <w:t xml:space="preserve">NIST. (2024). Artificial Intelligence Risk Management Framework: Generative Artificial Intelligence Profile (NIST AI 600-1). nvlpubs.nist.gov/nistpubs/ai/NIST.AI.600-1.pdf. [Generative AI risk management profile referenced in Section 12.]</w:t>
      </w:r>
    </w:p>
    <w:p>
      <w:pPr>
        <w:spacing w:before="0" w:after="200" w:line="276" w:lineRule="auto"/>
      </w:pPr>
      <w:r>
        <w:rPr>
          <w:rFonts w:ascii="Arial" w:cs="Arial" w:eastAsia="Arial" w:hAnsi="Arial"/>
          <w:color w:val="2C2C2C"/>
          <w:sz w:val="22"/>
          <w:szCs w:val="22"/>
        </w:rPr>
        <w:t xml:space="preserve">ServiceNow. (2025). ISO Certification for AI Management System (ISO/IEC 42001:2023 certification announcement). servicenow.com/blogs. [Live ISO/IEC 42001 certification referenced in Section 12.]</w:t>
      </w:r>
    </w:p>
    <w:p>
      <w:pPr>
        <w:spacing w:before="0" w:after="200" w:line="276" w:lineRule="auto"/>
      </w:pPr>
      <w:r>
        <w:rPr>
          <w:rFonts w:ascii="Arial" w:cs="Arial" w:eastAsia="Arial" w:hAnsi="Arial"/>
          <w:color w:val="2C2C2C"/>
          <w:sz w:val="22"/>
          <w:szCs w:val="22"/>
        </w:rPr>
        <w:t xml:space="preserve">OpenAI. (2025, October 6). Introducing apps in ChatGPT and the new Apps SDK (Apps SDK built on MCP). openai.com/index/introducing-apps-in-chatgpt. [ChatGPT MCP adoption October 2025 referenced in Section 3.2.]</w:t>
      </w:r>
    </w:p>
    <w:p>
      <w:pPr>
        <w:spacing w:before="0" w:after="200" w:line="276" w:lineRule="auto"/>
      </w:pPr>
      <w:r>
        <w:rPr>
          <w:rFonts w:ascii="Arial" w:cs="Arial" w:eastAsia="Arial" w:hAnsi="Arial"/>
          <w:color w:val="2C2C2C"/>
          <w:sz w:val="22"/>
          <w:szCs w:val="22"/>
        </w:rPr>
        <w:t xml:space="preserve">OpenAI. (2025, December 17). Opening submissions for ChatGPT apps. openai.com/index/opening-submissions-for-chatgpt-apps. [App submission opening date referenced in Section 3.2.]</w:t>
      </w:r>
    </w:p>
    <w:p>
      <w:pPr>
        <w:spacing w:before="0" w:after="200" w:line="276" w:lineRule="auto"/>
      </w:pPr>
      <w:r>
        <w:rPr>
          <w:rFonts w:ascii="Arial" w:cs="Arial" w:eastAsia="Arial" w:hAnsi="Arial"/>
          <w:color w:val="2C2C2C"/>
          <w:sz w:val="22"/>
          <w:szCs w:val="22"/>
        </w:rPr>
        <w:t xml:space="preserve">Soria Parra, D. (2026, March 9). MCP Apps: Bringing UI Capabilities to MCP Clients (official MCP extension). blog.modelcontextprotocol.io. [MCP Apps extension enabling interactive UI components referenced in Section 3.2.]</w:t>
      </w:r>
    </w:p>
    <w:p>
      <w:pPr>
        <w:spacing w:before="0" w:after="200" w:line="276" w:lineRule="auto"/>
      </w:pPr>
      <w:r>
        <w:rPr>
          <w:rFonts w:ascii="Arial" w:cs="Arial" w:eastAsia="Arial" w:hAnsi="Arial"/>
          <w:color w:val="2C2C2C"/>
          <w:sz w:val="22"/>
          <w:szCs w:val="22"/>
        </w:rPr>
        <w:t xml:space="preserve">Meta. (2025, April 5). Llama 4 Community License Agreement (700M MAU additional commercial term). huggingface.co/meta-llama/Llama-4-Scout-17B-16E-Instruct. [License gate requirements referenced in Sections 2 and 2.1.]</w:t>
      </w:r>
    </w:p>
    <w:p>
      <w:pPr>
        <w:spacing w:before="0" w:after="200" w:line="276" w:lineRule="auto"/>
      </w:pPr>
      <w:r>
        <w:rPr>
          <w:rFonts w:ascii="Arial" w:cs="Arial" w:eastAsia="Arial" w:hAnsi="Arial"/>
          <w:color w:val="2C2C2C"/>
          <w:sz w:val="22"/>
          <w:szCs w:val="22"/>
        </w:rPr>
        <w:t xml:space="preserve">All third-party tools referenced in this paper are cited with their respective open-source licenses. All intellectual property rights in those tools remain with their respective authors and organizations. The integration architecture, governance application, and platform composition described in this paper are original contributions of the author.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center"/>
    </w:pPr>
    <w:r>
      <w:rPr>
        <w:rFonts w:ascii="Arial" w:cs="Arial" w:eastAsia="Arial" w:hAnsi="Arial"/>
        <w:color w:val="555555"/>
        <w:sz w:val="18"/>
        <w:szCs w:val="18"/>
      </w:rPr>
      <w:t xml:space="preserve">Page </w:t>
    </w:r>
    <w:r>
      <w:rPr>
        <w:rFonts w:ascii="Arial" w:hAnsi="Arial"/>
        <w:color w:val="555555"/>
        <w:sz w:val="18"/>
      </w:rPr>
      <w:fldChar w:fldCharType="begin"/>
    </w:r>
    <w:r>
      <w:rPr>
        <w:rFonts w:ascii="Arial" w:hAnsi="Arial"/>
        <w:color w:val="555555"/>
        <w:sz w:val="18"/>
      </w:rPr>
      <w:instrText xml:space="preserve">PAGE</w:instrText>
    </w:r>
    <w:r>
      <w:rPr>
        <w:rFonts w:ascii="Arial" w:hAnsi="Arial"/>
        <w:color w:val="555555"/>
        <w:sz w:val="18"/>
      </w:rPr>
      <w:fldChar w:fldCharType="separate"/>
    </w:r>
    <w:r>
      <w:rPr>
        <w:rFonts w:ascii="Arial" w:hAnsi="Arial"/>
        <w:color w:val="555555"/>
        <w:sz w:val="18"/>
      </w:rPr>
      <w:fldChar w:fldCharType="end"/>
    </w:r>
    <w:r>
      <w:rPr>
        <w:rFonts w:ascii="Arial" w:cs="Arial" w:eastAsia="Arial" w:hAnsi="Arial"/>
        <w:color w:val="555555"/>
        <w:sz w:val="18"/>
        <w:szCs w:val="18"/>
      </w:rPr>
      <w:t xml:space="preserve">  |  Internal Engineering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jc w:val="right"/>
    </w:pPr>
    <w:r>
      <w:rPr>
        <w:rFonts w:ascii="Arial" w:cs="Arial" w:eastAsia="Arial" w:hAnsi="Arial"/>
        <w:i/>
        <w:iCs/>
        <w:color w:val="555555"/>
        <w:sz w:val="18"/>
        <w:szCs w:val="18"/>
      </w:rPr>
      <w:t xml:space="preserve">ContextKeeper  |  Open Infrastructure and AI Toolkit Reference  |  WP-004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line="276" w:lineRule="auto"/>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80" w:line="276" w:lineRule="auto"/>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2026-03-20T04:26:25.910Z</dcterms:created>
  <dcterms:modified xsi:type="dcterms:W3CDTF">2026-03-20T04:26:25.911Z</dcterms:modified>
</cp:coreProperties>
</file>

<file path=docProps/custom.xml><?xml version="1.0" encoding="utf-8"?>
<Properties xmlns="http://schemas.openxmlformats.org/officeDocument/2006/custom-properties" xmlns:vt="http://schemas.openxmlformats.org/officeDocument/2006/docPropsVTypes"/>
</file>