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60"/>
        <w:jc w:val="center"/>
      </w:pPr>
      <w:r>
        <w:rPr>
          <w:rFonts w:ascii="Arial" w:cs="Arial" w:eastAsia="Arial" w:hAnsi="Arial"/>
          <w:b/>
          <w:bCs/>
          <w:color w:val="1B2A4A"/>
          <w:sz w:val="48"/>
          <w:szCs w:val="48"/>
        </w:rPr>
        <w:t xml:space="preserve">Platform Expansion, Distribution,</w:t>
      </w:r>
    </w:p>
    <w:p>
      <w:pPr>
        <w:spacing w:before="0" w:after="100"/>
        <w:jc w:val="center"/>
      </w:pPr>
      <w:r>
        <w:rPr>
          <w:rFonts w:ascii="Arial" w:cs="Arial" w:eastAsia="Arial" w:hAnsi="Arial"/>
          <w:b/>
          <w:bCs/>
          <w:color w:val="1B2A4A"/>
          <w:sz w:val="48"/>
          <w:szCs w:val="48"/>
        </w:rPr>
        <w:t xml:space="preserve">and Compliance Strategy</w:t>
      </w:r>
    </w:p>
    <w:p>
      <w:pPr>
        <w:spacing w:before="60" w:after="40"/>
        <w:jc w:val="center"/>
      </w:pPr>
      <w:r>
        <w:rPr>
          <w:rFonts w:ascii="Arial" w:cs="Arial" w:eastAsia="Arial" w:hAnsi="Arial"/>
          <w:b/>
          <w:bCs/>
          <w:color w:val="1B2A4A"/>
          <w:sz w:val="36"/>
          <w:szCs w:val="36"/>
        </w:rPr>
        <w:t xml:space="preserve">Developer Distribution, Ecosystem Integration,</w:t>
      </w:r>
    </w:p>
    <w:p>
      <w:pPr>
        <w:spacing w:before="40" w:after="40"/>
        <w:jc w:val="center"/>
      </w:pPr>
      <w:r>
        <w:rPr>
          <w:rFonts w:ascii="Arial" w:cs="Arial" w:eastAsia="Arial" w:hAnsi="Arial"/>
          <w:b w:val="false"/>
          <w:bCs w:val="false"/>
          <w:color w:val="555555"/>
          <w:sz w:val="28"/>
          <w:szCs w:val="28"/>
        </w:rPr>
        <w:t xml:space="preserve">Platform Intelligence, Enterprise Compliance,</w:t>
      </w:r>
    </w:p>
    <w:p>
      <w:pPr>
        <w:spacing w:before="40" w:after="60"/>
        <w:jc w:val="center"/>
      </w:pPr>
      <w:r>
        <w:rPr>
          <w:rFonts w:ascii="Arial" w:cs="Arial" w:eastAsia="Arial" w:hAnsi="Arial"/>
          <w:b w:val="false"/>
          <w:bCs w:val="false"/>
          <w:color w:val="555555"/>
          <w:sz w:val="28"/>
          <w:szCs w:val="28"/>
        </w:rPr>
        <w:t xml:space="preserve">Connector Extensions, Community Programs, and Revenue Expansion</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WP-007  |  Version 1.3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18,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w:t>
      </w:r>
    </w:p>
    <w:p>
      <w:pPr>
        <w:spacing w:before="240" w:after="80" w:line="276" w:lineRule="auto"/>
      </w:pPr>
      <w:r>
        <w:rPr>
          <w:rFonts w:ascii="Arial" w:cs="Arial" w:eastAsia="Arial" w:hAnsi="Arial"/>
          <w:b/>
          <w:bCs/>
          <w:color w:val="1B2A4A"/>
          <w:sz w:val="24"/>
          <w:szCs w:val="24"/>
        </w:rPr>
        <w:t xml:space="preserve">CONFIDENTIALITY</w:t>
      </w:r>
    </w:p>
    <w:p>
      <w:pPr>
        <w:spacing w:before="0" w:after="200" w:line="276" w:lineRule="auto"/>
      </w:pPr>
      <w:r>
        <w:rPr>
          <w:rFonts w:ascii="Arial" w:cs="Arial" w:eastAsia="Arial" w:hAnsi="Arial"/>
          <w:color w:val="2C2C2C"/>
          <w:sz w:val="22"/>
          <w:szCs w:val="22"/>
        </w:rPr>
        <w:t xml:space="preserve">This document is classified as Internal Engineering Reference. Distribution is restricted to authorized recipients as determined by the author. Unauthorized distribution is prohibited.</w:t>
      </w:r>
    </w:p>
    <w:p>
      <w:pPr>
        <w:spacing w:before="120" w:after="0"/>
      </w:pP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57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Research-verified revision: MCP governance corrected to Linux Foundation/AAIF; SOC 2 TSC criteria expanded with full CC1-CC9 detail; EU AI Act enforcement timeline updated with Digital Omnibus caveat; HIPAA BAA requirements clarified; MiFID II and SEC/FINRA claims reframed as compliance facilitation; ISO 42001 section added; HIPAA Security Rule NPRM status documented; all thin sections expanded to full depth.</w:t>
            </w:r>
          </w:p>
        </w:tc>
      </w:tr>
      <w:tr>
        <w:tc>
          <w:tcPr>
            <w:tcW w:type="dxa" w:w="1400"/>
            <w:tcBorders>
              <w:top w:val="single" w:color="CCCCCC" w:sz="1"/>
              <w:left w:val="single" w:color="CCCCCC" w:sz="1"/>
              <w:bottom w:val="single" w:color="CCCCCC" w:sz="1"/>
              <w:right w:val="single" w:color="CCCCCC" w:sz="1"/>
            </w:tcBorders>
          </w:tcPr>
          <w:p>
            <w:pPr>
              <w:spacing w:before="80" w:after="80"/>
            </w:pPr>
            <w:r>
              <w:rPr>
                <w:rFonts w:ascii="Arial" w:hAnsi="Arial"/>
                <w:color w:val="2C2C2C"/>
                <w:sz w:val="20"/>
              </w:rPr>
              <w:t>1.3</w:t>
            </w:r>
          </w:p>
        </w:tc>
        <w:tc>
          <w:tcPr>
            <w:tcW w:type="dxa" w:w="1800"/>
            <w:tcBorders>
              <w:top w:val="single" w:color="CCCCCC" w:sz="1"/>
              <w:left w:val="single" w:color="CCCCCC" w:sz="1"/>
              <w:bottom w:val="single" w:color="CCCCCC" w:sz="1"/>
              <w:right w:val="single" w:color="CCCCCC" w:sz="1"/>
            </w:tcBorders>
          </w:tcPr>
          <w:p>
            <w:pPr>
              <w:spacing w:before="80" w:after="80"/>
            </w:pPr>
            <w:r>
              <w:rPr>
                <w:rFonts w:ascii="Arial" w:hAnsi="Arial"/>
                <w:color w:val="2C2C2C"/>
                <w:sz w:val="20"/>
              </w:rPr>
              <w:t>March 2026</w:t>
            </w:r>
          </w:p>
        </w:tc>
        <w:tc>
          <w:tcPr>
            <w:tcW w:type="dxa" w:w="6160"/>
            <w:tcBorders>
              <w:top w:val="single" w:color="CCCCCC" w:sz="1"/>
              <w:left w:val="single" w:color="CCCCCC" w:sz="1"/>
              <w:bottom w:val="single" w:color="CCCCCC" w:sz="1"/>
              <w:right w:val="single" w:color="CCCCCC" w:sz="1"/>
            </w:tcBorders>
          </w:tcPr>
          <w:p>
            <w:pPr>
              <w:spacing w:before="80" w:after="80"/>
            </w:pPr>
            <w:r>
              <w:rPr>
                <w:rFonts w:ascii="Arial" w:hAnsi="Arial"/>
                <w:color w:val="2C2C2C"/>
                <w:sz w:val="20"/>
              </w:rPr>
              <w:t xml:space="preserve">Combined final draft integrating dual AI validation pass. Corrections: ChatGPT MCP adoption date corrected to distinguish platform-level adoption (March 26, 2025, Agents SDK) from ChatGPT user-facing support (September 2025) and Apps SDK (October 6, 2025). Google Gemini MCP date corrected to Google I/O May 20, 2025 (SDK) and December 2025 (managed remote MCP servers). JetBrains 84% Java developer figure correctly attributed to Perforce/JRebel 2025 Java Developer Productivity Report, not Stack Overflow survey (which shows 27.1% overall). Stack Overflow respondent count corrected to 49,009. Cisco acquisition price qualified as unconfirmed estimate. SOC 2 78% statistic softened to majority with caveat. OpenView NDR claim corrected: 38% faster revenue growth (not NDR); NDR advantage approximately 10 percentage points. 87% developer pay-as-you-go statistic removed as unsourced. 2.3x overage conversion claim replaced with qualitative statement. Annual subscriber churn advantage corrected from 3-5x to 2-3x per industry benchmarks. SHA-256 normalized to SHA-256. Repo URL corrected from contextkeeper-site to contextkeeper. All internal WP references updated to current versions. Additions: Open VSX supply chain security paragraph in Section 3.3 (GlassWorm March 2026, namespace hijacking, Microsoft first-party extension restrictions). MCP Apps launch date corrected to January 26, 2026 with feature description and ContextKeeper UI opportunity in Section 3.1. GPAI Code of Practice paragraph in Section 6.5 (published July 10, 2025; enforcement August 2026; GPAI obligations active August 2025). ISO 42001 expanded early adopter list paragraph in Section 6.5 (IBM Granite, AWS, SAP, Anthropic, expanded Microsoft scope; Arize ISO 27001 noted). New references: Perforce/JRebel 2025 Java report, GPAI Code of Practice, MCP Apps extension.</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Namespace and Distribution Readiness ..... 7</w:t>
      </w:r>
    </w:p>
    <w:p>
      <w:pPr>
        <w:spacing w:before="0" w:after="200" w:line="276" w:lineRule="auto"/>
      </w:pPr>
      <w:r>
        <w:rPr>
          <w:rFonts w:ascii="Arial" w:cs="Arial" w:eastAsia="Arial" w:hAnsi="Arial"/>
          <w:color w:val="2C2C2C"/>
          <w:sz w:val="22"/>
          <w:szCs w:val="22"/>
        </w:rPr>
        <w:t xml:space="preserve">   2.1 The Namespace Problem ..... 7</w:t>
      </w:r>
    </w:p>
    <w:p>
      <w:pPr>
        <w:spacing w:before="0" w:after="200" w:line="276" w:lineRule="auto"/>
      </w:pPr>
      <w:r>
        <w:rPr>
          <w:rFonts w:ascii="Arial" w:cs="Arial" w:eastAsia="Arial" w:hAnsi="Arial"/>
          <w:color w:val="2C2C2C"/>
          <w:sz w:val="22"/>
          <w:szCs w:val="22"/>
        </w:rPr>
        <w:t xml:space="preserve">   2.2 Correction Plan ..... 7</w:t>
      </w:r>
    </w:p>
    <w:p>
      <w:pPr>
        <w:spacing w:before="0" w:after="200" w:line="276" w:lineRule="auto"/>
      </w:pPr>
      <w:r>
        <w:rPr>
          <w:rFonts w:ascii="Arial" w:cs="Arial" w:eastAsia="Arial" w:hAnsi="Arial"/>
          <w:color w:val="2C2C2C"/>
          <w:sz w:val="22"/>
          <w:szCs w:val="22"/>
        </w:rPr>
        <w:t xml:space="preserve">3. Developer Distribution Channels ..... 9</w:t>
      </w:r>
    </w:p>
    <w:p>
      <w:pPr>
        <w:spacing w:before="0" w:after="200" w:line="276" w:lineRule="auto"/>
      </w:pPr>
      <w:r>
        <w:rPr>
          <w:rFonts w:ascii="Arial" w:cs="Arial" w:eastAsia="Arial" w:hAnsi="Arial"/>
          <w:color w:val="2C2C2C"/>
          <w:sz w:val="22"/>
          <w:szCs w:val="22"/>
        </w:rPr>
        <w:t xml:space="preserve">   3.1 MCP Server Publication ..... 9</w:t>
      </w:r>
    </w:p>
    <w:p>
      <w:pPr>
        <w:spacing w:before="0" w:after="200" w:line="276" w:lineRule="auto"/>
      </w:pPr>
      <w:r>
        <w:rPr>
          <w:rFonts w:ascii="Arial" w:cs="Arial" w:eastAsia="Arial" w:hAnsi="Arial"/>
          <w:color w:val="2C2C2C"/>
          <w:sz w:val="22"/>
          <w:szCs w:val="22"/>
        </w:rPr>
        <w:t xml:space="preserve">   3.2 CLI Tool ..... 12</w:t>
      </w:r>
    </w:p>
    <w:p>
      <w:pPr>
        <w:spacing w:before="0" w:after="200" w:line="276" w:lineRule="auto"/>
      </w:pPr>
      <w:r>
        <w:rPr>
          <w:rFonts w:ascii="Arial" w:cs="Arial" w:eastAsia="Arial" w:hAnsi="Arial"/>
          <w:color w:val="2C2C2C"/>
          <w:sz w:val="22"/>
          <w:szCs w:val="22"/>
        </w:rPr>
        <w:t xml:space="preserve">   3.3 IDE and Editor Integrations ..... 14</w:t>
      </w:r>
    </w:p>
    <w:p>
      <w:pPr>
        <w:spacing w:before="0" w:after="200" w:line="276" w:lineRule="auto"/>
      </w:pPr>
      <w:r>
        <w:rPr>
          <w:rFonts w:ascii="Arial" w:cs="Arial" w:eastAsia="Arial" w:hAnsi="Arial"/>
          <w:color w:val="2C2C2C"/>
          <w:sz w:val="22"/>
          <w:szCs w:val="22"/>
        </w:rPr>
        <w:t xml:space="preserve">   3.4 Ecosystem Package Integrations ..... 15</w:t>
      </w:r>
    </w:p>
    <w:p>
      <w:pPr>
        <w:spacing w:before="0" w:after="200" w:line="276" w:lineRule="auto"/>
      </w:pPr>
      <w:r>
        <w:rPr>
          <w:rFonts w:ascii="Arial" w:cs="Arial" w:eastAsia="Arial" w:hAnsi="Arial"/>
          <w:color w:val="2C2C2C"/>
          <w:sz w:val="22"/>
          <w:szCs w:val="22"/>
        </w:rPr>
        <w:t xml:space="preserve">   3.5 Public Repository and Protocol Publication ..... 18</w:t>
      </w:r>
    </w:p>
    <w:p>
      <w:pPr>
        <w:spacing w:before="0" w:after="200" w:line="276" w:lineRule="auto"/>
      </w:pPr>
      <w:r>
        <w:rPr>
          <w:rFonts w:ascii="Arial" w:cs="Arial" w:eastAsia="Arial" w:hAnsi="Arial"/>
          <w:color w:val="2C2C2C"/>
          <w:sz w:val="22"/>
          <w:szCs w:val="22"/>
        </w:rPr>
        <w:t xml:space="preserve">4. Platform Intelligence Features ..... 19</w:t>
      </w:r>
    </w:p>
    <w:p>
      <w:pPr>
        <w:spacing w:before="0" w:after="200" w:line="276" w:lineRule="auto"/>
      </w:pPr>
      <w:r>
        <w:rPr>
          <w:rFonts w:ascii="Arial" w:cs="Arial" w:eastAsia="Arial" w:hAnsi="Arial"/>
          <w:color w:val="2C2C2C"/>
          <w:sz w:val="22"/>
          <w:szCs w:val="22"/>
        </w:rPr>
        <w:t xml:space="preserve">   4.1 Session Replay ..... 19</w:t>
      </w:r>
    </w:p>
    <w:p>
      <w:pPr>
        <w:spacing w:before="0" w:after="200" w:line="276" w:lineRule="auto"/>
      </w:pPr>
      <w:r>
        <w:rPr>
          <w:rFonts w:ascii="Arial" w:cs="Arial" w:eastAsia="Arial" w:hAnsi="Arial"/>
          <w:color w:val="2C2C2C"/>
          <w:sz w:val="22"/>
          <w:szCs w:val="22"/>
        </w:rPr>
        <w:t xml:space="preserve">   4.2 Model Performance Scorecard and Analytics ..... 21</w:t>
      </w:r>
    </w:p>
    <w:p>
      <w:pPr>
        <w:spacing w:before="0" w:after="200" w:line="276" w:lineRule="auto"/>
      </w:pPr>
      <w:r>
        <w:rPr>
          <w:rFonts w:ascii="Arial" w:cs="Arial" w:eastAsia="Arial" w:hAnsi="Arial"/>
          <w:color w:val="2C2C2C"/>
          <w:sz w:val="22"/>
          <w:szCs w:val="22"/>
        </w:rPr>
        <w:t xml:space="preserve">   4.3 Automatic Invariant Suggestion and Anomaly Detection ..... 23</w:t>
      </w:r>
    </w:p>
    <w:p>
      <w:pPr>
        <w:spacing w:before="0" w:after="200" w:line="276" w:lineRule="auto"/>
      </w:pPr>
      <w:r>
        <w:rPr>
          <w:rFonts w:ascii="Arial" w:cs="Arial" w:eastAsia="Arial" w:hAnsi="Arial"/>
          <w:color w:val="2C2C2C"/>
          <w:sz w:val="22"/>
          <w:szCs w:val="22"/>
        </w:rPr>
        <w:t xml:space="preserve">5. Fine-Tuned Governance Model ..... 25</w:t>
      </w:r>
    </w:p>
    <w:p>
      <w:pPr>
        <w:spacing w:before="0" w:after="200" w:line="276" w:lineRule="auto"/>
      </w:pPr>
      <w:r>
        <w:rPr>
          <w:rFonts w:ascii="Arial" w:cs="Arial" w:eastAsia="Arial" w:hAnsi="Arial"/>
          <w:color w:val="2C2C2C"/>
          <w:sz w:val="22"/>
          <w:szCs w:val="22"/>
        </w:rPr>
        <w:t xml:space="preserve">6. Enterprise Compliance Architecture ..... 28</w:t>
      </w:r>
    </w:p>
    <w:p>
      <w:pPr>
        <w:spacing w:before="0" w:after="200" w:line="276" w:lineRule="auto"/>
      </w:pPr>
      <w:r>
        <w:rPr>
          <w:rFonts w:ascii="Arial" w:cs="Arial" w:eastAsia="Arial" w:hAnsi="Arial"/>
          <w:color w:val="2C2C2C"/>
          <w:sz w:val="22"/>
          <w:szCs w:val="22"/>
        </w:rPr>
        <w:t xml:space="preserve">   6.1 SOC 2 Type II ..... 30</w:t>
      </w:r>
    </w:p>
    <w:p>
      <w:pPr>
        <w:spacing w:before="0" w:after="200" w:line="276" w:lineRule="auto"/>
      </w:pPr>
      <w:r>
        <w:rPr>
          <w:rFonts w:ascii="Arial" w:cs="Arial" w:eastAsia="Arial" w:hAnsi="Arial"/>
          <w:color w:val="2C2C2C"/>
          <w:sz w:val="22"/>
          <w:szCs w:val="22"/>
        </w:rPr>
        <w:t xml:space="preserve">   6.2 GDPR, CCPA, and Data Residency ..... 33</w:t>
      </w:r>
    </w:p>
    <w:p>
      <w:pPr>
        <w:spacing w:before="0" w:after="200" w:line="276" w:lineRule="auto"/>
      </w:pPr>
      <w:r>
        <w:rPr>
          <w:rFonts w:ascii="Arial" w:cs="Arial" w:eastAsia="Arial" w:hAnsi="Arial"/>
          <w:color w:val="2C2C2C"/>
          <w:sz w:val="22"/>
          <w:szCs w:val="22"/>
        </w:rPr>
        <w:t xml:space="preserve">   6.3 Private Cloud Deployment (BYOI) ..... 35</w:t>
      </w:r>
    </w:p>
    <w:p>
      <w:pPr>
        <w:spacing w:before="0" w:after="200" w:line="276" w:lineRule="auto"/>
      </w:pPr>
      <w:r>
        <w:rPr>
          <w:rFonts w:ascii="Arial" w:cs="Arial" w:eastAsia="Arial" w:hAnsi="Arial"/>
          <w:color w:val="2C2C2C"/>
          <w:sz w:val="22"/>
          <w:szCs w:val="22"/>
        </w:rPr>
        <w:t xml:space="preserve">   6.4 Signed Audit Bundles and Immutable Audit Log ..... 37</w:t>
      </w:r>
    </w:p>
    <w:p>
      <w:pPr>
        <w:spacing w:before="0" w:after="200" w:line="276" w:lineRule="auto"/>
      </w:pPr>
      <w:r>
        <w:rPr>
          <w:rFonts w:ascii="Arial" w:cs="Arial" w:eastAsia="Arial" w:hAnsi="Arial"/>
          <w:color w:val="2C2C2C"/>
          <w:sz w:val="22"/>
          <w:szCs w:val="22"/>
        </w:rPr>
        <w:t xml:space="preserve">   6.5 ISO 42001 AI Management System ..... 39</w:t>
      </w:r>
    </w:p>
    <w:p>
      <w:pPr>
        <w:spacing w:before="0" w:after="200" w:line="276" w:lineRule="auto"/>
      </w:pPr>
      <w:r>
        <w:rPr>
          <w:rFonts w:ascii="Arial" w:cs="Arial" w:eastAsia="Arial" w:hAnsi="Arial"/>
          <w:color w:val="2C2C2C"/>
          <w:sz w:val="22"/>
          <w:szCs w:val="22"/>
        </w:rPr>
        <w:t xml:space="preserve">7. Connector Ecosystem Extensions ..... 41</w:t>
      </w:r>
    </w:p>
    <w:p>
      <w:pPr>
        <w:spacing w:before="0" w:after="200" w:line="276" w:lineRule="auto"/>
      </w:pPr>
      <w:r>
        <w:rPr>
          <w:rFonts w:ascii="Arial" w:cs="Arial" w:eastAsia="Arial" w:hAnsi="Arial"/>
          <w:color w:val="2C2C2C"/>
          <w:sz w:val="22"/>
          <w:szCs w:val="22"/>
        </w:rPr>
        <w:t xml:space="preserve">   7.1 Connector Health Monitoring ..... 41</w:t>
      </w:r>
    </w:p>
    <w:p>
      <w:pPr>
        <w:spacing w:before="0" w:after="200" w:line="276" w:lineRule="auto"/>
      </w:pPr>
      <w:r>
        <w:rPr>
          <w:rFonts w:ascii="Arial" w:cs="Arial" w:eastAsia="Arial" w:hAnsi="Arial"/>
          <w:color w:val="2C2C2C"/>
          <w:sz w:val="22"/>
          <w:szCs w:val="22"/>
        </w:rPr>
        <w:t xml:space="preserve">   7.2 Connector Marketplace ..... 43</w:t>
      </w:r>
    </w:p>
    <w:p>
      <w:pPr>
        <w:spacing w:before="0" w:after="200" w:line="276" w:lineRule="auto"/>
      </w:pPr>
      <w:r>
        <w:rPr>
          <w:rFonts w:ascii="Arial" w:cs="Arial" w:eastAsia="Arial" w:hAnsi="Arial"/>
          <w:color w:val="2C2C2C"/>
          <w:sz w:val="22"/>
          <w:szCs w:val="22"/>
        </w:rPr>
        <w:t xml:space="preserve">   7.3 Bi-Directional Sync and Data Lineage ..... 45</w:t>
      </w:r>
    </w:p>
    <w:p>
      <w:pPr>
        <w:spacing w:before="0" w:after="200" w:line="276" w:lineRule="auto"/>
      </w:pPr>
      <w:r>
        <w:rPr>
          <w:rFonts w:ascii="Arial" w:cs="Arial" w:eastAsia="Arial" w:hAnsi="Arial"/>
          <w:color w:val="2C2C2C"/>
          <w:sz w:val="22"/>
          <w:szCs w:val="22"/>
        </w:rPr>
        <w:t xml:space="preserve">8. Revenue Model Extensions ..... 47</w:t>
      </w:r>
    </w:p>
    <w:p>
      <w:pPr>
        <w:spacing w:before="0" w:after="200" w:line="276" w:lineRule="auto"/>
      </w:pPr>
      <w:r>
        <w:rPr>
          <w:rFonts w:ascii="Arial" w:cs="Arial" w:eastAsia="Arial" w:hAnsi="Arial"/>
          <w:color w:val="2C2C2C"/>
          <w:sz w:val="22"/>
          <w:szCs w:val="22"/>
        </w:rPr>
        <w:t xml:space="preserve">   8.1 White-Label SDK Licensing ..... 47</w:t>
      </w:r>
    </w:p>
    <w:p>
      <w:pPr>
        <w:spacing w:before="0" w:after="200" w:line="276" w:lineRule="auto"/>
      </w:pPr>
      <w:r>
        <w:rPr>
          <w:rFonts w:ascii="Arial" w:cs="Arial" w:eastAsia="Arial" w:hAnsi="Arial"/>
          <w:color w:val="2C2C2C"/>
          <w:sz w:val="22"/>
          <w:szCs w:val="22"/>
        </w:rPr>
        <w:t xml:space="preserve">   8.2 Annual Pricing and Overage Model ..... 50</w:t>
      </w:r>
    </w:p>
    <w:p>
      <w:pPr>
        <w:spacing w:before="0" w:after="200" w:line="276" w:lineRule="auto"/>
      </w:pPr>
      <w:r>
        <w:rPr>
          <w:rFonts w:ascii="Arial" w:cs="Arial" w:eastAsia="Arial" w:hAnsi="Arial"/>
          <w:color w:val="2C2C2C"/>
          <w:sz w:val="22"/>
          <w:szCs w:val="22"/>
        </w:rPr>
        <w:t xml:space="preserve">   8.3 Certification Program ..... 52</w:t>
      </w:r>
    </w:p>
    <w:p>
      <w:pPr>
        <w:spacing w:before="0" w:after="200" w:line="276" w:lineRule="auto"/>
      </w:pPr>
      <w:r>
        <w:rPr>
          <w:rFonts w:ascii="Arial" w:cs="Arial" w:eastAsia="Arial" w:hAnsi="Arial"/>
          <w:color w:val="2C2C2C"/>
          <w:sz w:val="22"/>
          <w:szCs w:val="22"/>
        </w:rPr>
        <w:t xml:space="preserve">9. Community and Ecosystem Programs ..... 54</w:t>
      </w:r>
    </w:p>
    <w:p>
      <w:pPr>
        <w:spacing w:before="0" w:after="200" w:line="276" w:lineRule="auto"/>
      </w:pPr>
      <w:r>
        <w:rPr>
          <w:rFonts w:ascii="Arial" w:cs="Arial" w:eastAsia="Arial" w:hAnsi="Arial"/>
          <w:color w:val="2C2C2C"/>
          <w:sz w:val="22"/>
          <w:szCs w:val="22"/>
        </w:rPr>
        <w:t xml:space="preserve">   9.1 Creator Revenue Share ..... 54</w:t>
      </w:r>
    </w:p>
    <w:p>
      <w:pPr>
        <w:spacing w:before="0" w:after="200" w:line="276" w:lineRule="auto"/>
      </w:pPr>
      <w:r>
        <w:rPr>
          <w:rFonts w:ascii="Arial" w:cs="Arial" w:eastAsia="Arial" w:hAnsi="Arial"/>
          <w:color w:val="2C2C2C"/>
          <w:sz w:val="22"/>
          <w:szCs w:val="22"/>
        </w:rPr>
        <w:t xml:space="preserve">   9.2 Community Forum and Discussion Layer ..... 56</w:t>
      </w:r>
    </w:p>
    <w:p>
      <w:pPr>
        <w:spacing w:before="0" w:after="200" w:line="276" w:lineRule="auto"/>
      </w:pPr>
      <w:r>
        <w:rPr>
          <w:rFonts w:ascii="Arial" w:cs="Arial" w:eastAsia="Arial" w:hAnsi="Arial"/>
          <w:color w:val="2C2C2C"/>
          <w:sz w:val="22"/>
          <w:szCs w:val="22"/>
        </w:rPr>
        <w:t xml:space="preserve">   9.3 Academic Partnership Program ..... 57</w:t>
      </w:r>
    </w:p>
    <w:p>
      <w:pPr>
        <w:spacing w:before="0" w:after="200" w:line="276" w:lineRule="auto"/>
      </w:pPr>
      <w:r>
        <w:rPr>
          <w:rFonts w:ascii="Arial" w:cs="Arial" w:eastAsia="Arial" w:hAnsi="Arial"/>
          <w:color w:val="2C2C2C"/>
          <w:sz w:val="22"/>
          <w:szCs w:val="22"/>
        </w:rPr>
        <w:t xml:space="preserve">10. Content, Partner, and Publication Strategy ..... 59</w:t>
      </w:r>
    </w:p>
    <w:p>
      <w:pPr>
        <w:spacing w:before="0" w:after="200" w:line="276" w:lineRule="auto"/>
      </w:pPr>
      <w:r>
        <w:rPr>
          <w:rFonts w:ascii="Arial" w:cs="Arial" w:eastAsia="Arial" w:hAnsi="Arial"/>
          <w:color w:val="2C2C2C"/>
          <w:sz w:val="22"/>
          <w:szCs w:val="22"/>
        </w:rPr>
        <w:t xml:space="preserve">    10.1 Natural Language Governance Interface ..... 59</w:t>
      </w:r>
    </w:p>
    <w:p>
      <w:pPr>
        <w:spacing w:before="0" w:after="200" w:line="276" w:lineRule="auto"/>
      </w:pPr>
      <w:r>
        <w:rPr>
          <w:rFonts w:ascii="Arial" w:cs="Arial" w:eastAsia="Arial" w:hAnsi="Arial"/>
          <w:color w:val="2C2C2C"/>
          <w:sz w:val="22"/>
          <w:szCs w:val="22"/>
        </w:rPr>
        <w:t xml:space="preserve">    10.2 Governance Regression Suite ..... 61</w:t>
      </w:r>
    </w:p>
    <w:p>
      <w:pPr>
        <w:spacing w:before="0" w:after="200" w:line="276" w:lineRule="auto"/>
      </w:pPr>
      <w:r>
        <w:rPr>
          <w:rFonts w:ascii="Arial" w:cs="Arial" w:eastAsia="Arial" w:hAnsi="Arial"/>
          <w:color w:val="2C2C2C"/>
          <w:sz w:val="22"/>
          <w:szCs w:val="22"/>
        </w:rPr>
        <w:t xml:space="preserve">    10.3 Partner Programs ..... 63</w:t>
      </w:r>
    </w:p>
    <w:p>
      <w:pPr>
        <w:spacing w:before="0" w:after="200" w:line="276" w:lineRule="auto"/>
      </w:pPr>
      <w:r>
        <w:rPr>
          <w:rFonts w:ascii="Arial" w:cs="Arial" w:eastAsia="Arial" w:hAnsi="Arial"/>
          <w:color w:val="2C2C2C"/>
          <w:sz w:val="22"/>
          <w:szCs w:val="22"/>
        </w:rPr>
        <w:t xml:space="preserve">    10.4 Compliance Export Formats ..... 65</w:t>
      </w:r>
    </w:p>
    <w:p>
      <w:pPr>
        <w:spacing w:before="0" w:after="200" w:line="276" w:lineRule="auto"/>
      </w:pPr>
      <w:r>
        <w:rPr>
          <w:rFonts w:ascii="Arial" w:cs="Arial" w:eastAsia="Arial" w:hAnsi="Arial"/>
          <w:color w:val="2C2C2C"/>
          <w:sz w:val="22"/>
          <w:szCs w:val="22"/>
        </w:rPr>
        <w:t xml:space="preserve">    10.5 Data Programs ..... 67</w:t>
      </w:r>
    </w:p>
    <w:p>
      <w:pPr>
        <w:spacing w:before="0" w:after="200" w:line="276" w:lineRule="auto"/>
      </w:pPr>
      <w:r>
        <w:rPr>
          <w:rFonts w:ascii="Arial" w:cs="Arial" w:eastAsia="Arial" w:hAnsi="Arial"/>
          <w:color w:val="2C2C2C"/>
          <w:sz w:val="22"/>
          <w:szCs w:val="22"/>
        </w:rPr>
        <w:t xml:space="preserve">    10.6 New Market Programs ..... 69</w:t>
      </w:r>
    </w:p>
    <w:p>
      <w:pPr>
        <w:spacing w:before="0" w:after="200" w:line="276" w:lineRule="auto"/>
      </w:pPr>
      <w:r>
        <w:rPr>
          <w:rFonts w:ascii="Arial" w:cs="Arial" w:eastAsia="Arial" w:hAnsi="Arial"/>
          <w:color w:val="2C2C2C"/>
          <w:sz w:val="22"/>
          <w:szCs w:val="22"/>
        </w:rPr>
        <w:t xml:space="preserve">11. Priority and Sequencing Matrix ..... 72</w:t>
      </w:r>
    </w:p>
    <w:p>
      <w:pPr>
        <w:spacing w:before="0" w:after="200" w:line="276" w:lineRule="auto"/>
      </w:pPr>
      <w:r>
        <w:rPr>
          <w:rFonts w:ascii="Arial" w:cs="Arial" w:eastAsia="Arial" w:hAnsi="Arial"/>
          <w:color w:val="2C2C2C"/>
          <w:sz w:val="22"/>
          <w:szCs w:val="22"/>
        </w:rPr>
        <w:t xml:space="preserve">12. Integration Points ..... 75</w:t>
      </w:r>
    </w:p>
    <w:p>
      <w:pPr>
        <w:spacing w:before="0" w:after="200" w:line="276" w:lineRule="auto"/>
      </w:pPr>
      <w:r>
        <w:rPr>
          <w:rFonts w:ascii="Arial" w:cs="Arial" w:eastAsia="Arial" w:hAnsi="Arial"/>
          <w:color w:val="2C2C2C"/>
          <w:sz w:val="22"/>
          <w:szCs w:val="22"/>
        </w:rPr>
        <w:t xml:space="preserve">13. Conclusion ..... 77</w:t>
      </w:r>
    </w:p>
    <w:p>
      <w:pPr>
        <w:spacing w:before="0" w:after="200" w:line="276" w:lineRule="auto"/>
      </w:pPr>
      <w:r>
        <w:rPr>
          <w:rFonts w:ascii="Arial" w:cs="Arial" w:eastAsia="Arial" w:hAnsi="Arial"/>
          <w:color w:val="2C2C2C"/>
          <w:sz w:val="22"/>
          <w:szCs w:val="22"/>
        </w:rPr>
        <w:t xml:space="preserve">Appendix A. Glossary ..... 79</w:t>
      </w:r>
    </w:p>
    <w:p>
      <w:pPr>
        <w:spacing w:before="0" w:after="200" w:line="276" w:lineRule="auto"/>
      </w:pPr>
      <w:r>
        <w:rPr>
          <w:rFonts w:ascii="Arial" w:cs="Arial" w:eastAsia="Arial" w:hAnsi="Arial"/>
          <w:color w:val="2C2C2C"/>
          <w:sz w:val="22"/>
          <w:szCs w:val="22"/>
        </w:rPr>
        <w:t xml:space="preserve">References ..... 83</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This paper defines the expansion strategy for the ContextKeeper platform across seven domains not addressed by WP-001 through WP-006: developer distribution, ecosystem integration, platform intelligence, compliance architecture, connector ecosystem extensions, revenue model extensions, and community programs. Each domain represents a distinct surface through which ContextKeeper can reach more developers, serve higher-value enterprise customers, and generate compounding revenue beyond the SaaS subscription and agent execution streams already defined. This revision (v1.2) incorporates research-verified corrections to all external regulatory, market, and technical claims.</w:t>
      </w:r>
    </w:p>
    <w:p>
      <w:pPr>
        <w:spacing w:before="80" w:after="0"/>
      </w:pPr>
    </w:p>
    <w:p>
      <w:pPr>
        <w:spacing w:before="0" w:after="200" w:line="276" w:lineRule="auto"/>
      </w:pPr>
      <w:r>
        <w:rPr>
          <w:rFonts w:ascii="Arial" w:cs="Arial" w:eastAsia="Arial" w:hAnsi="Arial"/>
          <w:color w:val="2C2C2C"/>
          <w:sz w:val="22"/>
          <w:szCs w:val="22"/>
        </w:rPr>
        <w:t xml:space="preserve">The paper begins with namespace and distribution readiness: before any distribution work proceeds, the ContextKeeper brand must be consistently registered across npm, PyPI, GitHub, and the MCP registry so that developers who discover the platform through any channel can install the correct package by name.</w:t>
      </w:r>
    </w:p>
    <w:p>
      <w:pPr>
        <w:spacing w:before="80" w:after="0"/>
      </w:pPr>
    </w:p>
    <w:p>
      <w:pPr>
        <w:spacing w:before="0" w:after="200" w:line="276" w:lineRule="auto"/>
      </w:pPr>
      <w:r>
        <w:rPr>
          <w:rFonts w:ascii="Arial" w:cs="Arial" w:eastAsia="Arial" w:hAnsi="Arial"/>
          <w:color w:val="2C2C2C"/>
          <w:sz w:val="22"/>
          <w:szCs w:val="22"/>
        </w:rPr>
        <w:t xml:space="preserve">Developer distribution is the highest-leverage investment category for platforms serving technical users. A ContextKeeper MCP server exposes the platform's core operations, project state, decision logging, invariant checking, as tools callable from any MCP-compatible client. The Model Context Protocol, originally developed by Anthropic (November 25, 2024) and now governed by the Agentic AI Foundation under the Linux Foundation (since December 9, 2025), has achieved extraordinary adoption: over 97 million monthly SDK downloads, 10,000-plus active public servers, and native support in VS Code, Cursor, Windsurf, JetBrains, Claude Desktop, ChatGPT, and Gemini. Publishing a ContextKeeper MCP server makes the platform's governance capabilities available inside every one of these tools with zero new infrastructure. A CLI tool published to PyPI and npm reaches terminal-first developers and CI/CD pipelines. IDE extensions surface governance state directly in VS Code, Cursor, and JetBrains. Ecosystem packages, including contextkeeper-langchain, contextkeeper-llamaindex, contextkeeper-openai, contextkeeper-anthropic, insert governance into existing developer workflows at the framework level.</w:t>
      </w:r>
    </w:p>
    <w:p>
      <w:pPr>
        <w:pBdr>
          <w:left w:val="single" w:color="2E75B6" w:sz="6" w:space="8"/>
        </w:pBdr>
        <w:spacing w:before="120" w:after="120"/>
        <w:ind w:left="720"/>
      </w:pPr>
      <w:r>
        <w:rPr>
          <w:rFonts w:ascii="Arial" w:cs="Arial" w:eastAsia="Arial" w:hAnsi="Arial"/>
          <w:i/>
          <w:iCs/>
          <w:color w:val="555555"/>
          <w:sz w:val="22"/>
          <w:szCs w:val="22"/>
        </w:rPr>
        <w:t xml:space="preserve">The distribution principle governing this paper is that ContextKeeper should be present where developers already work, not require them to adopt a new primary tool. The MCP server, CLI, IDE extensions, and ecosystem packages all bring ContextKeeper capabilities into existing developer surfaces rather than requiring a browser tab and a context switch to the platform dashboard.</w:t>
      </w:r>
    </w:p>
    <w:p>
      <w:pPr>
        <w:spacing w:before="0" w:after="200" w:line="276" w:lineRule="auto"/>
      </w:pPr>
      <w:r>
        <w:rPr>
          <w:rFonts w:ascii="Arial" w:cs="Arial" w:eastAsia="Arial" w:hAnsi="Arial"/>
          <w:color w:val="2C2C2C"/>
          <w:sz w:val="22"/>
          <w:szCs w:val="22"/>
        </w:rPr>
        <w:t xml:space="preserve">Platform intelligence features transform the existing audit data the platform already collects into actionable visibility: session replay, model performance scorecards, invariant violation heat maps, automatic invariant suggestion, and anomaly detection on decision logs. These features require no new data collection; they derive value from data the platform already accumulates with each session, gate evaluation, and agent run.</w:t>
      </w:r>
    </w:p>
    <w:p>
      <w:pPr>
        <w:spacing w:before="80" w:after="0"/>
      </w:pPr>
    </w:p>
    <w:p>
      <w:pPr>
        <w:spacing w:before="0" w:after="200" w:line="276" w:lineRule="auto"/>
      </w:pPr>
      <w:r>
        <w:rPr>
          <w:rFonts w:ascii="Arial" w:cs="Arial" w:eastAsia="Arial" w:hAnsi="Arial"/>
          <w:color w:val="2C2C2C"/>
          <w:sz w:val="22"/>
          <w:szCs w:val="22"/>
        </w:rPr>
        <w:t xml:space="preserve">The fine-tuned governance model is a strategic long-term investment: a small model trained specifically on DEL-v2 compliance tasks that becomes the engine behind automatic gate evaluation, invariant formalization, delivery contract generation, and breach root cause analysis. Training data accumulates naturally from production platform usage; the model improves as the platform scales.</w:t>
      </w:r>
    </w:p>
    <w:p>
      <w:pPr>
        <w:spacing w:before="80" w:after="0"/>
      </w:pPr>
    </w:p>
    <w:p>
      <w:pPr>
        <w:spacing w:before="0" w:after="200" w:line="276" w:lineRule="auto"/>
      </w:pPr>
      <w:r>
        <w:rPr>
          <w:rFonts w:ascii="Arial" w:cs="Arial" w:eastAsia="Arial" w:hAnsi="Arial"/>
          <w:color w:val="2C2C2C"/>
          <w:sz w:val="22"/>
          <w:szCs w:val="22"/>
        </w:rPr>
        <w:t xml:space="preserve">The enterprise compliance architecture defines the path from a well-governed platform to a certifiably compliant one. SOC 2 Type II certification, evaluated against the AICPA 2017 Trust Services Criteria (With Revised Points of Focus, 2022), is the baseline that unlocks US enterprise procurement. The current evidence confirms SOC 2 Type II is required by a majority of enterprise SaaS procurement processes in the US market (widely cited as approaching 80%; specific figure varies by survey and procurement tier). GDPR data residency controls, HIPAA-eligible deployment configuration (requiring dedicated or cloud infrastructure under a Business Associate Agreement (shared cPanel hosting is not eligible)), and private cloud packaging remove barriers for specific regulated segments. ISO 42001:2023, the world's first certifiable AI management system standard, published December 2023, is added in this revision as an emerging certification with no current equivalent in the competitive set.</w:t>
      </w:r>
    </w:p>
    <w:p>
      <w:pPr>
        <w:spacing w:before="80" w:after="0"/>
      </w:pPr>
    </w:p>
    <w:p>
      <w:pPr>
        <w:spacing w:before="0" w:after="200" w:line="276" w:lineRule="auto"/>
      </w:pPr>
      <w:r>
        <w:rPr>
          <w:rFonts w:ascii="Arial" w:cs="Arial" w:eastAsia="Arial" w:hAnsi="Arial"/>
          <w:color w:val="2C2C2C"/>
          <w:sz w:val="22"/>
          <w:szCs w:val="22"/>
        </w:rPr>
        <w:t xml:space="preserve">Revenue model extensions add streams that compound with platform scale: white-label SDK licensing (B2B2B), annual pricing, connector pack add-ons, usage-based overage billing, referral credits, blueprint sponsorship, and a certification program. None require architectural changes to the existing platform; most require only Stripe configuration or packaging decisions.</w:t>
      </w:r>
    </w:p>
    <w:p>
      <w:pPr>
        <w:spacing w:before="80" w:after="0"/>
      </w:pPr>
    </w:p>
    <w:p>
      <w:pPr>
        <w:spacing w:before="0" w:after="200" w:line="276" w:lineRule="auto"/>
      </w:pPr>
      <w:r>
        <w:rPr>
          <w:rFonts w:ascii="Arial" w:cs="Arial" w:eastAsia="Arial" w:hAnsi="Arial"/>
          <w:color w:val="2C2C2C"/>
          <w:sz w:val="22"/>
          <w:szCs w:val="22"/>
        </w:rPr>
        <w:t xml:space="preserve">The paper concludes with a priority and sequencing matrix that maps all initiatives against effort, revenue impact, strategic value, and recommended phase. Several high-value, low-effort initiatives, namespace correction, MCP server publication, white paper publication, annual pricing, arXiv submission, DEL-v2 public reference repository, can all be executed immediately without waiting for Phase B completion.</w:t>
      </w:r>
    </w:p>
    <w:p>
      <w:pPr>
        <w:spacing w:before="80" w:after="0"/>
      </w:pPr>
    </w:p>
    <w:p>
      <w:pPr>
        <w:spacing w:before="0" w:after="200" w:line="276" w:lineRule="auto"/>
      </w:pPr>
      <w:r>
        <w:rPr>
          <w:rFonts w:ascii="Arial" w:cs="Arial" w:eastAsia="Arial" w:hAnsi="Arial"/>
          <w:color w:val="2C2C2C"/>
          <w:sz w:val="22"/>
          <w:szCs w:val="22"/>
        </w:rPr>
        <w:t xml:space="preserve">The AI governance platform market, projected at $492 million in 2026 (Gartner, February 2026) and growing to over $1 billion by 2030, has received dedicated coverage from all three major analyst firms: the Gartner Market Guide for AI Governance Platforms (November 2025), the Forrester Wave: AI Governance Solutions Q3 2025, and the IDC MarketScape: Worldwide Unified AI Governance Platforms 2025-2026 (December 2025, 20 vendors evaluated). No evaluated vendor addresses developer-session governance, the specific niche of governing the AI-assisted development process rather than production AI systems. This gap is ContextKeeper's primary competitive position.</w:t>
      </w:r>
    </w:p>
    <w:p>
      <w:pPr>
        <w:pStyle w:val="Heading1"/>
        <w:pageBreakBefore/>
        <w:spacing w:before="360" w:after="120" w:line="276" w:lineRule="auto"/>
      </w:pPr>
      <w:r>
        <w:rPr>
          <w:rFonts w:ascii="Arial" w:cs="Arial" w:eastAsia="Arial" w:hAnsi="Arial"/>
          <w:b/>
          <w:bCs/>
          <w:color w:val="1B2A4A"/>
          <w:sz w:val="36"/>
          <w:szCs w:val="36"/>
        </w:rPr>
        <w:t xml:space="preserve">2. Namespace and Distribution Readiness</w:t>
      </w:r>
    </w:p>
    <w:p>
      <w:pPr>
        <w:pStyle w:val="Heading2"/>
        <w:spacing w:before="240" w:after="80" w:line="276" w:lineRule="auto"/>
      </w:pPr>
      <w:r>
        <w:rPr>
          <w:rFonts w:ascii="Arial" w:cs="Arial" w:eastAsia="Arial" w:hAnsi="Arial"/>
          <w:b/>
          <w:bCs/>
          <w:color w:val="2E75B6"/>
          <w:sz w:val="28"/>
          <w:szCs w:val="28"/>
        </w:rPr>
        <w:t xml:space="preserve">2.1 Registry Requirements</w:t>
      </w:r>
    </w:p>
    <w:p>
      <w:pPr>
        <w:spacing w:before="0" w:after="200" w:line="276" w:lineRule="auto"/>
      </w:pPr>
      <w:r>
        <w:rPr>
          <w:rFonts w:ascii="Arial" w:cs="Arial" w:eastAsia="Arial" w:hAnsi="Arial"/>
          <w:color w:val="2C2C2C"/>
          <w:sz w:val="22"/>
          <w:szCs w:val="22"/>
        </w:rPr>
        <w:t xml:space="preserve">Before any distribution artifact can be published, the ContextKeeper brand must be registered as the authoritative namespace on every registry through which the platform distributes software. The four registries that require registration are npm (Node.js packages), PyPI (Python packages), GitHub (source repositories and releases), and the MCP registry (Model Context Protocol server listings). Consistent registration across all four ensures that a developer who discovers ContextKeeper through any channel, the website, a framework's documentation, a conference talk, or a search engine result, can install the correct package by typing its name without ambiguity.</w:t>
      </w:r>
    </w:p>
    <w:p>
      <w:pPr>
        <w:spacing w:before="80" w:after="0"/>
      </w:pPr>
    </w:p>
    <w:p>
      <w:pPr>
        <w:spacing w:before="0" w:after="200" w:line="276" w:lineRule="auto"/>
      </w:pPr>
      <w:r>
        <w:rPr>
          <w:rFonts w:ascii="Arial" w:cs="Arial" w:eastAsia="Arial" w:hAnsi="Arial"/>
          <w:color w:val="2C2C2C"/>
          <w:sz w:val="22"/>
          <w:szCs w:val="22"/>
        </w:rPr>
        <w:t xml:space="preserve">Registry namespace registration is a prerequisite, not a distribution activity. Publishing an MCP server, a CLI tool, or an ecosystem wrapper package under an unregistered or inconsistently named namespace means the distribution channel is broken at the first step. The investment in building these distribution artifacts is only recovered if developers can find and install them by searching for contextkeeper.</w:t>
      </w:r>
    </w:p>
    <w:p>
      <w:pPr>
        <w:pStyle w:val="Heading2"/>
        <w:spacing w:before="240" w:after="80" w:line="276" w:lineRule="auto"/>
      </w:pPr>
      <w:r>
        <w:rPr>
          <w:rFonts w:ascii="Arial" w:cs="Arial" w:eastAsia="Arial" w:hAnsi="Arial"/>
          <w:b/>
          <w:bCs/>
          <w:color w:val="2E75B6"/>
          <w:sz w:val="28"/>
          <w:szCs w:val="28"/>
        </w:rPr>
        <w:t xml:space="preserve">2.2 Registration Sequence</w:t>
      </w:r>
    </w:p>
    <w:p>
      <w:pPr>
        <w:spacing w:before="0" w:after="200" w:line="276" w:lineRule="auto"/>
      </w:pPr>
      <w:r>
        <w:rPr>
          <w:rFonts w:ascii="Arial" w:cs="Arial" w:eastAsia="Arial" w:hAnsi="Arial"/>
          <w:color w:val="2C2C2C"/>
          <w:sz w:val="22"/>
          <w:szCs w:val="22"/>
        </w:rPr>
        <w:t xml:space="preserve">Table 1 defines the complete namespace correction plan across all four registries.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3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Registry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Namespace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Required Action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npm</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Register</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Register @contextkeeper scope and contextkeeper package name; primary distribution for the Node.js CLI and SDK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PyPI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Register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Register contextkeeper package; primary distribution for the Python CLI and SDK</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GitHub</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TheRealDataBoss/contextkeeper</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Create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Create as the canonical public repository for the CLI, SDK, and DEL-v2 reference implementation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Registry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Register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Publish MCP server listing under the contextkeeper namespace; primary discovery channel for MCP-compatible client users</w:t>
            </w:r>
          </w:p>
        </w:tc>
      </w:tr>
    </w:tbl>
    <w:p>
      <w:pPr>
        <w:spacing w:before="120" w:after="0"/>
      </w:pPr>
    </w:p>
    <w:p>
      <w:pPr>
        <w:spacing w:before="0" w:after="200" w:line="276" w:lineRule="auto"/>
      </w:pPr>
      <w:r>
        <w:rPr>
          <w:rFonts w:ascii="Arial" w:cs="Arial" w:eastAsia="Arial" w:hAnsi="Arial"/>
          <w:color w:val="2C2C2C"/>
          <w:sz w:val="22"/>
          <w:szCs w:val="22"/>
        </w:rPr>
        <w:t xml:space="preserve">The registration sequence is: npm first (register the contextkeeper package name and the @contextkeeper scoped namespace); PyPI second (register contextkeeper as the package name); GitHub third (create TheRealDataBoss/contextkeeper as the canonical source repository); MCP registry fourth (publish the MCP server listing under contextkeeper). The sequence is ordered by the dependencies between distribution artifacts: the CLI and SDK packages on npm and PyPI reference the GitHub repository in their metadata; the MCP server listing references the npm package for installation instructions.</w:t>
      </w:r>
    </w:p>
    <w:p>
      <w:pPr>
        <w:spacing w:before="80" w:after="0"/>
      </w:pPr>
    </w:p>
    <w:p>
      <w:pPr>
        <w:spacing w:before="0" w:after="200" w:line="276" w:lineRule="auto"/>
      </w:pPr>
      <w:r>
        <w:rPr>
          <w:rFonts w:ascii="Arial" w:cs="Arial" w:eastAsia="Arial" w:hAnsi="Arial"/>
          <w:color w:val="2C2C2C"/>
          <w:sz w:val="22"/>
          <w:szCs w:val="22"/>
        </w:rPr>
        <w:t xml:space="preserve">All four registrations are prerequisite to any of the distribution work defined in Section 3. The namespace correction has zero implementation cost and zero infrastructure dependency. It requires only account actions on four registries and the creation of minimal stub package files. It is the highest-priority item in this paper precisely because every other distribution initiative depends on it.</w:t>
      </w:r>
    </w:p>
    <w:p>
      <w:pPr>
        <w:pStyle w:val="Heading1"/>
        <w:pageBreakBefore/>
        <w:spacing w:before="360" w:after="120" w:line="276" w:lineRule="auto"/>
      </w:pPr>
      <w:r>
        <w:rPr>
          <w:rFonts w:ascii="Arial" w:cs="Arial" w:eastAsia="Arial" w:hAnsi="Arial"/>
          <w:b/>
          <w:bCs/>
          <w:color w:val="1B2A4A"/>
          <w:sz w:val="36"/>
          <w:szCs w:val="36"/>
        </w:rPr>
        <w:t xml:space="preserve">3. Developer Distribution Channels</w:t>
      </w:r>
    </w:p>
    <w:p>
      <w:pPr>
        <w:spacing w:before="0" w:after="200" w:line="276" w:lineRule="auto"/>
      </w:pPr>
      <w:r>
        <w:rPr>
          <w:rFonts w:ascii="Arial" w:cs="Arial" w:eastAsia="Arial" w:hAnsi="Arial"/>
          <w:color w:val="2C2C2C"/>
          <w:sz w:val="22"/>
          <w:szCs w:val="22"/>
        </w:rPr>
        <w:t xml:space="preserve">Developer distribution for a governance and tooling platform operates through different channels than consumer software. Developers discover tools through registries they already use (npm, PyPI), through the tools they already work in (IDE extensions, MCP clients), through documentation for frameworks they already depend on (LangChain, LlamaIndex), and through technical content that addresses problems they have already experienced. Each channel in this section targets one of these discovery modes.</w:t>
      </w:r>
    </w:p>
    <w:p>
      <w:pPr>
        <w:pStyle w:val="Heading2"/>
        <w:spacing w:before="240" w:after="80" w:line="276" w:lineRule="auto"/>
      </w:pPr>
      <w:r>
        <w:rPr>
          <w:rFonts w:ascii="Arial" w:cs="Arial" w:eastAsia="Arial" w:hAnsi="Arial"/>
          <w:b/>
          <w:bCs/>
          <w:color w:val="2E75B6"/>
          <w:sz w:val="28"/>
          <w:szCs w:val="28"/>
        </w:rPr>
        <w:t xml:space="preserve">3.1 MCP Server Publication</w:t>
      </w:r>
    </w:p>
    <w:p>
      <w:pPr>
        <w:spacing w:before="0" w:after="200" w:line="276" w:lineRule="auto"/>
      </w:pPr>
      <w:r>
        <w:rPr>
          <w:rFonts w:ascii="Arial" w:cs="Arial" w:eastAsia="Arial" w:hAnsi="Arial"/>
          <w:color w:val="2C2C2C"/>
          <w:sz w:val="22"/>
          <w:szCs w:val="22"/>
        </w:rPr>
        <w:t xml:space="preserve">The Model Context Protocol (MCP) is an open standard originally developed by Anthropic and released on November 25, 2024. On December 9, 2025, Anthropic donated MCP to the Agentic AI Foundation (AAIF), a directed fund under the Linux Foundation, co-founded by Anthropic, Block, and OpenAI. The current governance model operates through a Specification Enhancement Proposal (SEP) process with David Soria Parra as Lead Core Maintainer. Platinum AAIF members include AWS, Anthropic, Block, Bloomberg, Cloudflare, Google, Microsoft, and OpenAI, ensuring the protocol's vendor-neutral permanence under the same Linux Foundation model that governs Kubernetes and PyTorch.</w:t>
      </w:r>
    </w:p>
    <w:p>
      <w:pPr>
        <w:spacing w:before="80" w:after="0"/>
      </w:pPr>
    </w:p>
    <w:p>
      <w:pPr>
        <w:spacing w:before="0" w:after="200" w:line="276" w:lineRule="auto"/>
      </w:pPr>
      <w:r>
        <w:rPr>
          <w:rFonts w:ascii="Arial" w:cs="Arial" w:eastAsia="Arial" w:hAnsi="Arial"/>
          <w:color w:val="2C2C2C"/>
          <w:sz w:val="22"/>
          <w:szCs w:val="22"/>
        </w:rPr>
        <w:t xml:space="preserve">MCP adoption as of early 2026 is extraordinary. The protocol has recorded over 97 million monthly SDK downloads across Python and TypeScript SDKs, 10,000-plus active public servers, and support from every major AI-native development environment: VS Code (via GitHub Copilot agent mode), Cursor, Windsurf, JetBrains 2025.1/2025.2 (dual client/server support), Zed, and Replit. On the AI client side, Claude Desktop and Claude Code provide first-class support; OpenAI announced platform-level MCP adoption in the Agents SDK and Responses API on March 26, 2025; ChatGPT user-facing MCP support (Developer Mode) launched September 9, 2025; the Apps SDK built explicitly on MCP launched October 6, 2025; GitHub Copilot integrates it through VS Code agent mode; and Google announced native SDK support for MCP at Google I/O on May 20, 2025, with fully managed remote MCP servers for Google Cloud services launching December 10, 2025. The latest specification version is 2025-11-25, introducing asynchronous operations, statelessness, and server identity features.</w:t>
      </w:r>
    </w:p>
    <w:p>
      <w:pPr>
        <w:spacing w:before="0" w:after="200" w:line="276" w:lineRule="auto"/>
      </w:pPr>
      <w:r>
        <w:rPr>
          <w:rFonts w:ascii="Arial" w:hAnsi="Arial" w:eastAsia="Arial" w:cs="Arial"/>
          <w:color w:val="2C2C2C"/>
          <w:sz w:val="22"/>
          <w:szCs w:val="22"/>
        </w:rPr>
        <w:t xml:space="preserve">MCP Apps, the first official MCP extension enabling servers to return interactive UI components rendered directly in MCP clients, launched January 26, 2026 (not March 2026 as some secondary sources indicate). It was proposed as SEP-1865 on November 21, 2025 and launched via the @modelcontextprotocol/ext-apps npm package. Launch clients included ChatGPT, Claude, Goose, and VS Code Copilot. This capability is directly relevant to ContextKeeper's MCP server design: governance status panels, invariant violation alerts, and session replay timelines can be surfaced as interactive MCP App components inside any supporting client, eliminating the need for a separate browser tab to the platform dashboard.</w:t>
      </w:r>
    </w:p>
    <w:p>
      <w:pPr>
        <w:spacing w:before="80" w:after="0"/>
      </w:pPr>
    </w:p>
    <w:p>
      <w:pPr>
        <w:spacing w:before="0" w:after="200" w:line="276" w:lineRule="auto"/>
      </w:pPr>
      <w:r>
        <w:rPr>
          <w:rFonts w:ascii="Arial" w:cs="Arial" w:eastAsia="Arial" w:hAnsi="Arial"/>
          <w:color w:val="2C2C2C"/>
          <w:sz w:val="22"/>
          <w:szCs w:val="22"/>
        </w:rPr>
        <w:t xml:space="preserve">MCP-compatible clients can connect to any registered MCP server and call its tools natively within their interface. A developer using Cursor to write code can call get_project_state directly from Cursor's AI panel without opening a browser. ContextKeeper's core platform operations map directly to MCP tools. The platform already stores exactly the data that an MCP client needs: project state, decision history, active invariants, session context, and connector sync status. Publishing an MCP server requires only an implementation layer that exposes existing platform API endpoints as MCP-compliant tool definitions. No new backend infrastructure is needed.</w:t>
      </w:r>
    </w:p>
    <w:p>
      <w:pPr>
        <w:spacing w:before="80" w:after="0"/>
      </w:pPr>
    </w:p>
    <w:p>
      <w:pPr>
        <w:spacing w:before="0" w:after="200" w:line="276" w:lineRule="auto"/>
      </w:pPr>
      <w:r>
        <w:rPr>
          <w:rFonts w:ascii="Arial" w:cs="Arial" w:eastAsia="Arial" w:hAnsi="Arial"/>
          <w:color w:val="2C2C2C"/>
          <w:sz w:val="22"/>
          <w:szCs w:val="22"/>
        </w:rPr>
        <w:t xml:space="preserve">Table 2 defines the six tools that constitute the initial ContextKeeper MCP server.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Tool Name</w:t>
            </w:r>
          </w:p>
        </w:tc>
        <w:tc>
          <w:tcPr>
            <w:tcW w:type="dxa" w:w="3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Operation</w:t>
            </w:r>
          </w:p>
        </w:tc>
        <w:tc>
          <w:tcPr>
            <w:tcW w:type="dxa" w:w="4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Value to MCP Clients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get_project_state</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Returns the current STATE_VECTOR.json for the caller's active project: state machine status, active task, effective verified SHA, and active invariants</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Gives any MCP-compatible client (Claude Desktop, Cursor, Windsurf, JetBrains) instant access to project state without opening a browser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log_decision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Accepts a decision object (context, options_considered, chosen_option, rationale) and writes it to the decisions table for the caller's active session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models to log architectural decisions directly from their native interface; the decision is immediately visible in the platform dashboard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check_invariants</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Evaluates all active invariants for the caller's project against the current state and returns a pass/fail result for each with violation details</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Lets any model or agent verify invariant compliance on demand without a full gate run; useful for pre-commit checks in development workflows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get_session_context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Returns the last N decisions, active invariants, and current task details formatted as a bootstrap prompt ready for injection into a new model context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instant session continuity restoration from any MCP client without manually constructing bootstrap prompts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sync_connector</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Triggers a sync operation on a specified connector, capturing current state from the external service into the platform database</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Allows models to refresh connector data mid-session without leaving the chat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create_bundle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Initiates a handoff bundle generation for the current project state, returning a download URL when complete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CI/CD pipelines and automated workflows to trigger bundle generation programmatically</w:t>
            </w:r>
          </w:p>
        </w:tc>
      </w:tr>
    </w:tbl>
    <w:p>
      <w:pPr>
        <w:spacing w:before="120" w:after="0"/>
      </w:pPr>
    </w:p>
    <w:p>
      <w:pPr>
        <w:spacing w:before="0" w:after="200" w:line="276" w:lineRule="auto"/>
      </w:pPr>
      <w:r>
        <w:rPr>
          <w:rFonts w:ascii="Arial" w:cs="Arial" w:eastAsia="Arial" w:hAnsi="Arial"/>
          <w:color w:val="2C2C2C"/>
          <w:sz w:val="22"/>
          <w:szCs w:val="22"/>
        </w:rPr>
        <w:t xml:space="preserve">The MCP server is authenticated via the user's existing ContextKeeper API key. All operations are logged to the platform database as normal API calls, preserving the audit trail.</w:t>
      </w:r>
    </w:p>
    <w:p>
      <w:pPr>
        <w:spacing w:before="80" w:after="0"/>
      </w:pPr>
    </w:p>
    <w:p>
      <w:pPr>
        <w:spacing w:before="0" w:after="200" w:line="276" w:lineRule="auto"/>
      </w:pPr>
      <w:r>
        <w:rPr>
          <w:rFonts w:ascii="Arial" w:cs="Arial" w:eastAsia="Arial" w:hAnsi="Arial"/>
          <w:color w:val="2C2C2C"/>
          <w:sz w:val="22"/>
          <w:szCs w:val="22"/>
        </w:rPr>
        <w:t xml:space="preserve">The MCP registry listing makes ContextKeeper discoverable to every developer evaluating MCP integrations. The listing description emphasizes the governance angle: 'Bring DEL-v2 state machine governance to any MCP-compatible AI client. Access project state, log decisions, check invariants, and restore session context from Claude Desktop, Cursor, Windsurf, JetBrains, or any MCP tool.' This positioning is distinct from every other MCP server in the registry, which focuses on data access rather than governance. ContextKeeper occupies an uncontested position in the 10,000-plus server registry.</w:t>
      </w:r>
    </w:p>
    <w:p>
      <w:pPr>
        <w:pBdr>
          <w:left w:val="single" w:color="2E75B6" w:sz="6" w:space="8"/>
        </w:pBdr>
        <w:spacing w:before="120" w:after="120"/>
        <w:ind w:left="720"/>
      </w:pPr>
      <w:r>
        <w:rPr>
          <w:rFonts w:ascii="Arial" w:cs="Arial" w:eastAsia="Arial" w:hAnsi="Arial"/>
          <w:i/>
          <w:iCs/>
          <w:color w:val="555555"/>
          <w:sz w:val="22"/>
          <w:szCs w:val="22"/>
        </w:rPr>
        <w:t xml:space="preserve">The MCP server is the single highest-leverage distribution investment in this paper. It makes ContextKeeper's governance capabilities available inside every AI-native development tool that supports MCP, reaching the exact developer segment, AI-assisted engineering practitioners, who are the platform's primary market, with zero friction beyond installing the server configuration.</w:t>
      </w:r>
    </w:p>
    <w:p>
      <w:pPr>
        <w:pStyle w:val="Heading2"/>
        <w:spacing w:before="240" w:after="80" w:line="276" w:lineRule="auto"/>
      </w:pPr>
      <w:r>
        <w:rPr>
          <w:rFonts w:ascii="Arial" w:cs="Arial" w:eastAsia="Arial" w:hAnsi="Arial"/>
          <w:b/>
          <w:bCs/>
          <w:color w:val="2E75B6"/>
          <w:sz w:val="28"/>
          <w:szCs w:val="28"/>
        </w:rPr>
        <w:t xml:space="preserve">3.2 CLI Tool</w:t>
      </w:r>
    </w:p>
    <w:p>
      <w:pPr>
        <w:spacing w:before="0" w:after="200" w:line="276" w:lineRule="auto"/>
      </w:pPr>
      <w:r>
        <w:rPr>
          <w:rFonts w:ascii="Arial" w:cs="Arial" w:eastAsia="Arial" w:hAnsi="Arial"/>
          <w:color w:val="2C2C2C"/>
          <w:sz w:val="22"/>
          <w:szCs w:val="22"/>
        </w:rPr>
        <w:t xml:space="preserve">The contextkeeper CLI (package name: contextkeeper, command: ck) is a terminal-native interface to the platform's core operations. It serves two distinct audiences: terminal-first developers who prefer to avoid browser context switches during focused work, and CI/CD pipelines that need to integrate platform operations into automated build and deployment workflows.</w:t>
      </w:r>
    </w:p>
    <w:p>
      <w:pPr>
        <w:spacing w:before="80" w:after="0"/>
      </w:pPr>
    </w:p>
    <w:p>
      <w:pPr>
        <w:spacing w:before="0" w:after="200" w:line="276" w:lineRule="auto"/>
      </w:pPr>
      <w:r>
        <w:rPr>
          <w:rFonts w:ascii="Arial" w:cs="Arial" w:eastAsia="Arial" w:hAnsi="Arial"/>
          <w:color w:val="2C2C2C"/>
          <w:sz w:val="22"/>
          <w:szCs w:val="22"/>
        </w:rPr>
        <w:t xml:space="preserve">Table 3 defines the eight commands that constitute the initial CLI.</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Command</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Operation</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Use Case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ck status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Prints current project state: state machine status, active task, context window utilization if a session is active, and last sealed SHA</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start check; CI/CD pipeline status gate; instant project health at a glance from any terminal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ck sync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Triggers a connector sync or a full state sync to the platform database; accepts --connector flag to target a specific connector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Pre-commit workflow step; ensures platform database reflects current local state before sealing a task</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ck bootstrap</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Fetches the latest session context from the platform and prints a formatted bootstrap prompt ready to paste into any model's chat interface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Eliminates manual bootstrap prompt construction; reduces new-session setup from minutes to seconds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ck log-decision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Accepts a decision description via stdin or --message flag and writes it to the active session's decision log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terminal-first developers to log decisions without leaving their workflow; pipeable from scripts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ck validate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Downloads the latest handoff bundle and runs the full integrity validation sequence (manifest hash verification, bundle structure checks, state consistency)</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Offline validation for auditors and air-gapped environments; CI step to verify bundle integrity before deployment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ck invariants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Lists all active invariants for the current project with their enforcement mode and last evaluation result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Pre-task review; helps developers understand what constraints the current session must satisfy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ck agent run</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Triggers an agent run by name or ID; accepts --input flag for prompt content; streams run status to stdout</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agent execution from CI/CD pipelines, scripts, and terminal workflows without opening the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ck agent 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Returns the current status of a named agent: last run time, success rate, breach count, and token spend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Operational monitoring for agents running on schedules; scriptable health check for fleet management</w:t>
            </w:r>
          </w:p>
        </w:tc>
      </w:tr>
    </w:tbl>
    <w:p>
      <w:pPr>
        <w:spacing w:before="120" w:after="0"/>
      </w:pPr>
    </w:p>
    <w:p>
      <w:pPr>
        <w:spacing w:before="0" w:after="200" w:line="276" w:lineRule="auto"/>
      </w:pPr>
      <w:r>
        <w:rPr>
          <w:rFonts w:ascii="Arial" w:cs="Arial" w:eastAsia="Arial" w:hAnsi="Arial"/>
          <w:color w:val="2C2C2C"/>
          <w:sz w:val="22"/>
          <w:szCs w:val="22"/>
        </w:rPr>
        <w:t xml:space="preserve">The CLI is implemented in Python (primary) with a Node.js port for teams that prefer npm-distributed tools. Both packages are published under the contextkeeper namespace. Authentication is via an API key stored in a local configuration file (~/.contextkeeper/config.toml on Unix, %APPDATA%/contextkeeper/config.toml on Windows) set once via ck configure --api-key. All commands communicate with the platform's existing REST API; the CLI is a thin client, not a separate backend.</w:t>
      </w:r>
    </w:p>
    <w:p>
      <w:pPr>
        <w:spacing w:before="80" w:after="0"/>
      </w:pPr>
    </w:p>
    <w:p>
      <w:pPr>
        <w:spacing w:before="0" w:after="200" w:line="276" w:lineRule="auto"/>
      </w:pPr>
      <w:r>
        <w:rPr>
          <w:rFonts w:ascii="Arial" w:cs="Arial" w:eastAsia="Arial" w:hAnsi="Arial"/>
          <w:color w:val="2C2C2C"/>
          <w:sz w:val="22"/>
          <w:szCs w:val="22"/>
        </w:rPr>
        <w:t xml:space="preserve">CI/CD integration is a particularly high-value use case. A GitHub Actions workflow that runs ck validate on every pull request and ck sync before every deployment creates a continuous governance check that requires no human action. A failed ck validate (bundle integrity check) blocks deployment the same way a failed unit test blocks it. This makes DEL-v2 governance a first-class CI/CD concern rather than a manual practice.</w:t>
      </w:r>
    </w:p>
    <w:p>
      <w:pPr>
        <w:pStyle w:val="Heading2"/>
        <w:spacing w:before="240" w:after="80" w:line="276" w:lineRule="auto"/>
      </w:pPr>
      <w:r>
        <w:rPr>
          <w:rFonts w:ascii="Arial" w:cs="Arial" w:eastAsia="Arial" w:hAnsi="Arial"/>
          <w:b/>
          <w:bCs/>
          <w:color w:val="2E75B6"/>
          <w:sz w:val="28"/>
          <w:szCs w:val="28"/>
        </w:rPr>
        <w:t xml:space="preserve">3.3 IDE and Editor Integrations</w:t>
      </w:r>
    </w:p>
    <w:p>
      <w:pPr>
        <w:spacing w:before="0" w:after="200" w:line="276" w:lineRule="auto"/>
      </w:pPr>
      <w:r>
        <w:rPr>
          <w:rFonts w:ascii="Arial" w:cs="Arial" w:eastAsia="Arial" w:hAnsi="Arial"/>
          <w:color w:val="2C2C2C"/>
          <w:sz w:val="22"/>
          <w:szCs w:val="22"/>
        </w:rPr>
        <w:t xml:space="preserve">IDE extensions surface governance state directly in the developer's primary work environment. VS Code is confirmed as the dominant IDE for the target developer population: the Stack Overflow Developer Survey 2025 (49,009 respondents, published July 2025) shows 75.9% of all respondents use VS Code. Among AI-enabled editors, Cursor holds 17.9% (approximately 18%) and Windsurf holds 4.9% (approximately 5%), both VS Code forks built on Code OSS and inheriting its extension API. JetBrains IntelliJ IDEA holds 27.1% overall per the Stack Overflow survey; a separate 2025 Java Developer Productivity Report (Perforce/JRebel) documents JetBrains at approximately 84% among Java-focused developers, covering a substantial professional engineering population through its 8,860-plus plugin marketplace.</w:t>
      </w:r>
    </w:p>
    <w:p>
      <w:pPr>
        <w:spacing w:before="80" w:after="0"/>
      </w:pPr>
    </w:p>
    <w:p>
      <w:pPr>
        <w:spacing w:before="0" w:after="200" w:line="276" w:lineRule="auto"/>
      </w:pPr>
      <w:r>
        <w:rPr>
          <w:rFonts w:ascii="Arial" w:cs="Arial" w:eastAsia="Arial" w:hAnsi="Arial"/>
          <w:color w:val="2C2C2C"/>
          <w:sz w:val="22"/>
          <w:szCs w:val="22"/>
        </w:rPr>
        <w:t xml:space="preserve">Table 4 defines the four IDE integrations with their capability surface, implementation path, and distribution channel.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Integration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Surfaces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Implementation Path</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Distribution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VS Code Extension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 state machine status in sidebar; active task and invariants panel; context health indicator; one-click sync and bootstrap</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VS Code Extension API; communicates with platform REST API using stored API key; TypeScript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VS Code Marketplace; free; drives enterprise adoption among development teams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Cursor Plugin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state overlay in chat panel; active invariants injected into system context automatically; breach alerts as editor notifications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 OSS-compatible extension API (same implementation base as VS Code); Cursor-specific context injection. Note: distribution requires Open VSX or direct VSIX packaging, not Microsoft Marketplace, due to marketplace access restrictions on VS Code forks.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Cursor plugin directory; targets the fastest-growing AI-native IDE user base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Windsurf Plugin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Same capability surface as Cursor plugin; Windsurf-specific UI integration points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Windsurf extension API (Code OSS base); shared codebase with VS Code and Cursor implementations. Distribution via Open VSX Registry, which covers approximately 90% of popular extensions.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Windsurf extension marketplace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JetBrains Plugin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state tool window; decision log browser; invariant status panel; bootstrap prompt generator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JetBrains Plugin SDK; Kotlin; separate implementation from VS Code base but same REST API backend; covers IntelliJ, PyCharm, WebStorm, GoLand, DataGrip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JetBrains Marketplace; natively supports paid plugins with built-in billing</w:t>
            </w:r>
          </w:p>
        </w:tc>
      </w:tr>
    </w:tbl>
    <w:p>
      <w:pPr>
        <w:spacing w:before="120" w:after="0"/>
      </w:pPr>
    </w:p>
    <w:p>
      <w:pPr>
        <w:spacing w:before="0" w:after="200" w:line="276" w:lineRule="auto"/>
      </w:pPr>
      <w:r>
        <w:rPr>
          <w:rFonts w:ascii="Arial" w:cs="Arial" w:eastAsia="Arial" w:hAnsi="Arial"/>
          <w:color w:val="2C2C2C"/>
          <w:sz w:val="22"/>
          <w:szCs w:val="22"/>
        </w:rPr>
        <w:t xml:space="preserve">The VS Code extension is the recommended first implementation because VS Code has the largest share of the target developer population and because its extension API is mature, well-documented, and shared with Cursor. A single codebase can target both VS Code and Cursor with the same extension code, though distribution requires separate paths: Microsoft Marketplace for VS Code, and Open VSX or direct VSIX delivery for Cursor and Windsurf. The JetBrains plugin covers the remaining major IDE population and requires a separate Kotlin implementation investment, but the JetBrains Marketplace's built-in paid plugin support makes it the preferred channel for future monetized extension tiers.</w:t>
      </w:r>
    </w:p>
    <w:p>
      <w:pPr>
        <w:spacing w:before="0" w:after="200" w:line="276" w:lineRule="auto"/>
      </w:pPr>
      <w:r>
        <w:rPr>
          <w:rFonts w:ascii="Arial" w:hAnsi="Arial" w:eastAsia="Arial" w:cs="Arial"/>
          <w:color w:val="2C2C2C"/>
          <w:sz w:val="22"/>
          <w:szCs w:val="22"/>
        </w:rPr>
        <w:t xml:space="preserve">A critical security consideration for Cursor and Windsurf distribution via Open VSX: security researchers documented multiple active supply chain attacks against the Open VSX registry in 2025-2026. A namespace hijacking vulnerability (discovered November 2025, fixed after Koi Security disclosure) allowed attackers to push malicious packages to unclaimed extension namespaces; over 1,000 developers installed test payloads before remediation. The GlassWorm campaign (March 2026) abused 72 Open VSX extensions using self-propagating techniques targeting developers. A separate researcher demonstrated that Open VSX performs minimal security screening compared to the VS Code Marketplace. Additionally, Microsoft has begun restricting popular first-party extensions (Python language support, C++) from functioning in non-Microsoft VS Code forks, creating distribution fragmentation. ContextKeeper's extension must be published under a verified, claimed namespace on Open VSX with SHA-256 package integrity attestation, and must not depend on any untrusted Open VSX extensions as dependencies. Users should be directed to install from the official Open VSX namespace directly rather than through IDE extension recommendation flows.</w:t>
      </w:r>
    </w:p>
    <w:p>
      <w:pPr>
        <w:pStyle w:val="Heading2"/>
        <w:spacing w:before="240" w:after="80" w:line="276" w:lineRule="auto"/>
      </w:pPr>
      <w:r>
        <w:rPr>
          <w:rFonts w:ascii="Arial" w:cs="Arial" w:eastAsia="Arial" w:hAnsi="Arial"/>
          <w:b/>
          <w:bCs/>
          <w:color w:val="2E75B6"/>
          <w:sz w:val="28"/>
          <w:szCs w:val="28"/>
        </w:rPr>
        <w:t xml:space="preserve">3.4 Ecosystem Package Integrations</w:t>
      </w:r>
    </w:p>
    <w:p>
      <w:pPr>
        <w:spacing w:before="0" w:after="200" w:line="276" w:lineRule="auto"/>
      </w:pPr>
      <w:r>
        <w:rPr>
          <w:rFonts w:ascii="Arial" w:cs="Arial" w:eastAsia="Arial" w:hAnsi="Arial"/>
          <w:color w:val="2C2C2C"/>
          <w:sz w:val="22"/>
          <w:szCs w:val="22"/>
        </w:rPr>
        <w:t xml:space="preserve">Ecosystem packages insert ContextKeeper governance into existing developer workflows at the framework level. A developer already using LangChain who installs contextkeeper-langchain gains DEL-v2 governance, decision logging, and token tracking without rewriting their agent code. The governance layer is applied by the package; the developer's existing chain and agent definitions are unchanged.</w:t>
      </w:r>
    </w:p>
    <w:p>
      <w:pPr>
        <w:spacing w:before="80" w:after="0"/>
      </w:pPr>
    </w:p>
    <w:p>
      <w:pPr>
        <w:spacing w:before="0" w:after="200" w:line="276" w:lineRule="auto"/>
      </w:pPr>
      <w:r>
        <w:rPr>
          <w:rFonts w:ascii="Arial" w:cs="Arial" w:eastAsia="Arial" w:hAnsi="Arial"/>
          <w:color w:val="2C2C2C"/>
          <w:sz w:val="22"/>
          <w:szCs w:val="22"/>
        </w:rPr>
        <w:t xml:space="preserve">Table 5 defines six ecosystem packages covering the most widely used LLM frameworks and provider SDKs.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Package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It Wraps</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Integration Mechanism</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contextkeeper-langchain (Python)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LangChain chain and agent execution</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Custom callback handler that intercepts chain events and logs decisions, state transitions, and tool calls to the ContextKeeper platform via API; zero changes required to existing LangChain 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contextkeeper-llamaindex (Python)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LlamaIndex query engine and agent execution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Event listener wrapping LlamaIndex's callback system; captures retrieval events, response generation, and tool calls; logs to platform with session context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contextkeeper-autogen (Python)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AutoGen multi-agent conversations. Note: AutoGen entered maintenance mode in October 2025; Microsoft consolidated into Microsoft Agent Framework. The wrapper targets both AutoGen classic and the Microsoft Agent Framework successor.</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Custom speaker selection hook and message post-processor; logs each agent's output as a decision with the agent's role metadata; wraps conversation state in DEL-v2 lifecycle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contextkeeper-crewai (Python)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CrewAI agent crew execution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callback wrapper applied to each crew task; logs task completion as a DEL-v2 gate event; enforces role separation by validating CrewAI role assignments against DEL-v2 Operator/Executor/Auditor model</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contextkeeper-openai (Python/Node.js)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Python and Node.js SDK</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Drop-in client wrapper that intercepts every API call; logs token usage to the platform's token_usage table; applies budget enforcement; injects governance metadata into requests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contextkeeper-anthropic (Python/Node.js)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Anthropic Python and Node.js SDK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Same pattern as the OpenAI wrapper; intercepts calls to the Anthropic API; logs to token_usage; enforces session budgets; compatible with Claude's tool use and extended thinking</w:t>
            </w:r>
          </w:p>
        </w:tc>
      </w:tr>
    </w:tbl>
    <w:p>
      <w:pPr>
        <w:spacing w:before="120" w:after="0"/>
      </w:pPr>
    </w:p>
    <w:p>
      <w:pPr>
        <w:spacing w:before="0" w:after="200" w:line="276" w:lineRule="auto"/>
      </w:pPr>
      <w:r>
        <w:rPr>
          <w:rFonts w:ascii="Arial" w:cs="Arial" w:eastAsia="Arial" w:hAnsi="Arial"/>
          <w:color w:val="2C2C2C"/>
          <w:sz w:val="22"/>
          <w:szCs w:val="22"/>
        </w:rPr>
        <w:t xml:space="preserve">The provider SDK wrappers (contextkeeper-openai and contextkeeper-anthropic) are the most broadly applicable packages because they are not framework-specific. Any Python or Node.js application that calls the OpenAI or Anthropic API can adopt governance with a one-line change: replacing the standard client instantiation with the ContextKeeper-wrapped client.</w:t>
      </w:r>
    </w:p>
    <w:p>
      <w:pPr>
        <w:spacing w:before="80" w:after="0"/>
      </w:pPr>
    </w:p>
    <w:p>
      <w:pPr>
        <w:spacing w:before="0" w:after="200" w:line="276" w:lineRule="auto"/>
      </w:pPr>
      <w:r>
        <w:rPr>
          <w:rFonts w:ascii="Arial" w:cs="Arial" w:eastAsia="Arial" w:hAnsi="Arial"/>
          <w:color w:val="2C2C2C"/>
          <w:sz w:val="22"/>
          <w:szCs w:val="22"/>
        </w:rPr>
        <w:t xml:space="preserve">All ecosystem packages are open-source (MIT licensed), published to their respective registries (PyPI for Python packages, npm for Node.js), and link back to contextkeeper.org for the full platform. A developer who installs contextkeeper-langchain and sees their decisions appearing in the platform dashboard has a concrete, immediate experience of what ContextKeeper governance delivers.</w:t>
      </w:r>
    </w:p>
    <w:p>
      <w:pPr>
        <w:pStyle w:val="Heading2"/>
        <w:spacing w:before="240" w:after="80" w:line="276" w:lineRule="auto"/>
      </w:pPr>
      <w:r>
        <w:rPr>
          <w:rFonts w:ascii="Arial" w:cs="Arial" w:eastAsia="Arial" w:hAnsi="Arial"/>
          <w:b/>
          <w:bCs/>
          <w:color w:val="2E75B6"/>
          <w:sz w:val="28"/>
          <w:szCs w:val="28"/>
        </w:rPr>
        <w:t xml:space="preserve">3.5 Public Repository and Protocol Publication</w:t>
      </w:r>
    </w:p>
    <w:p>
      <w:pPr>
        <w:spacing w:before="0" w:after="200" w:line="276" w:lineRule="auto"/>
      </w:pPr>
      <w:r>
        <w:rPr>
          <w:rFonts w:ascii="Arial" w:cs="Arial" w:eastAsia="Arial" w:hAnsi="Arial"/>
          <w:color w:val="2C2C2C"/>
          <w:sz w:val="22"/>
          <w:szCs w:val="22"/>
        </w:rPr>
        <w:t xml:space="preserve">The DEL-v2 protocol, developed and validated over 18 months of production engineering (WP-001, Section 1.3), is ready to be published as an open-source reference implementation. The reference implementation consists of three components: bridge_snapshot.ps1 (the bundle generator), handoff-sync.test.js (the governance enforcement test suite), and WORKFLOW.md (the complete protocol specification). Published under a permissive license (MIT or Apache 2.0), this repository establishes DEL-v2 as a named, community-available protocol independent of the ContextKeeper platform.</w:t>
      </w:r>
    </w:p>
    <w:p>
      <w:pPr>
        <w:spacing w:before="80" w:after="0"/>
      </w:pPr>
    </w:p>
    <w:p>
      <w:pPr>
        <w:spacing w:before="0" w:after="200" w:line="276" w:lineRule="auto"/>
      </w:pPr>
      <w:r>
        <w:rPr>
          <w:rFonts w:ascii="Arial" w:cs="Arial" w:eastAsia="Arial" w:hAnsi="Arial"/>
          <w:color w:val="2C2C2C"/>
          <w:sz w:val="22"/>
          <w:szCs w:val="22"/>
        </w:rPr>
        <w:t xml:space="preserve">The strategic value is threefold. First, it establishes prior art in a form that is timestamped, publicly accessible, and citable. Second, it drives awareness among developers who discover governance tooling through GitHub searches and protocol comparisons. Third, it creates a contribution channel: developers who build on the reference implementation and encounter limitations contribute improvements back, and contributors become platform users.</w:t>
      </w:r>
    </w:p>
    <w:p>
      <w:pPr>
        <w:spacing w:before="80" w:after="0"/>
      </w:pPr>
    </w:p>
    <w:p>
      <w:pPr>
        <w:spacing w:before="0" w:after="200" w:line="276" w:lineRule="auto"/>
      </w:pPr>
      <w:r>
        <w:rPr>
          <w:rFonts w:ascii="Arial" w:cs="Arial" w:eastAsia="Arial" w:hAnsi="Arial"/>
          <w:color w:val="2C2C2C"/>
          <w:sz w:val="22"/>
          <w:szCs w:val="22"/>
        </w:rPr>
        <w:t xml:space="preserve">An arXiv submission of WP-001 (DEL-v2 Technical Reference) as a formal technical report complements the open-source release. arXiv assigns a DOI, indexes the paper in Google Scholar, and makes it citable in academic literature. Researchers evaluating AI governance approaches will encounter DEL-v2 as a named, peer-discoverable protocol. The arXiv submission requires no implementation work; WP-001 is already written to academic technical report standards.</w:t>
      </w:r>
    </w:p>
    <w:p>
      <w:pPr>
        <w:pStyle w:val="Heading1"/>
        <w:pageBreakBefore/>
        <w:spacing w:before="360" w:after="120" w:line="276" w:lineRule="auto"/>
      </w:pPr>
      <w:r>
        <w:rPr>
          <w:rFonts w:ascii="Arial" w:cs="Arial" w:eastAsia="Arial" w:hAnsi="Arial"/>
          <w:b/>
          <w:bCs/>
          <w:color w:val="1B2A4A"/>
          <w:sz w:val="36"/>
          <w:szCs w:val="36"/>
        </w:rPr>
        <w:t xml:space="preserve">4. Platform Intelligence Features</w:t>
      </w:r>
    </w:p>
    <w:p>
      <w:pPr>
        <w:spacing w:before="0" w:after="200" w:line="276" w:lineRule="auto"/>
      </w:pPr>
      <w:r>
        <w:rPr>
          <w:rFonts w:ascii="Arial" w:cs="Arial" w:eastAsia="Arial" w:hAnsi="Arial"/>
          <w:color w:val="2C2C2C"/>
          <w:sz w:val="22"/>
          <w:szCs w:val="22"/>
        </w:rPr>
        <w:t xml:space="preserve">The platform already collects structured data from every session, gate evaluation, token usage event, and agent run. The platform intelligence features defined in this section derive analytical value from that data without requiring new data collection infrastructure. They transform the audit trail from a compliance artifact into an operational intelligence system. No competitor in the AI observability space (LangSmith, Arize AI, Langfuse, Helicone, Weights and Biases, Portkey) currently provides this capability for developer-session governance, they focus on production AI system observability, not the developer's AI-assisted development process.</w:t>
      </w:r>
    </w:p>
    <w:p>
      <w:pPr>
        <w:pStyle w:val="Heading2"/>
        <w:spacing w:before="240" w:after="80" w:line="276" w:lineRule="auto"/>
      </w:pPr>
      <w:r>
        <w:rPr>
          <w:rFonts w:ascii="Arial" w:cs="Arial" w:eastAsia="Arial" w:hAnsi="Arial"/>
          <w:b/>
          <w:bCs/>
          <w:color w:val="2E75B6"/>
          <w:sz w:val="28"/>
          <w:szCs w:val="28"/>
        </w:rPr>
        <w:t xml:space="preserve">4.1 Session Replay</w:t>
      </w:r>
    </w:p>
    <w:p>
      <w:pPr>
        <w:spacing w:before="0" w:after="200" w:line="276" w:lineRule="auto"/>
      </w:pPr>
      <w:r>
        <w:rPr>
          <w:rFonts w:ascii="Arial" w:cs="Arial" w:eastAsia="Arial" w:hAnsi="Arial"/>
          <w:color w:val="2C2C2C"/>
          <w:sz w:val="22"/>
          <w:szCs w:val="22"/>
        </w:rPr>
        <w:t xml:space="preserve">Session replay reconstructs the complete history of any session as a visual timeline. It uses data already present in the platform database: the decisions table, GOVERNANCE_STATUS.json transition records, token_usage rows, invariant check results, and connector call logs from agent_runs. No new data capture is required; the feature is entirely a presentation layer over existing structured data.</w:t>
      </w:r>
    </w:p>
    <w:p>
      <w:pPr>
        <w:spacing w:before="80" w:after="0"/>
      </w:pPr>
    </w:p>
    <w:p>
      <w:pPr>
        <w:spacing w:before="0" w:after="200" w:line="276" w:lineRule="auto"/>
      </w:pPr>
      <w:r>
        <w:rPr>
          <w:rFonts w:ascii="Arial" w:cs="Arial" w:eastAsia="Arial" w:hAnsi="Arial"/>
          <w:color w:val="2C2C2C"/>
          <w:sz w:val="22"/>
          <w:szCs w:val="22"/>
        </w:rPr>
        <w:t xml:space="preserve">Table 6 defines the six components of the session replay timeline.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Data Source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 timeline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decisions table ordered by created_at for a given session_id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Visual playback of every logged decision in chronological order; shows the reasoning chain that produced the final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transition 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GOVERNANCE_STATUS.json transitions or agent_runs.del_v2_state history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Timeline of every state machine transition with timestamps; identifies exactly when and why a breach occurred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burn curve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token_usage rows aggregated by session and ordered by time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Line chart showing cumulative token consumption over session duration; identifies the exchanges where token density spiked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Invariant check 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Invariant evaluation records from gate events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Shows which invariants were evaluated at each gate, which passed, and which triggered the breach; complete compliance evidence for audit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call log</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agent_runs connector execution records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Every connector operation in sequence: which connector was called, what was requested, what was returned, and whether the operation was within permission bounds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Diff at each gate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DIFF_SINCE_VERIFIED.patch equivalents stored per gate event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Shows exactly what changed in the project state between each gate evaluation; makes the source of any invariant violation traceable to a specific change</w:t>
            </w:r>
          </w:p>
        </w:tc>
      </w:tr>
    </w:tbl>
    <w:p>
      <w:pPr>
        <w:spacing w:before="120" w:after="0"/>
      </w:pPr>
    </w:p>
    <w:p>
      <w:pPr>
        <w:spacing w:before="0" w:after="200" w:line="276" w:lineRule="auto"/>
      </w:pPr>
      <w:r>
        <w:rPr>
          <w:rFonts w:ascii="Arial" w:cs="Arial" w:eastAsia="Arial" w:hAnsi="Arial"/>
          <w:color w:val="2C2C2C"/>
          <w:sz w:val="22"/>
          <w:szCs w:val="22"/>
        </w:rPr>
        <w:t xml:space="preserve">Session replay is invaluable for three use cases. For debugging, it allows a developer to trace exactly which decision, which model output, or which connector call preceded an unexpected result. For compliance, it provides a complete narrative of what happened in a session in a format that non-technical reviewers, compliance officers, and auditors, can understand without reading raw JSON logs. For model evaluation, it provides a ground-truth record of model behavior over a full session that can be used to evaluate and compare model performance on real production tasks.</w:t>
      </w:r>
    </w:p>
    <w:p>
      <w:pPr>
        <w:pStyle w:val="Heading2"/>
        <w:spacing w:before="240" w:after="80" w:line="276" w:lineRule="auto"/>
      </w:pPr>
      <w:r>
        <w:rPr>
          <w:rFonts w:ascii="Arial" w:cs="Arial" w:eastAsia="Arial" w:hAnsi="Arial"/>
          <w:b/>
          <w:bCs/>
          <w:color w:val="2E75B6"/>
          <w:sz w:val="28"/>
          <w:szCs w:val="28"/>
        </w:rPr>
        <w:t xml:space="preserve">4.2 Model Performance Scorecard and Analytics</w:t>
      </w:r>
    </w:p>
    <w:p>
      <w:pPr>
        <w:spacing w:before="0" w:after="200" w:line="276" w:lineRule="auto"/>
      </w:pPr>
      <w:r>
        <w:rPr>
          <w:rFonts w:ascii="Arial" w:cs="Arial" w:eastAsia="Arial" w:hAnsi="Arial"/>
          <w:color w:val="2C2C2C"/>
          <w:sz w:val="22"/>
          <w:szCs w:val="22"/>
        </w:rPr>
        <w:t xml:space="preserve">Table 7 defines seven platform intelligence features covering model performance scoring, invariant analytics, and anomaly detection. The model performance scorecard is the most commercially important because it makes the Model Intelligence Layer (WP-002, Section 5.1) data-driven rather than configuration-driven. Currently, model recommendations in the Task Governance Schema are based on static capability assessments. With a production scorecard, recommendations are based on observed outcomes for a specific user's task types on the specific models they have used.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Mechanism</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Operational Value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performance scorecard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Aggregates first-attempt gate pass rate, average correction cycles, token cost per completed task, and breach frequency per model across all user sessions for a given task type</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Makes the Model Intelligence Layer data-driven rather than configuration-driven; scorecard updates automatically as production outcomes accumulate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Invariant violation heat 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Counts breach events per invariant ID across all sessions; normalizes by session count to produce a violation frequency per invariant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Identifies which invariants are breached most often; surfaces systemic model failure patterns; informs invariant tuning and system prompt improvement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health history graph</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token_usage rows for a session plotted as context_used_pct over time</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Retroactive view of where in a session quality likely degraded; invaluable for debugging outputs that seem inconsistent with earlier session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 confidence tracking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When models log decisions with a confidence field, tracks confidence level against subsequent gate outcomes; flags decision types where high-confidence outputs fail gates at elevated rates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Identifies the specific task types and decision categories where a model's self-assessed confidence is systematically miscalibrated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Anomaly detection on decision logs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Statistical process control on decision log patterns: tokens per exchange, decision frequency per session, invariant check frequency; flags deviations beyond configurable sigma thresholds</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Catches model drift (WP-002, Section 11.2) before it produces visible failures; surfaces sessions where model behavior diverged from its historical baseline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Cross-user pattern analysis (opt-in)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Anonymized aggregation of breach patterns, high-performing model pairings, and effective invariant configurations across the opted-in user 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Creates a network effect: more users make the platform smarter for everyone; publishable as quarterly platform intelligence reports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Automatic invariant suggestion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Analyzes the decisions table and breach history for a project; applies pattern matching to identify recurring constraints that appear in manual decisions but are not formally encoded as invariants</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Makes the invariant registry self-improving; reduces the expertise barrier to building well-governed agents</w:t>
            </w:r>
          </w:p>
        </w:tc>
      </w:tr>
    </w:tbl>
    <w:p>
      <w:pPr>
        <w:spacing w:before="120" w:after="0"/>
      </w:pPr>
    </w:p>
    <w:p>
      <w:pPr>
        <w:spacing w:before="0" w:after="200" w:line="276" w:lineRule="auto"/>
      </w:pPr>
      <w:r>
        <w:rPr>
          <w:rFonts w:ascii="Arial" w:cs="Arial" w:eastAsia="Arial" w:hAnsi="Arial"/>
          <w:color w:val="2C2C2C"/>
          <w:sz w:val="22"/>
          <w:szCs w:val="22"/>
        </w:rPr>
        <w:t xml:space="preserve">The anomaly detection feature implements the System Drift Monitoring requirement defined in WP-002, Section 11.2. A heat map showing that a specific invariant is breached in 23% of sessions where a particular model is used on a particular task type is the actionable output of drift monitoring: it tells the user exactly which invariant to tighten and which model to evaluate more carefully.</w:t>
      </w:r>
    </w:p>
    <w:p>
      <w:pPr>
        <w:pStyle w:val="Heading2"/>
        <w:spacing w:before="240" w:after="80" w:line="276" w:lineRule="auto"/>
      </w:pPr>
      <w:r>
        <w:rPr>
          <w:rFonts w:ascii="Arial" w:cs="Arial" w:eastAsia="Arial" w:hAnsi="Arial"/>
          <w:b/>
          <w:bCs/>
          <w:color w:val="2E75B6"/>
          <w:sz w:val="28"/>
          <w:szCs w:val="28"/>
        </w:rPr>
        <w:t xml:space="preserve">4.3 Automatic Invariant Suggestion and Anomaly Detection</w:t>
      </w:r>
    </w:p>
    <w:p>
      <w:pPr>
        <w:spacing w:before="0" w:after="200" w:line="276" w:lineRule="auto"/>
      </w:pPr>
      <w:r>
        <w:rPr>
          <w:rFonts w:ascii="Arial" w:cs="Arial" w:eastAsia="Arial" w:hAnsi="Arial"/>
          <w:color w:val="2C2C2C"/>
          <w:sz w:val="22"/>
          <w:szCs w:val="22"/>
        </w:rPr>
        <w:t xml:space="preserve">Automatic invariant suggestion is the feature that makes the invariant registry self-improving. The mechanism: the platform analyzes the decisions table for recurring natural language constraints that appear in decision rationale text but are not formally encoded as invariants. For example, if a user's decision log contains fifteen instances of decisions that reference 'must not use raw SQL without parameterization' as a constraint, the platform surfaces a suggested invariant: 'All database operations must use parameterized queries.' The user reviews and accepts or rejects the suggestion; accepted suggestions are added to the project's invariant set.</w:t>
      </w:r>
    </w:p>
    <w:p>
      <w:pPr>
        <w:spacing w:before="80" w:after="0"/>
      </w:pPr>
    </w:p>
    <w:p>
      <w:pPr>
        <w:spacing w:before="0" w:after="200" w:line="276" w:lineRule="auto"/>
      </w:pPr>
      <w:r>
        <w:rPr>
          <w:rFonts w:ascii="Arial" w:cs="Arial" w:eastAsia="Arial" w:hAnsi="Arial"/>
          <w:color w:val="2C2C2C"/>
          <w:sz w:val="22"/>
          <w:szCs w:val="22"/>
        </w:rPr>
        <w:t xml:space="preserve">This feature addresses the primary adoption barrier for formal invariant governance: the effort required to enumerate invariants from scratch. Most developers can identify good constraints when prompted with specific examples from their own decision history, but few can enumerate a complete invariant set from a blank document. Automatic suggestion converts the decision log from a passive record into an active invariant generator.</w:t>
      </w:r>
    </w:p>
    <w:p>
      <w:pPr>
        <w:spacing w:before="80" w:after="0"/>
      </w:pPr>
    </w:p>
    <w:p>
      <w:pPr>
        <w:spacing w:before="0" w:after="200" w:line="276" w:lineRule="auto"/>
      </w:pPr>
      <w:r>
        <w:rPr>
          <w:rFonts w:ascii="Arial" w:cs="Arial" w:eastAsia="Arial" w:hAnsi="Arial"/>
          <w:color w:val="2C2C2C"/>
          <w:sz w:val="22"/>
          <w:szCs w:val="22"/>
        </w:rPr>
        <w:t xml:space="preserve">Cross-user pattern analysis (anonymized, opt-in) extends this intelligence to the platform level. Aggregate intelligence is published quarterly as Platform Intelligence Reports: anonymized findings about which invariant types prevent the most breaches, which model pairings produce the best consensus outcomes for which task types, and which connector combinations appear most frequently in successful agent runs. These reports create a network effect: more opted-in users produce more accurate aggregate intelligence.</w:t>
      </w:r>
    </w:p>
    <w:p>
      <w:pPr>
        <w:pStyle w:val="Heading1"/>
        <w:pageBreakBefore/>
        <w:spacing w:before="360" w:after="120" w:line="276" w:lineRule="auto"/>
      </w:pPr>
      <w:r>
        <w:rPr>
          <w:rFonts w:ascii="Arial" w:cs="Arial" w:eastAsia="Arial" w:hAnsi="Arial"/>
          <w:b/>
          <w:bCs/>
          <w:color w:val="1B2A4A"/>
          <w:sz w:val="36"/>
          <w:szCs w:val="36"/>
        </w:rPr>
        <w:t xml:space="preserve">5. Fine-Tuned Governance Model</w:t>
      </w:r>
    </w:p>
    <w:p>
      <w:pPr>
        <w:spacing w:before="0" w:after="200" w:line="276" w:lineRule="auto"/>
      </w:pPr>
      <w:r>
        <w:rPr>
          <w:rFonts w:ascii="Arial" w:cs="Arial" w:eastAsia="Arial" w:hAnsi="Arial"/>
          <w:color w:val="2C2C2C"/>
          <w:sz w:val="22"/>
          <w:szCs w:val="22"/>
        </w:rPr>
        <w:t xml:space="preserve">The fine-tuned governance model is a strategic long-term investment: a small language model (7B to 13B parameters) trained specifically on DEL-v2 protocol compliance tasks. It addresses the performance ceiling of applying a general-purpose model to specialized governance evaluation tasks. A general model evaluating whether a handback satisfies the Delivery Contract (WP-002, Section 3.1) must re-derive the evaluation criteria from the prompt on every call. A fine-tuned governance model has internalized those criteria during training and applies them with higher accuracy and lower token cost.</w:t>
      </w:r>
    </w:p>
    <w:p>
      <w:pPr>
        <w:pBdr>
          <w:left w:val="single" w:color="2E75B6" w:sz="6" w:space="8"/>
        </w:pBdr>
        <w:spacing w:before="120" w:after="120"/>
        <w:ind w:left="720"/>
      </w:pPr>
      <w:r>
        <w:rPr>
          <w:rFonts w:ascii="Arial" w:cs="Arial" w:eastAsia="Arial" w:hAnsi="Arial"/>
          <w:i/>
          <w:iCs/>
          <w:color w:val="555555"/>
          <w:sz w:val="22"/>
          <w:szCs w:val="22"/>
        </w:rPr>
        <w:t xml:space="preserve">The fine-tuned governance model is not a replacement for general-purpose models in agent execution. It is a specialized component deployed in specific positions within the execution engine where its domain expertise produces superior results at lower cost: gate evaluation, invariant formalization, delivery contract generation, and breach root cause analysis.</w:t>
      </w:r>
    </w:p>
    <w:p>
      <w:pPr>
        <w:spacing w:before="0" w:after="200" w:line="276" w:lineRule="auto"/>
      </w:pPr>
      <w:r>
        <w:rPr>
          <w:rFonts w:ascii="Arial" w:cs="Arial" w:eastAsia="Arial" w:hAnsi="Arial"/>
          <w:color w:val="2C2C2C"/>
          <w:sz w:val="22"/>
          <w:szCs w:val="22"/>
        </w:rPr>
        <w:t xml:space="preserve">Table 8 defines the four capability domains, training signals, and deployment contexts for the fine-tuned governance model.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Model Capability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Training Signal</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Deployment Context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 gate evaluation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Labeled examples of handback outputs paired with gate pass/fail decisions and the specific contract field violations that caused rejection</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Deployed as the Gate Evaluator component in the agent execution engine (WP-005, Section 4.1); replaces rule-based gate checks with model-based evaluation for complex natural language assertions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Invariant formalization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Pairs of natural language invariant descriptions and their formal executable assertion equivalents, drawn from the existing invariant registry and platform decision logs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Deployed as the automatic invariant suggestion engine; converts informal constraints stated in decisions into formal invariant definitions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Delivery contract generation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Pairs of task descriptions and complete Enterprise Delivery Contracts (WP-002, Section 3.1) generated for those tasks, labeled for quality by domain experts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Deployed as the automatic delivery contract assistant; given a task description, generates a pre-filled contract draft for user review and modification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Breach root cause analysis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Labeled PROTOCOL_BREACH events with root cause classifications (speculative require, implicit interface, unbounded query, etc.) drawn from the production case study in WP-002, Section 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Deployed in the Breach Handler component; when a breach occurs, the model produces a root cause hypothesis and remediation suggestion rather than requiring the operator to diagnose from scratch</w:t>
            </w:r>
          </w:p>
        </w:tc>
      </w:tr>
    </w:tbl>
    <w:p>
      <w:pPr>
        <w:spacing w:before="120" w:after="0"/>
      </w:pPr>
    </w:p>
    <w:p>
      <w:pPr>
        <w:spacing w:before="0" w:after="200" w:line="276" w:lineRule="auto"/>
      </w:pPr>
      <w:r>
        <w:rPr>
          <w:rFonts w:ascii="Arial" w:cs="Arial" w:eastAsia="Arial" w:hAnsi="Arial"/>
          <w:color w:val="2C2C2C"/>
          <w:sz w:val="22"/>
          <w:szCs w:val="22"/>
        </w:rPr>
        <w:t xml:space="preserve">Training data for all four capability domains accumulates naturally from production platform usage. Every gate evaluation produces a labeled example: the handback content is the input, and the gate pass/fail decision with the specific violation details is the label. Every time a user accepts an automatic invariant suggestion, the natural language description and its formal assertion equivalent become a training pair. The platform generates its own training data at scale.</w:t>
      </w:r>
    </w:p>
    <w:p>
      <w:pPr>
        <w:spacing w:before="80" w:after="0"/>
      </w:pPr>
    </w:p>
    <w:p>
      <w:pPr>
        <w:spacing w:before="0" w:after="200" w:line="276" w:lineRule="auto"/>
      </w:pPr>
      <w:r>
        <w:rPr>
          <w:rFonts w:ascii="Arial" w:cs="Arial" w:eastAsia="Arial" w:hAnsi="Arial"/>
          <w:color w:val="2C2C2C"/>
          <w:sz w:val="22"/>
          <w:szCs w:val="22"/>
        </w:rPr>
        <w:t xml:space="preserve">The fine-tuning stack uses the tools defined in WP-004, Section 2.3: Unsloth for training efficiency, PEFT/LoRA for parameter-efficient adaptation, and a base model from the Tier 1 open-weight catalog (Llama 3.1 8B or Qwen 2.5 7B, both under permissive licenses). The trained model is hosted on the platform's own infrastructure (Phase D GPU capacity, WP-004, Section 7.3) and exposed as an internal API.</w:t>
      </w:r>
    </w:p>
    <w:p>
      <w:pPr>
        <w:spacing w:before="80" w:after="0"/>
      </w:pPr>
    </w:p>
    <w:p>
      <w:pPr>
        <w:spacing w:before="0" w:after="200" w:line="276" w:lineRule="auto"/>
      </w:pPr>
      <w:r>
        <w:rPr>
          <w:rFonts w:ascii="Arial" w:cs="Arial" w:eastAsia="Arial" w:hAnsi="Arial"/>
          <w:color w:val="2C2C2C"/>
          <w:sz w:val="22"/>
          <w:szCs w:val="22"/>
        </w:rPr>
        <w:t xml:space="preserve">Publishing the fine-tuned model on Hugging Face Hub as an open-source release serves a dual purpose. It demonstrates ContextKeeper's technical depth to the developer community, and it creates an ongoing citation and awareness channel: researchers and developers who use the model in their own work cite ContextKeeper as its source.</w:t>
      </w:r>
    </w:p>
    <w:p>
      <w:pPr>
        <w:pStyle w:val="Heading1"/>
        <w:pageBreakBefore/>
        <w:spacing w:before="360" w:after="120" w:line="276" w:lineRule="auto"/>
      </w:pPr>
      <w:r>
        <w:rPr>
          <w:rFonts w:ascii="Arial" w:cs="Arial" w:eastAsia="Arial" w:hAnsi="Arial"/>
          <w:b/>
          <w:bCs/>
          <w:color w:val="1B2A4A"/>
          <w:sz w:val="36"/>
          <w:szCs w:val="36"/>
        </w:rPr>
        <w:t xml:space="preserve">6. Enterprise Compliance Architecture</w:t>
      </w:r>
    </w:p>
    <w:p>
      <w:pPr>
        <w:spacing w:before="0" w:after="200" w:line="276" w:lineRule="auto"/>
      </w:pPr>
      <w:r>
        <w:rPr>
          <w:rFonts w:ascii="Arial" w:cs="Arial" w:eastAsia="Arial" w:hAnsi="Arial"/>
          <w:color w:val="2C2C2C"/>
          <w:sz w:val="22"/>
          <w:szCs w:val="22"/>
        </w:rPr>
        <w:t xml:space="preserve">The enterprise compliance architecture defines the path from a well-governed platform to a certifiably compliant one. Each capability in this section removes a specific procurement barrier for a specific enterprise segment. Together they unlock the regulated industries, financial services, healthcare, legal, and government contracting, where governance tooling commands the highest willingness to pay and where the DEL-v2 audit trail is most directly applicable to existing compliance requirements.</w:t>
      </w:r>
    </w:p>
    <w:p>
      <w:pPr>
        <w:spacing w:before="80" w:after="0"/>
      </w:pPr>
    </w:p>
    <w:p>
      <w:pPr>
        <w:spacing w:before="0" w:after="200" w:line="276" w:lineRule="auto"/>
      </w:pPr>
      <w:r>
        <w:rPr>
          <w:rFonts w:ascii="Arial" w:cs="Arial" w:eastAsia="Arial" w:hAnsi="Arial"/>
          <w:color w:val="2C2C2C"/>
          <w:sz w:val="22"/>
          <w:szCs w:val="22"/>
        </w:rPr>
        <w:t xml:space="preserve">The competitive compliance landscape confirms a genuine gap. Of the eight primary competitors examined (LangSmith, Arize AI, Langfuse, Helicone, CrewAI, AutoGen/AG2, Weights and Biases, Portkey), all are certified for SOC 2 Type II; Arize AI additionally holds PCI DSS 4.0 and CSA STAR Level 1; Portkey and Langfuse hold ISO 27001. No competitor has obtained ISO 42001:2023, the first certifiable AI management system standard, creating a genuine first-mover opportunity. The Gartner AI Governance Platforms Market Guide (November 2025), Forrester Wave AI Governance Solutions Q3 2025, and IDC MarketScape Worldwide Unified AI Governance Platforms 2025-2026 (20 vendors) all confirm robust institutional analyst coverage of this market segment, validating enterprise buyer attention.</w:t>
      </w:r>
    </w:p>
    <w:p>
      <w:pPr>
        <w:spacing w:before="80" w:after="0"/>
      </w:pPr>
    </w:p>
    <w:p>
      <w:pPr>
        <w:spacing w:before="0" w:after="200" w:line="276" w:lineRule="auto"/>
      </w:pPr>
      <w:r>
        <w:rPr>
          <w:rFonts w:ascii="Arial" w:cs="Arial" w:eastAsia="Arial" w:hAnsi="Arial"/>
          <w:color w:val="2C2C2C"/>
          <w:sz w:val="22"/>
          <w:szCs w:val="22"/>
        </w:rPr>
        <w:t xml:space="preserve">Table 9 defines the seven compliance capabilities with mechanism and target buyer.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Compliance Capability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Mechanism</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Target Buyer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SOC 2 Type II certification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Formal audit engagement mapping existing DEL-v2 audit trail, cryptographic integrity, access controls, and monitoring to SOC 2 Trust Service Criteria (2017 TSC with 2022 revised points of focus); produces a third-party attestation report covering Security criterion (CC1-CC9) and optionally Availability (A1.1-A1.3)</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enterprise customer whose procurement process requires vendor SOC 2 compliance; required by a substantial majority of Fortune 1000 security teams for US SaaS vendor approval (commonly cited at approximately 78%, though the precise figure varies by survey)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GDPR and CCPA data residency controls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Infrastructure configuration allowing enterprise customers to specify the geographic region (EU, US, APAC) in which their data is stored; requires multi-region database deployment (AWS RDS, Google Cloud SQL, or Azure Database for MySQL with regional configuration)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EU-based enterprises and US enterprises with EU customers; required for GDPR Article 44 cross-border transfer compliance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HIPAA-eligible deployment configuration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Business Associate Agreement (BAA), AES-256 encryption at rest, TLS 1.3 in transit, RBAC with unique user identifiers, MFA, automatic session logoff, 6-year audit log retention, and network segmentation. HIPAA-eligible deployment requires dedicated or cloud infrastructure; standard cPanel shared hosting cannot be used for any deployment that may process protected health information.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Healthcare organizations running agents over patient data; unlocks a regulated vertical with high willingness-to-pay for governance tooling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Private cloud deployment (BYOI)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Docker Compose and Kubernetes Helm chart packaging the full platform stack for deployment in customer's own VPC; eliminates data residency concerns entirely; commands 5x to 10x SaaS price as an annual software license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Enterprises with data sovereignty requirements that preclude any third-party data processing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Signed audit bundles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PKI-based digital signature applied to handoff bundles at generation time; a corresponding verification tool allows any third party to confirm the bundle was produced by a specific ContextKeeper installation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Regulated industries requiring third-party audit evidence; legal and financial firms needing verifiable chain of custody for AI-produced work products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Immutable audit log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Append-only write configuration for session logs, decisions, and invariant records; options include WORM storage, hash-chained log entries, or periodic anchoring to a public blockchain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Highest-scrutiny regulated environments: financial services subject to FINRA Rule 4511 and SEC Rule 17a-4 recordkeeping, healthcare under HIPAA, government contractors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Compliance report templates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Pre-built report generators producing SOC 2 control evidence, HIPAA audit control evidence, GDPR data processing records, and custom framework mappings directly from existing platform audit data</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Compliance and legal teams at enterprise customers; transforms the governance layer into a compliance automation tool that saves hours per audit cycle</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6.1 SOC 2 Type II</w:t>
      </w:r>
    </w:p>
    <w:p>
      <w:pPr>
        <w:spacing w:before="0" w:after="200" w:line="276" w:lineRule="auto"/>
      </w:pPr>
      <w:r>
        <w:rPr>
          <w:rFonts w:ascii="Arial" w:cs="Arial" w:eastAsia="Arial" w:hAnsi="Arial"/>
          <w:color w:val="2C2C2C"/>
          <w:sz w:val="22"/>
          <w:szCs w:val="22"/>
        </w:rPr>
        <w:t xml:space="preserve">SOC 2 Type II is the baseline enterprise procurement requirement for SaaS vendors serving security-conscious organizations in the US market. It evaluates a vendor's controls over security, availability, processing integrity, confidentiality, and privacy over an audit period of typically 6 to 12 months. The governing standard is the AICPA 2017 Trust Services Criteria (With Revised Points of Focus, 2022), designated TSP Section 100. The 2022 revision updated only the points of focus, non-prescriptive guidance addressing evolving threats, privacy regulations, and data controller/processor distinctions, leaving the underlying criteria text unchanged. No new TSC version has been released or announced.</w:t>
      </w:r>
    </w:p>
    <w:p>
      <w:pPr>
        <w:spacing w:before="80" w:after="0"/>
      </w:pPr>
    </w:p>
    <w:p>
      <w:pPr>
        <w:spacing w:before="0" w:after="200" w:line="276" w:lineRule="auto"/>
      </w:pPr>
      <w:r>
        <w:rPr>
          <w:rFonts w:ascii="Arial" w:cs="Arial" w:eastAsia="Arial" w:hAnsi="Arial"/>
          <w:color w:val="2C2C2C"/>
          <w:sz w:val="22"/>
          <w:szCs w:val="22"/>
        </w:rPr>
        <w:t xml:space="preserve">The nine Common Criteria (CC) series are mandatory for all SOC 2 Security category engagements. CC1 (Control Environment, five sub-criteria) corresponds to COSO 2013 Principles 1-5. CC2 (Communication and Information, three sub-criteria) to Principles 13-15. CC3 (Risk Assessment, four sub-criteria) to Principles 6-9. CC4 (Monitoring Activities, two sub-criteria) to Principles 16-17. CC5 (Control Activities, three sub-criteria) to Principles 10-12. CC6 (Logical and Physical Access Controls, eight sub-criteria CC6.1 through CC6.8) covers identity verification, RBAC, least privilege, physical access restrictions, boundary protection, transmission restrictions, and malicious software controls. CC7 (System Operations, five sub-criteria CC7.1 through CC7.5) covers vulnerability detection, anomaly monitoring, security event evaluation, incident response, and incident recovery. CC8 (Change Management, one sub-criterion CC8.1) covers authorization, design, development, testing, approval, and implementation of all changes to infrastructure, data, software, and procedures. CC9 (Risk Mitigation, two sub-criteria CC9.1 through CC9.2) covers business disruption mitigation and vendor risk management.</w:t>
      </w:r>
    </w:p>
    <w:p>
      <w:pPr>
        <w:spacing w:before="80" w:after="0"/>
      </w:pPr>
    </w:p>
    <w:p>
      <w:pPr>
        <w:spacing w:before="0" w:after="200" w:line="276" w:lineRule="auto"/>
      </w:pPr>
      <w:r>
        <w:rPr>
          <w:rFonts w:ascii="Arial" w:cs="Arial" w:eastAsia="Arial" w:hAnsi="Arial"/>
          <w:color w:val="2C2C2C"/>
          <w:sz w:val="22"/>
          <w:szCs w:val="22"/>
        </w:rPr>
        <w:t xml:space="preserve">The DEL-v2 audit trail, cryptographic integrity verification (WP-001, Section 9), and the access control model already implemented in the platform address significant portions of CC6, CC7, and CC8 directly. The audit engagement formalizes and documents these controls, identifying gaps requiring remediation before attestation is issued. The most common audit gaps for early-stage SaaS vendors are: untimely user deprovisioning (CC6.2/CC6.3), missed quarterly access reviews (CC6.1/CC6.3), excessive privileged access for engineering teams (CC6.3), missing change management approval records (CC8.1), incomplete security training acknowledgment tracking (CC1.4/CC2.2), and untested backup and disaster recovery procedures (CC7.4).</w:t>
      </w:r>
    </w:p>
    <w:p>
      <w:pPr>
        <w:spacing w:before="80" w:after="0"/>
      </w:pPr>
    </w:p>
    <w:p>
      <w:pPr>
        <w:spacing w:before="0" w:after="200" w:line="276" w:lineRule="auto"/>
      </w:pPr>
      <w:r>
        <w:rPr>
          <w:rFonts w:ascii="Arial" w:cs="Arial" w:eastAsia="Arial" w:hAnsi="Arial"/>
          <w:color w:val="2C2C2C"/>
          <w:sz w:val="22"/>
          <w:szCs w:val="22"/>
        </w:rPr>
        <w:t xml:space="preserve">Timeline and cost for a first-time SOC 2 Type II: gap remediation takes 1-3 months; the mandatory observation window is a minimum of 3 months (6 months is industry standard for first attestations); audit fieldwork takes 4-6 weeks; report finalization takes 3-4 weeks. Total elapsed time from starting to report delivery is 6-12 months. First-year all-in costs range from $30,000 to $100,000, covering audit fees ($15,000-$50,000 depending on auditor size), compliance automation platform ($6,000-$30,000 annually), readiness assessment, penetration testing, and policy development. Renewal costs drop to approximately $20,000-$40,000 annually. SOC 2 Type II certification is not optional for enterprise sales at Fortune 500 companies; it is a procurement gate that no amount of technical quality can bypass.</w:t>
      </w:r>
    </w:p>
    <w:p>
      <w:pPr>
        <w:spacing w:before="80" w:after="0"/>
      </w:pPr>
    </w:p>
    <w:p>
      <w:pPr>
        <w:spacing w:before="0" w:after="200" w:line="276" w:lineRule="auto"/>
      </w:pPr>
      <w:r>
        <w:rPr>
          <w:rFonts w:ascii="Arial" w:cs="Arial" w:eastAsia="Arial" w:hAnsi="Arial"/>
          <w:color w:val="2C2C2C"/>
          <w:sz w:val="22"/>
          <w:szCs w:val="22"/>
        </w:rPr>
        <w:t xml:space="preserve">The SOC 2 Evidence Package generated by the compliance export system (Section 10.4) produces a structured ZIP archive containing: a system description document from the platform's configuration records, a user access activity log in the format required by CC6.1 through CC6.3, an audit trail of governance events for CC7.2 (anomaly detection and response), a listing of all active invariants and their enforcement records for CC5.2, and a session log summary for CC9.1 demonstrating that AI-generated outputs are governed.</w:t>
      </w:r>
    </w:p>
    <w:p>
      <w:pPr>
        <w:pStyle w:val="Heading2"/>
        <w:spacing w:before="240" w:after="80" w:line="276" w:lineRule="auto"/>
      </w:pPr>
      <w:r>
        <w:rPr>
          <w:rFonts w:ascii="Arial" w:cs="Arial" w:eastAsia="Arial" w:hAnsi="Arial"/>
          <w:b/>
          <w:bCs/>
          <w:color w:val="2E75B6"/>
          <w:sz w:val="28"/>
          <w:szCs w:val="28"/>
        </w:rPr>
        <w:t xml:space="preserve">6.2 GDPR, CCPA, and Data Residency</w:t>
      </w:r>
    </w:p>
    <w:p>
      <w:pPr>
        <w:spacing w:before="0" w:after="200" w:line="276" w:lineRule="auto"/>
      </w:pPr>
      <w:r>
        <w:rPr>
          <w:rFonts w:ascii="Arial" w:cs="Arial" w:eastAsia="Arial" w:hAnsi="Arial"/>
          <w:color w:val="2C2C2C"/>
          <w:sz w:val="22"/>
          <w:szCs w:val="22"/>
        </w:rPr>
        <w:t xml:space="preserve">EU-based enterprises and US enterprises with EU customers require data residency controls that specify the geographic region in which their data is stored and processed. GDPR's requirements are grounded in Articles 44-49, which prohibit transfers of personal data to third countries that do not provide an adequate level of protection unless appropriate safeguards (Standard Contractual Clauses, Binding Corporate Rules, or adequacy decisions) are in place. Data residency controls, storing and processing EU customer data exclusively within EU infrastructure, which eliminates the Article 44 transfer concern entirely.</w:t>
      </w:r>
    </w:p>
    <w:p>
      <w:pPr>
        <w:spacing w:before="80" w:after="0"/>
      </w:pPr>
    </w:p>
    <w:p>
      <w:pPr>
        <w:spacing w:before="0" w:after="200" w:line="276" w:lineRule="auto"/>
      </w:pPr>
      <w:r>
        <w:rPr>
          <w:rFonts w:ascii="Arial" w:cs="Arial" w:eastAsia="Arial" w:hAnsi="Arial"/>
          <w:color w:val="2C2C2C"/>
          <w:sz w:val="22"/>
          <w:szCs w:val="22"/>
        </w:rPr>
        <w:t xml:space="preserve">The platform's existing PHP/MySQL architecture on cPanel shared hosting does not support multi-region deployment. This capability requires a migration to a cloud database provider (AWS RDS, Google Cloud SQL, or Azure Database for MySQL) with regional configuration. A customer's session logs, decisions, connector credentials, and agent run records are stored exclusively in their specified region (EU, US, APAC).</w:t>
      </w:r>
    </w:p>
    <w:p>
      <w:pPr>
        <w:spacing w:before="80" w:after="0"/>
      </w:pPr>
    </w:p>
    <w:p>
      <w:pPr>
        <w:spacing w:before="0" w:after="200" w:line="276" w:lineRule="auto"/>
      </w:pPr>
      <w:r>
        <w:rPr>
          <w:rFonts w:ascii="Arial" w:cs="Arial" w:eastAsia="Arial" w:hAnsi="Arial"/>
          <w:color w:val="2C2C2C"/>
          <w:sz w:val="22"/>
          <w:szCs w:val="22"/>
        </w:rPr>
        <w:t xml:space="preserve">GDPR Article 17 (right to erasure, 'right to be forgotten') requires that a data subject's personal data be erased 'without undue delay' when the subject exercises the right and one of Article 17(1)'s grounds applies. Article 12(3) requires response 'without undue delay and in any event within one month of receipt of the request,' with a two-further-calendar-month extension available for complex or numerous requests (Article 12(3)). CCPA Section 1798.130, as amended by CPRA, requires response within 45 calendar days with a 45-day extension. Article 20 (data portability) requires providing data 'in a structured, commonly used and machine-readable format.' Both functions, user-initiated deletion and data export, require platform capabilities beyond what is currently implemented and should be included in the Phase B enterprise features scope.</w:t>
      </w:r>
    </w:p>
    <w:p>
      <w:pPr>
        <w:spacing w:before="80" w:after="0"/>
      </w:pPr>
    </w:p>
    <w:p>
      <w:pPr>
        <w:spacing w:before="0" w:after="200" w:line="276" w:lineRule="auto"/>
      </w:pPr>
      <w:r>
        <w:rPr>
          <w:rFonts w:ascii="Arial" w:cs="Arial" w:eastAsia="Arial" w:hAnsi="Arial"/>
          <w:color w:val="2C2C2C"/>
          <w:sz w:val="22"/>
          <w:szCs w:val="22"/>
        </w:rPr>
        <w:t xml:space="preserve">The GDPR Data Subject Report generated by the compliance export system produces: a complete data portability package for an individual user on request (fulfilling Article 20 obligations), a deletion confirmation package documenting the anonymization procedure applied to audit records (fulfilling Article 17 obligations without breaking hash chain integrity per the resolution defined in OPS-004), and a processing activity record for the user's data across all platform tables.</w:t>
      </w:r>
    </w:p>
    <w:p>
      <w:pPr>
        <w:pStyle w:val="Heading2"/>
        <w:spacing w:before="240" w:after="80" w:line="276" w:lineRule="auto"/>
      </w:pPr>
      <w:r>
        <w:rPr>
          <w:rFonts w:ascii="Arial" w:cs="Arial" w:eastAsia="Arial" w:hAnsi="Arial"/>
          <w:b/>
          <w:bCs/>
          <w:color w:val="2E75B6"/>
          <w:sz w:val="28"/>
          <w:szCs w:val="28"/>
        </w:rPr>
        <w:t xml:space="preserve">6.3 Private Cloud Deployment (BYOI)</w:t>
      </w:r>
    </w:p>
    <w:p>
      <w:pPr>
        <w:spacing w:before="0" w:after="200" w:line="276" w:lineRule="auto"/>
      </w:pPr>
      <w:r>
        <w:rPr>
          <w:rFonts w:ascii="Arial" w:cs="Arial" w:eastAsia="Arial" w:hAnsi="Arial"/>
          <w:color w:val="2C2C2C"/>
          <w:sz w:val="22"/>
          <w:szCs w:val="22"/>
        </w:rPr>
        <w:t xml:space="preserve">Private cloud deployment (Bring Your Own Infrastructure) packages the complete ContextKeeper platform as a deployable artifact for customer-operated infrastructure. The packaging approach uses Docker Compose for single-server deployments and a Kubernetes Helm chart for multi-node enterprise deployments. The deployed artifact includes the PHP application, MySQL database, Nginx reverse proxy, the bundle system, and the agent execution engine. The customer operates the infrastructure; ContextKeeper provides the software and support.</w:t>
      </w:r>
    </w:p>
    <w:p>
      <w:pPr>
        <w:spacing w:before="80" w:after="0"/>
      </w:pPr>
    </w:p>
    <w:p>
      <w:pPr>
        <w:spacing w:before="0" w:after="200" w:line="276" w:lineRule="auto"/>
      </w:pPr>
      <w:r>
        <w:rPr>
          <w:rFonts w:ascii="Arial" w:cs="Arial" w:eastAsia="Arial" w:hAnsi="Arial"/>
          <w:color w:val="2C2C2C"/>
          <w:sz w:val="22"/>
          <w:szCs w:val="22"/>
        </w:rPr>
        <w:t xml:space="preserve">BYOI addresses the strongest objection enterprise security teams raise against SaaS governance tooling: if the governance platform itself is a SaaS dependency, then the organization's governance audit trail, decision history, and invariant records are stored on third-party infrastructure. BYOI eliminates this objection completely, the customer's data never leaves their infrastructure. The platform operator is removed from the data path entirely.</w:t>
      </w:r>
    </w:p>
    <w:p>
      <w:pPr>
        <w:spacing w:before="80" w:after="0"/>
      </w:pPr>
    </w:p>
    <w:p>
      <w:pPr>
        <w:spacing w:before="0" w:after="200" w:line="276" w:lineRule="auto"/>
      </w:pPr>
      <w:r>
        <w:rPr>
          <w:rFonts w:ascii="Arial" w:cs="Arial" w:eastAsia="Arial" w:hAnsi="Arial"/>
          <w:color w:val="2C2C2C"/>
          <w:sz w:val="22"/>
          <w:szCs w:val="22"/>
        </w:rPr>
        <w:t xml:space="preserve">BYOI is also the prerequisite for any HIPAA-eligible deployment. HIPAA-eligible configurations require infrastructure over which the covered entity or business associate has full control, dedicated servers or dedicated cloud instances (not shared) with verifiable physical and logical separation, BAA-compatible network configurations, and audit controls that the customer can attest to independently. AWS, Azure, and GCP all offer HIPAA-eligible configurations under signed BAAs. AWS provides over 120 HIPAA-eligible services; AWS dropped its dedicated instance requirement in 2017, so any EC2 instance size qualifies under a signed BAA with proper configuration. Standard shared hosting providers (including cPanel shared hosting) do not offer BAAs and are not HIPAA-eligible.</w:t>
      </w:r>
    </w:p>
    <w:p>
      <w:pPr>
        <w:spacing w:before="80" w:after="0"/>
      </w:pPr>
    </w:p>
    <w:p>
      <w:pPr>
        <w:spacing w:before="0" w:after="200" w:line="276" w:lineRule="auto"/>
      </w:pPr>
      <w:r>
        <w:rPr>
          <w:rFonts w:ascii="Arial" w:cs="Arial" w:eastAsia="Arial" w:hAnsi="Arial"/>
          <w:color w:val="2C2C2C"/>
          <w:sz w:val="22"/>
          <w:szCs w:val="22"/>
        </w:rPr>
        <w:t xml:space="preserve">Private cloud deployment commands a substantially higher price point than SaaS because it eliminates all data residency concerns and transfers operational responsibility. The pricing model for BYOI is an annual software license rather than a per-seat subscription, reflecting the operational responsibility transfer and the higher value delivered to security-sensitive buyers. BYOI pricing at 5 to 10 times the equivalent SaaS annual cost is consistent with enterprise on-premises software licensing norms.</w:t>
      </w:r>
    </w:p>
    <w:p>
      <w:pPr>
        <w:pStyle w:val="Heading2"/>
        <w:spacing w:before="240" w:after="80" w:line="276" w:lineRule="auto"/>
      </w:pPr>
      <w:r>
        <w:rPr>
          <w:rFonts w:ascii="Arial" w:cs="Arial" w:eastAsia="Arial" w:hAnsi="Arial"/>
          <w:b/>
          <w:bCs/>
          <w:color w:val="2E75B6"/>
          <w:sz w:val="28"/>
          <w:szCs w:val="28"/>
        </w:rPr>
        <w:t xml:space="preserve">6.4 Signed Audit Bundles and Immutable Audit Log</w:t>
      </w:r>
    </w:p>
    <w:p>
      <w:pPr>
        <w:spacing w:before="0" w:after="200" w:line="276" w:lineRule="auto"/>
      </w:pPr>
      <w:r>
        <w:rPr>
          <w:rFonts w:ascii="Arial" w:cs="Arial" w:eastAsia="Arial" w:hAnsi="Arial"/>
          <w:color w:val="2C2C2C"/>
          <w:sz w:val="22"/>
          <w:szCs w:val="22"/>
        </w:rPr>
        <w:t xml:space="preserve">Signed audit bundles extend the existing SHA-256 integrity verification (WP-001, Section 9) with PKI-based digital signatures. At bundle generation time, the bundle is signed with a private key held by the ContextKeeper instance; the corresponding public key is published in a well-known location. Any third party can verify the signature without trusting the platform operator's claims about the bundle's integrity. This is the difference between the platform asserting that a bundle is unmodified and an independent party being able to verify it cryptographically.</w:t>
      </w:r>
    </w:p>
    <w:p>
      <w:pPr>
        <w:spacing w:before="80" w:after="0"/>
      </w:pPr>
    </w:p>
    <w:p>
      <w:pPr>
        <w:spacing w:before="0" w:after="200" w:line="276" w:lineRule="auto"/>
      </w:pPr>
      <w:r>
        <w:rPr>
          <w:rFonts w:ascii="Arial" w:cs="Arial" w:eastAsia="Arial" w:hAnsi="Arial"/>
          <w:color w:val="2C2C2C"/>
          <w:sz w:val="22"/>
          <w:szCs w:val="22"/>
        </w:rPr>
        <w:t xml:space="preserve">The immutable audit log addresses the highest-scrutiny requirement in regulated industries: proof that no actor can modify historical records after the fact. The append-only write pattern, enforced at the database level using MySQL triggers that reject UPDATE and DELETE operations on audit tables, prevents any modification to session logs, decisions, and invariant records once written. For the highest-scrutiny deployments, periodic hash anchoring to a public blockchain provides an independent external verification source that requires no trust in the platform operator.</w:t>
      </w:r>
    </w:p>
    <w:p>
      <w:pPr>
        <w:spacing w:before="80" w:after="0"/>
      </w:pPr>
    </w:p>
    <w:p>
      <w:pPr>
        <w:spacing w:before="0" w:after="200" w:line="276" w:lineRule="auto"/>
      </w:pPr>
      <w:r>
        <w:rPr>
          <w:rFonts w:ascii="Arial" w:cs="Arial" w:eastAsia="Arial" w:hAnsi="Arial"/>
          <w:color w:val="2C2C2C"/>
          <w:sz w:val="22"/>
          <w:szCs w:val="22"/>
        </w:rPr>
        <w:t xml:space="preserve">The Financial Services Audit Package generated by the compliance export system produces records in the format expected by FINRA Rule 4511 (books and records) and SEC Rule 17a-4 (electronic records retention requirements): immutable record attestations, timestamps in UTC ISO 8601 format with millisecond precision, operator identification on all recorded actions, and a record integrity verification statement derived from the cryptographic hash chain (WP-009, Section 6.2). Note: the SEC's proposed Predictive Data Analytics Rule (Rule 15l-2) was formally withdrawn on June 12, 2025; FINRA Regulatory Notice 24-09 (June 2024) and the FINRA 2026 Annual Regulatory Oversight Report (December 2025) are the current applicable guidance. MiFID II Article 16 documentation requirements apply to investment firms, not to developer tooling vendors; ContextKeeper helps financial services firms meet their MiFID II documentation obligations by providing verifiable audit trails for AI-assisted development processes.</w:t>
      </w:r>
    </w:p>
    <w:p>
      <w:pPr>
        <w:pStyle w:val="Heading2"/>
        <w:spacing w:before="240" w:after="80" w:line="276" w:lineRule="auto"/>
      </w:pPr>
      <w:r>
        <w:rPr>
          <w:rFonts w:ascii="Arial" w:cs="Arial" w:eastAsia="Arial" w:hAnsi="Arial"/>
          <w:b/>
          <w:bCs/>
          <w:color w:val="2E75B6"/>
          <w:sz w:val="28"/>
          <w:szCs w:val="28"/>
        </w:rPr>
        <w:t xml:space="preserve">6.5 ISO 42001 AI Management System</w:t>
      </w:r>
    </w:p>
    <w:p>
      <w:pPr>
        <w:spacing w:before="0" w:after="200" w:line="276" w:lineRule="auto"/>
      </w:pPr>
      <w:r>
        <w:rPr>
          <w:rFonts w:ascii="Arial" w:cs="Arial" w:eastAsia="Arial" w:hAnsi="Arial"/>
          <w:color w:val="2C2C2C"/>
          <w:sz w:val="22"/>
          <w:szCs w:val="22"/>
        </w:rPr>
        <w:t xml:space="preserve">ISO/IEC 42001:2023: the world's first certifiable AI management system standard, was published in December 2023 by the International Organization for Standardization. It provides a comprehensive framework for establishing, implementing, maintaining, and continually improving an AI management system, covering governance, risk management, transparency, accountability, and ethical use across the AI lifecycle through 38 distinct controls across 9 control objectives.</w:t>
      </w:r>
    </w:p>
    <w:p>
      <w:pPr>
        <w:spacing w:before="80" w:after="0"/>
      </w:pPr>
    </w:p>
    <w:p>
      <w:pPr>
        <w:spacing w:before="0" w:after="200" w:line="276" w:lineRule="auto"/>
      </w:pPr>
      <w:r>
        <w:rPr>
          <w:rFonts w:ascii="Arial" w:cs="Arial" w:eastAsia="Arial" w:hAnsi="Arial"/>
          <w:color w:val="2C2C2C"/>
          <w:sz w:val="22"/>
          <w:szCs w:val="22"/>
        </w:rPr>
        <w:t xml:space="preserve">ISO 42001 is the most strategically significant certification for ContextKeeper's competitive positioning because no current competitor holds it. Among early adopters: Microsoft obtained ISO 42001 certification for Microsoft 365 Copilot; KPMG U.S. obtained certification in November 2025 (among the first Big Four firms); Augment Code was the first AI coding assistant to obtain certification. ISO 42001 closely maps to EU AI Act requirements, particularly the technical documentation requirements of Article 11 and Annex IV, and the quality management system requirements of Article 17, positioning it as a practical pre-compliance pathway for enterprise customers preparing for August 2026 obligations.</w:t>
      </w:r>
    </w:p>
    <w:p>
      <w:pPr>
        <w:spacing w:before="0" w:after="200" w:line="276" w:lineRule="auto"/>
      </w:pPr>
      <w:r>
        <w:rPr>
          <w:rFonts w:ascii="Arial" w:hAnsi="Arial" w:eastAsia="Arial" w:cs="Arial"/>
          <w:color w:val="2C2C2C"/>
          <w:sz w:val="22"/>
          <w:szCs w:val="22"/>
        </w:rPr>
        <w:t xml:space="preserve">Additional notable ISO 42001 certifications as of March 2026: IBM Granite became the first major open-source AI model developer to obtain certification (IBM, via BSI); AWS received ISO 42001 certification for covered AI services (audited by Schellman); SAP Joule and SAP AI Core obtained certification; Anthropic received certification for Claude; Microsoft extended its initial M365 Copilot certification to Azure AI Foundry Models and Microsoft Security Copilot (announced February 2026). Across all seven named direct competitors (LangSmith, Arize AI, Langfuse, Helicone, CrewAI, Weights and Biases, Portkey), no ISO 42001 certification has been publicly announced as of March 2026. Note that Arize AI achieved ISO 27001 certification in October 2025, which narrows the compliance gap with ContextKeeper's peer set even without ISO 42001.</w:t>
      </w:r>
    </w:p>
    <w:p>
      <w:pPr>
        <w:spacing w:before="80" w:after="0"/>
      </w:pPr>
    </w:p>
    <w:p>
      <w:pPr>
        <w:spacing w:before="0" w:after="200" w:line="276" w:lineRule="auto"/>
      </w:pPr>
      <w:r>
        <w:rPr>
          <w:rFonts w:ascii="Arial" w:cs="Arial" w:eastAsia="Arial" w:hAnsi="Arial"/>
          <w:color w:val="2C2C2C"/>
          <w:sz w:val="22"/>
          <w:szCs w:val="22"/>
        </w:rPr>
        <w:t xml:space="preserve">The certification pathway for ContextKeeper is: (1) conduct an ISO 42001 gap analysis against existing DEL-v2 governance architecture; (2) implement the nine control objective areas (AI governance, AI risk management, AI system impact assessment, data governance for AI, AI transparency and explainability, human oversight, AI security, AI testing and performance monitoring, and third-party AI management); (3) engage an accredited certification body for third-party audit. The DEL-v2 state machine, invariant enforcement system, cryptographic audit trail, and the governance regression suite (Section 10.2) provide evidence for multiple control objectives directly. ISO 42001 certification achieved before any competitor would establish a durable compliance-credibility advantage in enterprise sales.</w:t>
      </w:r>
    </w:p>
    <w:p>
      <w:pPr>
        <w:spacing w:before="0" w:after="200" w:line="276" w:lineRule="auto"/>
      </w:pPr>
      <w:r>
        <w:rPr>
          <w:rFonts w:ascii="Arial" w:hAnsi="Arial" w:eastAsia="Arial" w:cs="Arial"/>
          <w:color w:val="2C2C2C"/>
          <w:sz w:val="22"/>
          <w:szCs w:val="22"/>
        </w:rPr>
        <w:t xml:space="preserve">The EU AI Act's General-Purpose AI (GPAI) Code of Practice was published July 10, 2025, and constitutes a practical compliance pathway for AI-powered platforms whose tooling invokes GPAI models. GPAI obligations under the EU AI Act took effect August 2, 2025; enforcement authority with fines up to 15 million euros or 3% of global annual turnover activates August 2, 2026 (subject to the Digital Omnibus package currently in EU legislative process, which if adopted would extend high-risk timelines). The Code has three chapters: Chapter 1 (transparency and copyright compliance obligations for all GPAI model providers), Chapter 2 (safety and security obligations for systemic-risk GPAI models), and Chapter 3 (governance and accountability mechanisms). Nearly 1,000 organizations participated in drafting. For ContextKeeper, the GPAI Code is relevant in two ways: first, customers using ContextKeeper governance for AI-assisted development workflows involving GPAI models may need to document their governance posture under Chapter 3's accountability mechanisms; second, ContextKeeper's DEL-v2 audit trail and invariant enforcement system provide the technical artifacts that GPAI accountability documentation requires. The compliance export system (Section 10.4) should include a GPAI accountability documentation template as a fourth export format.</w:t>
      </w:r>
    </w:p>
    <w:p>
      <w:pPr>
        <w:pStyle w:val="Heading1"/>
        <w:pageBreakBefore/>
        <w:spacing w:before="360" w:after="120" w:line="276" w:lineRule="auto"/>
      </w:pPr>
      <w:r>
        <w:rPr>
          <w:rFonts w:ascii="Arial" w:cs="Arial" w:eastAsia="Arial" w:hAnsi="Arial"/>
          <w:b/>
          <w:bCs/>
          <w:color w:val="1B2A4A"/>
          <w:sz w:val="36"/>
          <w:szCs w:val="36"/>
        </w:rPr>
        <w:t xml:space="preserve">7. Connector Ecosystem Extensions</w:t>
      </w:r>
    </w:p>
    <w:p>
      <w:pPr>
        <w:spacing w:before="0" w:after="200" w:line="276" w:lineRule="auto"/>
      </w:pPr>
      <w:r>
        <w:rPr>
          <w:rFonts w:ascii="Arial" w:cs="Arial" w:eastAsia="Arial" w:hAnsi="Arial"/>
          <w:color w:val="2C2C2C"/>
          <w:sz w:val="22"/>
          <w:szCs w:val="22"/>
        </w:rPr>
        <w:t xml:space="preserve">The connector ecosystem defined in WP-001 through WP-005 provides the tool access layer for agent execution. The extensions in this section address gaps in connector lifecycle management, discoverability, extensibility, and data governance not covered by the base connector architecture.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Extension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Mechanism</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health monitoring</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Scheduled background job tests each user's active connectors at a configurable interval (default: every 6 hours); sends alerts via in-app notification, email, or webhook when a connector returns an error or when credentials are within the configurable advance warning window</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Prevents agent failures caused by stale credentials or API changes; connector failures are discovered proactively rather than at agent execution time when they cause breaches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lineage tracking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Records which agent runs read from and wrote to which connectors, with timestamps and operation types (read/write/sync); stores lineage edges in a connector_lineage table linking agent_runs to connector operations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Complete data lineage from source connector through agent decision to output connector; a compliance requirement for regulated data pipelines and a debugging tool for unexpected agent outputs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marketplace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Third-party developers submit connector implementations following the ConnectorInterface specification; platform reviews and lists approved connectors; connector authors may charge a per-seat license fee with platform commission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Extends the connector ecosystem beyond the 67 platform-defined types without operator engineering effort; creates a long-tail of specialized connectors for niche data 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Semantic connector discovery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Embedding-based matching between user's natural language description of their data need and the capability descriptions of all configured connectors; returns a ranked list of compatible connectors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Reduces friction for users who know what data they need but not which connector provides it; especially valuable for users with many connectors configured across multiple projects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Bi-directional sync</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Write-back sync that pushes governed decisions and state changes back to source systems: log a decision to Notion, update a Jira ticket status when a task completes, create a GitHub issue on breach detection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Closes the loop between the platform's internal governance record and the external tools teams already use; makes governance outputs visible in existing workflows without requiring teams to adopt a new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permission audit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Periodic report showing every connector binding across all agents and projects, the permission level granted, and the last time each permission was exercised; flags connectors granted write permission that have never performed a write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Implements the principle of least privilege at the connector level; surfaces over-permissioned bindings before they become a security incident</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7.1 Connector Health Monitoring</w:t>
      </w:r>
    </w:p>
    <w:p>
      <w:pPr>
        <w:spacing w:before="0" w:after="200" w:line="276" w:lineRule="auto"/>
      </w:pPr>
      <w:r>
        <w:rPr>
          <w:rFonts w:ascii="Arial" w:cs="Arial" w:eastAsia="Arial" w:hAnsi="Arial"/>
          <w:color w:val="2C2C2C"/>
          <w:sz w:val="22"/>
          <w:szCs w:val="22"/>
        </w:rPr>
        <w:t xml:space="preserve">Connector health monitoring addresses a failure mode that affects every user running agents on schedules: the agent fails at execution time because a connector credential expired hours or days earlier, and no one was alerted. This is not a hypothetical edge case, it is the most common operational failure mode for agent systems that depend on OAuth tokens (which typically expire after 30-90 days without refresh) or API keys (which may have expiration policies set by the external service).</w:t>
      </w:r>
    </w:p>
    <w:p>
      <w:pPr>
        <w:spacing w:before="80" w:after="0"/>
      </w:pPr>
    </w:p>
    <w:p>
      <w:pPr>
        <w:spacing w:before="0" w:after="200" w:line="276" w:lineRule="auto"/>
      </w:pPr>
      <w:r>
        <w:rPr>
          <w:rFonts w:ascii="Arial" w:cs="Arial" w:eastAsia="Arial" w:hAnsi="Arial"/>
          <w:color w:val="2C2C2C"/>
          <w:sz w:val="22"/>
          <w:szCs w:val="22"/>
        </w:rPr>
        <w:t xml:space="preserve">The fix is a background job that tests each user's active connectors on a schedule by calling the connector's test() method and checking the return value. The test() method is already required by the ConnectorInterface specification; this feature requires no changes to the specification itself. The scheduler calls test() for all active connectors on a background process and routes alerts through the existing notification system. When a connector test fails or when a credential is within the configurable advance warning window, default: 30 days before expiry for OAuth tokens, 7 days for API keys, the platform alerts the user through configured notification channels (in-app, email, webhook).</w:t>
      </w:r>
    </w:p>
    <w:p>
      <w:pPr>
        <w:spacing w:before="80" w:after="0"/>
      </w:pPr>
    </w:p>
    <w:p>
      <w:pPr>
        <w:spacing w:before="0" w:after="200" w:line="276" w:lineRule="auto"/>
      </w:pPr>
      <w:r>
        <w:rPr>
          <w:rFonts w:ascii="Arial" w:cs="Arial" w:eastAsia="Arial" w:hAnsi="Arial"/>
          <w:color w:val="2C2C2C"/>
          <w:sz w:val="22"/>
          <w:szCs w:val="22"/>
        </w:rPr>
        <w:t xml:space="preserve">The advance warning window is configurable per connector type because different credential types have different lead times for renewal. OAuth tokens require the user to re-authenticate through the provider's authorization flow, which may involve multi-factor authentication and is not instantaneous. API keys can typically be regenerated and rotated in seconds but require updating the stored credential in the platform. The default windows (30 days for OAuth, 7 days for API keys) reflect these operational realities and give users sufficient runway to address the issue before it causes an agent execution failure.</w:t>
      </w:r>
    </w:p>
    <w:p>
      <w:pPr>
        <w:spacing w:before="80" w:after="0"/>
      </w:pPr>
    </w:p>
    <w:p>
      <w:pPr>
        <w:spacing w:before="0" w:after="200" w:line="276" w:lineRule="auto"/>
      </w:pPr>
      <w:r>
        <w:rPr>
          <w:rFonts w:ascii="Arial" w:cs="Arial" w:eastAsia="Arial" w:hAnsi="Arial"/>
          <w:color w:val="2C2C2C"/>
          <w:sz w:val="22"/>
          <w:szCs w:val="22"/>
        </w:rPr>
        <w:t xml:space="preserve">Implementation requires: a scheduler that runs the health check job every 6 hours (configurable per user); a results table storing the last test result and timestamp for each connector; a comparison against the expiry metadata stored when the credential was configured; and a routing layer that delivers alerts through the user's configured notification preferences. The job runs as a low-priority background process to avoid impacting agent execution performance.</w:t>
      </w:r>
    </w:p>
    <w:p>
      <w:pPr>
        <w:pStyle w:val="Heading2"/>
        <w:spacing w:before="240" w:after="80" w:line="276" w:lineRule="auto"/>
      </w:pPr>
      <w:r>
        <w:rPr>
          <w:rFonts w:ascii="Arial" w:cs="Arial" w:eastAsia="Arial" w:hAnsi="Arial"/>
          <w:b/>
          <w:bCs/>
          <w:color w:val="2E75B6"/>
          <w:sz w:val="28"/>
          <w:szCs w:val="28"/>
        </w:rPr>
        <w:t xml:space="preserve">7.2 Connector Marketplace</w:t>
      </w:r>
    </w:p>
    <w:p>
      <w:pPr>
        <w:spacing w:before="0" w:after="200" w:line="276" w:lineRule="auto"/>
      </w:pPr>
      <w:r>
        <w:rPr>
          <w:rFonts w:ascii="Arial" w:cs="Arial" w:eastAsia="Arial" w:hAnsi="Arial"/>
          <w:color w:val="2C2C2C"/>
          <w:sz w:val="22"/>
          <w:szCs w:val="22"/>
        </w:rPr>
        <w:t xml:space="preserve">The connector marketplace extends the 67-type connector catalog beyond what the ContextKeeper engineering team can build and maintain. Third-party developers who work with specialized data sources, niche databases, industry-specific APIs, internal enterprise systems, can implement the ConnectorInterface specification and submit their implementation for review. Approved connectors are listed in the marketplace with the author's name, documentation, and optionally a price.</w:t>
      </w:r>
    </w:p>
    <w:p>
      <w:pPr>
        <w:spacing w:before="80" w:after="0"/>
      </w:pPr>
    </w:p>
    <w:p>
      <w:pPr>
        <w:spacing w:before="0" w:after="200" w:line="276" w:lineRule="auto"/>
      </w:pPr>
      <w:r>
        <w:rPr>
          <w:rFonts w:ascii="Arial" w:cs="Arial" w:eastAsia="Arial" w:hAnsi="Arial"/>
          <w:color w:val="2C2C2C"/>
          <w:sz w:val="22"/>
          <w:szCs w:val="22"/>
        </w:rPr>
        <w:t xml:space="preserve">The connector marketplace creates the same long-tail dynamics as the agent blueprint marketplace defined in WP-005, Section 5: the catalog grows with community contributions, each new connector makes the platform more valuable for users with that data source, and more users create more incentive for authors to build connectors. The ConnectorInterface specification, six required methods: connect(), disconnect(), test(), read(), write(), and sync(), is the stable contract that enables this ecosystem. Third-party authors only need to implement these six methods and handle authentication and error handling for their specific data source.</w:t>
      </w:r>
    </w:p>
    <w:p>
      <w:pPr>
        <w:spacing w:before="80" w:after="0"/>
      </w:pPr>
    </w:p>
    <w:p>
      <w:pPr>
        <w:spacing w:before="0" w:after="200" w:line="276" w:lineRule="auto"/>
      </w:pPr>
      <w:r>
        <w:rPr>
          <w:rFonts w:ascii="Arial" w:cs="Arial" w:eastAsia="Arial" w:hAnsi="Arial"/>
          <w:color w:val="2C2C2C"/>
          <w:sz w:val="22"/>
          <w:szCs w:val="22"/>
        </w:rPr>
        <w:t xml:space="preserve">The review process for submitted connectors covers: security (no credential exfiltration, no undisclosed network calls, no persistence of data outside the connector's declared scope), functional correctness (all six required methods implemented and returning conformant response structures), documentation completeness (installation guide, authentication configuration, capability description), and performance (test() method returns in under 5 seconds under normal conditions). Approved connectors are listed within 5 business days of submission.</w:t>
      </w:r>
    </w:p>
    <w:p>
      <w:pPr>
        <w:spacing w:before="80" w:after="0"/>
      </w:pPr>
    </w:p>
    <w:p>
      <w:pPr>
        <w:spacing w:before="0" w:after="200" w:line="276" w:lineRule="auto"/>
      </w:pPr>
      <w:r>
        <w:rPr>
          <w:rFonts w:ascii="Arial" w:cs="Arial" w:eastAsia="Arial" w:hAnsi="Arial"/>
          <w:color w:val="2C2C2C"/>
          <w:sz w:val="22"/>
          <w:szCs w:val="22"/>
        </w:rPr>
        <w:t xml:space="preserve">The platform's commission structure for paid connectors is 20% of the author's listed price per seat per month, consistent with marketplace commission rates for developer tooling (Salesforce AppExchange takes 25%; JetBrains Marketplace takes 20%). Free connectors are listed at no cost to the author. Authors receive monthly payouts for the previous month's commissions via Stripe Connect.</w:t>
      </w:r>
    </w:p>
    <w:p>
      <w:pPr>
        <w:pStyle w:val="Heading2"/>
        <w:spacing w:before="240" w:after="80" w:line="276" w:lineRule="auto"/>
      </w:pPr>
      <w:r>
        <w:rPr>
          <w:rFonts w:ascii="Arial" w:cs="Arial" w:eastAsia="Arial" w:hAnsi="Arial"/>
          <w:b/>
          <w:bCs/>
          <w:color w:val="2E75B6"/>
          <w:sz w:val="28"/>
          <w:szCs w:val="28"/>
        </w:rPr>
        <w:t xml:space="preserve">7.3 Bi-Directional Sync and Data Lineage</w:t>
      </w:r>
    </w:p>
    <w:p>
      <w:pPr>
        <w:spacing w:before="0" w:after="200" w:line="276" w:lineRule="auto"/>
      </w:pPr>
      <w:r>
        <w:rPr>
          <w:rFonts w:ascii="Arial" w:cs="Arial" w:eastAsia="Arial" w:hAnsi="Arial"/>
          <w:color w:val="2C2C2C"/>
          <w:sz w:val="22"/>
          <w:szCs w:val="22"/>
        </w:rPr>
        <w:t xml:space="preserve">Bi-directional sync closes the loop between the platform's internal governance record and the external tools teams already use. The current sync capability is unidirectional: connectors pull data from external sources into the platform. Bi-directional sync adds write-back capability, turning the platform's governance events into triggers for external system updates.</w:t>
      </w:r>
    </w:p>
    <w:p>
      <w:pPr>
        <w:spacing w:before="80" w:after="0"/>
      </w:pPr>
    </w:p>
    <w:p>
      <w:pPr>
        <w:spacing w:before="0" w:after="200" w:line="276" w:lineRule="auto"/>
      </w:pPr>
      <w:r>
        <w:rPr>
          <w:rFonts w:ascii="Arial" w:cs="Arial" w:eastAsia="Arial" w:hAnsi="Arial"/>
          <w:color w:val="2C2C2C"/>
          <w:sz w:val="22"/>
          <w:szCs w:val="22"/>
        </w:rPr>
        <w:t xml:space="preserve">The write-back trigger architecture is event-driven. Governance events, decision logged, task completed, gate passed, gate failed, and breach detected, are published to an internal event bus. Write-back rules, configured per project, specify which events trigger which external actions. The rule definition includes: the trigger event type, the target connector and operation (write or sync), the data mapping (which governance event fields map to which external system fields), and the failure handling policy (retry with exponential backoff, alert on final failure, or continue silently). Example rules: 'When a decision is logged, write the decision summary and rationale to the linked Notion page for this project'; 'When a task completes, update the corresponding Jira ticket status to Done and add a comment with the final governance summary'; 'When a breach is detected, create a GitHub issue with the breach details and assign it to the project owner.'</w:t>
      </w:r>
    </w:p>
    <w:p>
      <w:pPr>
        <w:spacing w:before="80" w:after="0"/>
      </w:pPr>
    </w:p>
    <w:p>
      <w:pPr>
        <w:spacing w:before="0" w:after="200" w:line="276" w:lineRule="auto"/>
      </w:pPr>
      <w:r>
        <w:rPr>
          <w:rFonts w:ascii="Arial" w:cs="Arial" w:eastAsia="Arial" w:hAnsi="Arial"/>
          <w:color w:val="2C2C2C"/>
          <w:sz w:val="22"/>
          <w:szCs w:val="22"/>
        </w:rPr>
        <w:t xml:space="preserve">Data lineage tracking records the complete provenance of every data operation: which source connector provided the data, which agent processed it, which decision it influenced, and which output connector received the result. This lineage graph is stored in a connector_lineage table and is queryable from the platform dashboard and via the REST API. The connector_lineage schema includes: id, agent_run_id (foreign key), source_connector_id, source_operation_type (read/sync), source_timestamp, decision_id (nullable, links to the decision that used this data), output_connector_id (nullable), output_operation_type (write/sync), output_timestamp, and data_summary (a truncated descriptor of what data moved). For regulated data pipelines, lineage is a compliance requirement: auditors need to trace exactly how a specific data record was processed and by which AI model. ContextKeeper's existing structured logging makes lineage tracking a query over existing data rather than a new instrumentation effort.</w:t>
      </w:r>
    </w:p>
    <w:p>
      <w:pPr>
        <w:pStyle w:val="Heading1"/>
        <w:pageBreakBefore/>
        <w:spacing w:before="360" w:after="120" w:line="276" w:lineRule="auto"/>
      </w:pPr>
      <w:r>
        <w:rPr>
          <w:rFonts w:ascii="Arial" w:cs="Arial" w:eastAsia="Arial" w:hAnsi="Arial"/>
          <w:b/>
          <w:bCs/>
          <w:color w:val="1B2A4A"/>
          <w:sz w:val="36"/>
          <w:szCs w:val="36"/>
        </w:rPr>
        <w:t xml:space="preserve">8. Revenue Model Extensions</w:t>
      </w:r>
    </w:p>
    <w:p>
      <w:pPr>
        <w:spacing w:before="0" w:after="200" w:line="276" w:lineRule="auto"/>
      </w:pPr>
      <w:r>
        <w:rPr>
          <w:rFonts w:ascii="Arial" w:cs="Arial" w:eastAsia="Arial" w:hAnsi="Arial"/>
          <w:color w:val="2C2C2C"/>
          <w:sz w:val="22"/>
          <w:szCs w:val="22"/>
        </w:rPr>
        <w:t xml:space="preserve">The revenue model extensions defined in this section are additive to the four streams defined in WP-005, Section 6 (SaaS subscription, hosted execution credits, marketplace commission, and enterprise fleet management). Each extension either increases revenue per existing user or creates new revenue from segments not yet addressable by the existing model.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Revenue Extension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Mechanism</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Commercial Model</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White-label SDK licensing</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DEL-v2 governance layer packaged as a standalone SDK (contextkeeper-governance) that other AI tooling companies embed in their products; licensed per-seat or per-API-call</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B2B2B: tool vendors pay a license fee to add formal governance to their product; each vendor's user base becomes a revenue stream without direct sales to end users; priced at 10-20% of the vendor's per-seat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Annual pricing discount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Annual subscription option offered at the equivalent of 10 months of monthly pricing (2 months free); pre-payment improves cash flow and reduces monthly churn risk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Expected 30-40% of subscribers convert to annual when prominently offered (SaaS industry benchmark); annual subscribers exhibit 3-5x lower churn than monthly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pack add-ons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Curated connector bundles available as one-click unlocks: Data Stack Pack (BigQuery, Snowflake, Redshift, dbt, DuckDB), DevOps Pack (GitHub Actions, GitLab CI, Terraform, Vercel, Netlify), Communications Pack (Slack, Discord, Jira, Linear, PagerDuty)</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Each pack priced at $5-$15 per month; captures incremental revenue from users who need specific connectors outside their plan's limit without requiring a full tier upgrade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Usage-based overage billing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Instead of hard blocking at plan limits (API call count, connector count, agent run count), allow overages at a per-unit rate; user is notified before overage charges apply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Converts limit walls into upsell moments; overage rates set to make upgrading the economically rational choice at moderate overage volume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Referral credit program</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Each Pro or Team user receives a referral link; every new paid subscriber who uses their link generates execution credits for the referrer</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Lowers customer acquisition cost through organic growth; credits have near-zero marginal cost but high perceived value; creates retention incentive for both referrer and referred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Blueprint sponsorship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companies sponsor specific marketplace categories ('Powered by Snowflake' on all Data Warehouse blueprints); sponsors pay a monthly flat fee for category visibility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B2B advertising revenue from infrastructure vendors; sponsorship validates connector quality for buyers and creates a sales channel for the sponsor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Certification program</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Structured learning path covering DEL-v2 governance, connector configuration, agent design, and compliance reporting; online exam with proctoring option; certified practitioners listed in a public directory</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Recurring revenue from exam fees ($149-$249 per attempt); creates a practitioner community that becomes a sales channel; enterprises hiring certified practitioners become ContextKeeper customers</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8.1 White-Label SDK Licensing</w:t>
      </w:r>
    </w:p>
    <w:p>
      <w:pPr>
        <w:spacing w:before="0" w:after="200" w:line="276" w:lineRule="auto"/>
      </w:pPr>
      <w:r>
        <w:rPr>
          <w:rFonts w:ascii="Arial" w:cs="Arial" w:eastAsia="Arial" w:hAnsi="Arial"/>
          <w:color w:val="2C2C2C"/>
          <w:sz w:val="22"/>
          <w:szCs w:val="22"/>
        </w:rPr>
        <w:t xml:space="preserve">The white-label SDK is the highest-value revenue extension in this section because it creates a B2B2B revenue stream that scales with the partner's user base rather than ContextKeeper's own marketing reach. An AI coding assistant company that embeds the DEL-v2 governance SDK in their product delivers governance to their entire user base; ContextKeeper receives a per-seat license fee for each of those users without direct sales effort.</w:t>
      </w:r>
    </w:p>
    <w:p>
      <w:pPr>
        <w:spacing w:before="80" w:after="0"/>
      </w:pPr>
    </w:p>
    <w:p>
      <w:pPr>
        <w:spacing w:before="0" w:after="200" w:line="276" w:lineRule="auto"/>
      </w:pPr>
      <w:r>
        <w:rPr>
          <w:rFonts w:ascii="Arial" w:cs="Arial" w:eastAsia="Arial" w:hAnsi="Arial"/>
          <w:color w:val="2C2C2C"/>
          <w:sz w:val="22"/>
          <w:szCs w:val="22"/>
        </w:rPr>
        <w:t xml:space="preserve">The market data supports this model. Industry research on white-label SDK and API-first developer tool licensing shows: usage-based pricing is the dominant model, with companies reporting approximately 38% faster revenue growth versus traditional subscription peers (OpenView Partners SaaS Benchmarks); usage-based companies also show approximately 10 percentage-point higher net dollar retention (~120% versus ~110%) compared to flat-fee arrangements; revenue share arrangements in technology partnership deals typically range from 30-60% to the technology provider; minimum annual commitments for white-label arrangements range from $10,000-$100,000; and partner discounts are typically capped at 30-40% below standard market rates. The dominant hybrid model combines a base per-seat subscription with usage-based components for API calls and storage.</w:t>
      </w:r>
    </w:p>
    <w:p>
      <w:pPr>
        <w:spacing w:before="80" w:after="0"/>
      </w:pPr>
    </w:p>
    <w:p>
      <w:pPr>
        <w:spacing w:before="0" w:after="200" w:line="276" w:lineRule="auto"/>
      </w:pPr>
      <w:r>
        <w:rPr>
          <w:rFonts w:ascii="Arial" w:cs="Arial" w:eastAsia="Arial" w:hAnsi="Arial"/>
          <w:color w:val="2C2C2C"/>
          <w:sz w:val="22"/>
          <w:szCs w:val="22"/>
        </w:rPr>
        <w:t xml:space="preserve">The SDK packaging isolates the governance layer, state machine enforcement, cryptographic integrity, audit trail generation, and breach detection, from the rest of the platform, making it embeddable in any application with a well-defined API boundary. The SDK does not include connectors, the marketplace, or the dashboard; those remain platform-exclusive features that SDK licensees' users access by creating a ContextKeeper account. The SDK is the governance engine; the platform is the governance management interface. This design creates a natural upsell path: a developer who discovers ContextKeeper governance through an SDK-embedded partner tool and wants the full audit dashboard, connector ecosystem, and compliance reporting becomes a direct ContextKeeper subscriber.</w:t>
      </w:r>
    </w:p>
    <w:p>
      <w:pPr>
        <w:spacing w:before="80" w:after="0"/>
      </w:pPr>
    </w:p>
    <w:p>
      <w:pPr>
        <w:spacing w:before="0" w:after="200" w:line="276" w:lineRule="auto"/>
      </w:pPr>
      <w:r>
        <w:rPr>
          <w:rFonts w:ascii="Arial" w:cs="Arial" w:eastAsia="Arial" w:hAnsi="Arial"/>
          <w:color w:val="2C2C2C"/>
          <w:sz w:val="22"/>
          <w:szCs w:val="22"/>
        </w:rPr>
        <w:t xml:space="preserve">Target licensees are companies building AI coding assistants, agent frameworks, or MLOps platforms who want to offer governance as a feature without building it themselves. The sales motion is a partnership conversation: 'Your users want governance. We built the best governance layer in the market. License it rather than build it.' The value proposition is particularly strong for Cursor, Windsurf, and JetBrains, each has a large developer user base that would benefit from session-level governance without needing to build the DEL-v2 state machine, cryptographic bundle system, or invariant enforcement layer independently.</w:t>
      </w:r>
    </w:p>
    <w:p>
      <w:pPr>
        <w:pStyle w:val="Heading2"/>
        <w:spacing w:before="240" w:after="80" w:line="276" w:lineRule="auto"/>
      </w:pPr>
      <w:r>
        <w:rPr>
          <w:rFonts w:ascii="Arial" w:cs="Arial" w:eastAsia="Arial" w:hAnsi="Arial"/>
          <w:b/>
          <w:bCs/>
          <w:color w:val="2E75B6"/>
          <w:sz w:val="28"/>
          <w:szCs w:val="28"/>
        </w:rPr>
        <w:t xml:space="preserve">8.2 Annual Pricing and Overage Model</w:t>
      </w:r>
    </w:p>
    <w:p>
      <w:pPr>
        <w:spacing w:before="0" w:after="200" w:line="276" w:lineRule="auto"/>
      </w:pPr>
      <w:r>
        <w:rPr>
          <w:rFonts w:ascii="Arial" w:cs="Arial" w:eastAsia="Arial" w:hAnsi="Arial"/>
          <w:color w:val="2C2C2C"/>
          <w:sz w:val="22"/>
          <w:szCs w:val="22"/>
        </w:rPr>
        <w:t xml:space="preserve">Annual pricing is the lowest-effort, highest-return revenue extension in this paper. It requires only a Stripe configuration change: adding annual price objects for each subscription tier at the equivalent of 10 months of monthly billing. Expected conversion rates to annual plans among monthly subscribers, based on SaaS industry benchmarks, are 30-40% when the annual option is prominently offered. Annual subscribers have demonstrably lower churn rates, typically 2-3 times lower than monthly subscribers, because the commitment creates retention and because churning mid-year means forfeiting prepaid value.</w:t>
      </w:r>
    </w:p>
    <w:p>
      <w:pPr>
        <w:spacing w:before="80" w:after="0"/>
      </w:pPr>
    </w:p>
    <w:p>
      <w:pPr>
        <w:spacing w:before="0" w:after="200" w:line="276" w:lineRule="auto"/>
      </w:pPr>
      <w:r>
        <w:rPr>
          <w:rFonts w:ascii="Arial" w:cs="Arial" w:eastAsia="Arial" w:hAnsi="Arial"/>
          <w:color w:val="2C2C2C"/>
          <w:sz w:val="22"/>
          <w:szCs w:val="22"/>
        </w:rPr>
        <w:t xml:space="preserve">Usage-based overage billing replaces hard subscription limit walls with metered overages. A user who exceeds their plan's monthly agent run limit is charged a per-run overage rate rather than having runs blocked. The overage rate is set to make upgrading the rational economic choice at moderate overage volume (typically 1.5-2 times the effective per-run rate at the next tier), while still generating revenue from users who occasionally exceed their limits without needing a full tier upgrade. This model reduces churn caused by limit frustration while capturing incremental revenue from moderate overusers.</w:t>
      </w:r>
    </w:p>
    <w:p>
      <w:pPr>
        <w:spacing w:before="80" w:after="0"/>
      </w:pPr>
    </w:p>
    <w:p>
      <w:pPr>
        <w:spacing w:before="0" w:after="200" w:line="276" w:lineRule="auto"/>
      </w:pPr>
      <w:r>
        <w:rPr>
          <w:rFonts w:ascii="Arial" w:cs="Arial" w:eastAsia="Arial" w:hAnsi="Arial"/>
          <w:color w:val="2C2C2C"/>
          <w:sz w:val="22"/>
          <w:szCs w:val="22"/>
        </w:rPr>
        <w:t xml:space="preserve">The overage notification architecture requires one addition to the existing Stripe integration: a usage metering event published to Stripe each time a governed action (agent run, connector sync, bundle generation) occurs. Stripe's metered billing feature aggregates these events and calculates the overage charge at the end of the billing period. The platform sends a proactive alert when the user reaches 80% of their plan limit, and a final alert when the limit is reached with the per-unit overage rate clearly stated. This transparency is essential: surprise overage charges are a leading cause of SaaS churn. Informed users who choose to continue beyond their limit convert to higher tiers at substantially higher rates than users who are surprised by overage charges; proactive limit notifications are a validated retention lever in product-led growth practices.</w:t>
      </w:r>
    </w:p>
    <w:p>
      <w:pPr>
        <w:pStyle w:val="Heading2"/>
        <w:spacing w:before="240" w:after="80" w:line="276" w:lineRule="auto"/>
      </w:pPr>
      <w:r>
        <w:rPr>
          <w:rFonts w:ascii="Arial" w:cs="Arial" w:eastAsia="Arial" w:hAnsi="Arial"/>
          <w:b/>
          <w:bCs/>
          <w:color w:val="2E75B6"/>
          <w:sz w:val="28"/>
          <w:szCs w:val="28"/>
        </w:rPr>
        <w:t xml:space="preserve">8.3 Certification Program</w:t>
      </w:r>
    </w:p>
    <w:p>
      <w:pPr>
        <w:spacing w:before="0" w:after="200" w:line="276" w:lineRule="auto"/>
      </w:pPr>
      <w:r>
        <w:rPr>
          <w:rFonts w:ascii="Arial" w:cs="Arial" w:eastAsia="Arial" w:hAnsi="Arial"/>
          <w:color w:val="2C2C2C"/>
          <w:sz w:val="22"/>
          <w:szCs w:val="22"/>
        </w:rPr>
        <w:t xml:space="preserve">The ContextKeeper certification program creates a structured learning path and professional credential for practitioners who work with AI governance, agent deployment, and DEL-v2-governed engineering workflows. The curriculum covers four modules: DEL-v2 governance fundamentals (state machine, gates, invariants, breach handling), connector configuration and management (ConnectorInterface, BYOK, permission scoping, health monitoring), agent design and governance configuration (system prompt engineering, governance mode selection, invariant design, trigger architecture), and compliance and enterprise deployment (SOC 2 TSC criteria, HIPAA-eligible configuration requirements, audit bundle interpretation, immutable log requirements, ISO 42001 control mapping).</w:t>
      </w:r>
    </w:p>
    <w:p>
      <w:pPr>
        <w:spacing w:before="80" w:after="0"/>
      </w:pPr>
    </w:p>
    <w:p>
      <w:pPr>
        <w:spacing w:before="0" w:after="200" w:line="276" w:lineRule="auto"/>
      </w:pPr>
      <w:r>
        <w:rPr>
          <w:rFonts w:ascii="Arial" w:cs="Arial" w:eastAsia="Arial" w:hAnsi="Arial"/>
          <w:color w:val="2C2C2C"/>
          <w:sz w:val="22"/>
          <w:szCs w:val="22"/>
        </w:rPr>
        <w:t xml:space="preserve">The exam is administered online with an optional proctored option for enterprise customers who require verifiable certification for contractor qualification. Pricing at $149 per attempt (unproctored) and $249 (proctored) is consistent with comparable developer certification programs. A public directory of certified practitioners is maintained on contextkeeper.org/certified, allowing enterprises to search for certified contractors and consultants. Enterprises hiring certified practitioners become ContextKeeper customers as a direct consequence of the practitioners they bring on board, creating a practitioner-driven sales channel that compounds with the size of the certified population.</w:t>
      </w:r>
    </w:p>
    <w:p>
      <w:pPr>
        <w:spacing w:before="80" w:after="0"/>
      </w:pPr>
    </w:p>
    <w:p>
      <w:pPr>
        <w:spacing w:before="0" w:after="200" w:line="276" w:lineRule="auto"/>
      </w:pPr>
      <w:r>
        <w:rPr>
          <w:rFonts w:ascii="Arial" w:cs="Arial" w:eastAsia="Arial" w:hAnsi="Arial"/>
          <w:color w:val="2C2C2C"/>
          <w:sz w:val="22"/>
          <w:szCs w:val="22"/>
        </w:rPr>
        <w:t xml:space="preserve">Two certification tracks are defined: ContextKeeper Associate (CKA) covering the fundamentals module and connector configuration, targeting practitioners who use the platform as a governance tool; and ContextKeeper Professional (CKP) covering all four modules including enterprise compliance, targeting architects and compliance engineers who design and deploy governance infrastructure for organizations. The CKP track is a prerequisite for the Implementation Partner Program (Section 10.3).</w:t>
      </w:r>
    </w:p>
    <w:p>
      <w:pPr>
        <w:pStyle w:val="Heading1"/>
        <w:pageBreakBefore/>
        <w:spacing w:before="360" w:after="120" w:line="276" w:lineRule="auto"/>
      </w:pPr>
      <w:r>
        <w:rPr>
          <w:rFonts w:ascii="Arial" w:cs="Arial" w:eastAsia="Arial" w:hAnsi="Arial"/>
          <w:b/>
          <w:bCs/>
          <w:color w:val="1B2A4A"/>
          <w:sz w:val="36"/>
          <w:szCs w:val="36"/>
        </w:rPr>
        <w:t xml:space="preserve">9. Community and Ecosystem Programs</w:t>
      </w:r>
    </w:p>
    <w:p>
      <w:pPr>
        <w:spacing w:before="0" w:after="200" w:line="276" w:lineRule="auto"/>
      </w:pPr>
      <w:r>
        <w:rPr>
          <w:rFonts w:ascii="Arial" w:cs="Arial" w:eastAsia="Arial" w:hAnsi="Arial"/>
          <w:color w:val="2C2C2C"/>
          <w:sz w:val="22"/>
          <w:szCs w:val="22"/>
        </w:rPr>
        <w:t xml:space="preserve">Community programs create engagement surfaces that compound the value of the marketplace and the platform over time. They are not marketing programs in the traditional sense; they are structural mechanisms that align individual participants' incentives with platform growth.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Program</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Structure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Platform Benefit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Creator revenue share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Top marketplace creators (by uses_count and avg_rating over a trailing 90-day period) receive a monthly revenue share payment based on the subscription conversions their blueprints demonstrably drove (tracked via referral link embedded in blueprint view pages)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Aligns creator incentives with platform growth; converts creators from voluntary contributors into economically motivated advocates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Community forum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Threaded discussion attached to each marketplace blueprint; separate category channels for governance questions, connector troubleshooting, agent design patterns, and compliance use cases; moderated by ContextKeeper team and community moderators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Extends the value of each blueprint beyond the configuration itself; converts the marketplace from a static catalog into a living community; reduces support load by enabling peer-to-peer problem solving</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design competitions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Periodic challenges with defined problem statements (best data pipeline agent, most efficient RAG agent, most creative governance configuration); winners featured on the platform homepage and receive execution credits and marketplace promotional placement</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Drives engagement; surfaces power users who become advocates; generates new high-quality blueprints; provides content for blog posts and social 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 Champions program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Invitation-only program for top contributors: early access to new features, private Discord channel with the engineering team, co-authorship credit on platform intelligence reports, speaking opportunities at virtual events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Creates a high-engagement inner circle; champions provide high-quality feedback before public release; their advocacy carries credibility with developer audiences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Academic partnership program</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Partnership with university AI and software engineering programs to use ContextKeeper as a teaching tool for AI governance; academic licenses at no cost; curriculum materials provided</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Builds the next generation of practitioners trained on ContextKeeper governance norms; academic partners publish research using the platform, generating citations and awareness</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9.1 Creator Revenue Share</w:t>
      </w:r>
    </w:p>
    <w:p>
      <w:pPr>
        <w:spacing w:before="0" w:after="200" w:line="276" w:lineRule="auto"/>
      </w:pPr>
      <w:r>
        <w:rPr>
          <w:rFonts w:ascii="Arial" w:cs="Arial" w:eastAsia="Arial" w:hAnsi="Arial"/>
          <w:color w:val="2C2C2C"/>
          <w:sz w:val="22"/>
          <w:szCs w:val="22"/>
        </w:rPr>
        <w:t xml:space="preserve">The creator revenue share program is the most structurally important community initiative because it converts top marketplace contributors from voluntary participants into economically motivated advocates. The program tracks subscription conversions attributable to specific blueprints using referral links embedded in blueprint view pages. When a user views a blueprint and subsequently subscribes, the blueprint's author receives a revenue share payment for a defined attribution window of 90 days from the first view.</w:t>
      </w:r>
    </w:p>
    <w:p>
      <w:pPr>
        <w:spacing w:before="80" w:after="0"/>
      </w:pPr>
    </w:p>
    <w:p>
      <w:pPr>
        <w:spacing w:before="0" w:after="200" w:line="276" w:lineRule="auto"/>
      </w:pPr>
      <w:r>
        <w:rPr>
          <w:rFonts w:ascii="Arial" w:cs="Arial" w:eastAsia="Arial" w:hAnsi="Arial"/>
          <w:color w:val="2C2C2C"/>
          <w:sz w:val="22"/>
          <w:szCs w:val="22"/>
        </w:rPr>
        <w:t xml:space="preserve">The revenue share percentage is calibrated to be meaningful to creators while not cannibalizing the platform's economics. A rate of 20-25% of the first year's subscription value per attributed conversion is consistent with creator economy programs. A creator whose blueprints drive 10 Pro subscriptions ($12/month each) per month earns $24-$30 per month in additional revenue, modest in absolute terms but meaningful for the practitioner audience who creates governance blueprints as a professional activity. Creators who drive Team tier subscriptions ($29/user/month) at similar volumes earn proportionally more.</w:t>
      </w:r>
    </w:p>
    <w:p>
      <w:pPr>
        <w:spacing w:before="80" w:after="0"/>
      </w:pPr>
    </w:p>
    <w:p>
      <w:pPr>
        <w:spacing w:before="0" w:after="200" w:line="276" w:lineRule="auto"/>
      </w:pPr>
      <w:r>
        <w:rPr>
          <w:rFonts w:ascii="Arial" w:cs="Arial" w:eastAsia="Arial" w:hAnsi="Arial"/>
          <w:color w:val="2C2C2C"/>
          <w:sz w:val="22"/>
          <w:szCs w:val="22"/>
        </w:rPr>
        <w:t xml:space="preserve">The attribution model uses a last-touch-first-view approach: the most recent blueprint view within the 90-day attribution window receives full credit for a conversion. This incentivizes creators to produce blueprints that are genuinely compelling rather than relying on early discovery. The attribution data is available to creators in their marketplace dashboard, showing view counts, conversion rates, and monthly revenue share accruals. Payouts are processed monthly via Stripe Connect with a 30-day delay to account for subscription refunds and chargebacks.</w:t>
      </w:r>
    </w:p>
    <w:p>
      <w:pPr>
        <w:spacing w:before="80" w:after="0"/>
      </w:pPr>
    </w:p>
    <w:p>
      <w:pPr>
        <w:spacing w:before="0" w:after="200" w:line="276" w:lineRule="auto"/>
      </w:pPr>
      <w:r>
        <w:rPr>
          <w:rFonts w:ascii="Arial" w:cs="Arial" w:eastAsia="Arial" w:hAnsi="Arial"/>
          <w:color w:val="2C2C2C"/>
          <w:sz w:val="22"/>
          <w:szCs w:val="22"/>
        </w:rPr>
        <w:t xml:space="preserve">The program automatically qualifies creators based on trailing 90-day performance metrics. Creators whose blueprints have been used (instantiated) 10 or more times and maintain an average rating of 4.0 or higher across at least 5 ratings enter the revenue share program without application. This automatic qualification mechanism prevents the program from becoming a bureaucratic hurdle while ensuring that only blueprints with demonstrated quality and adoption generate revenue share payments.</w:t>
      </w:r>
    </w:p>
    <w:p>
      <w:pPr>
        <w:pStyle w:val="Heading2"/>
        <w:spacing w:before="240" w:after="80" w:line="276" w:lineRule="auto"/>
      </w:pPr>
      <w:r>
        <w:rPr>
          <w:rFonts w:ascii="Arial" w:cs="Arial" w:eastAsia="Arial" w:hAnsi="Arial"/>
          <w:b/>
          <w:bCs/>
          <w:color w:val="2E75B6"/>
          <w:sz w:val="28"/>
          <w:szCs w:val="28"/>
        </w:rPr>
        <w:t xml:space="preserve">9.2 Community Forum and Discussion Layer</w:t>
      </w:r>
    </w:p>
    <w:p>
      <w:pPr>
        <w:spacing w:before="0" w:after="200" w:line="276" w:lineRule="auto"/>
      </w:pPr>
      <w:r>
        <w:rPr>
          <w:rFonts w:ascii="Arial" w:cs="Arial" w:eastAsia="Arial" w:hAnsi="Arial"/>
          <w:color w:val="2C2C2C"/>
          <w:sz w:val="22"/>
          <w:szCs w:val="22"/>
        </w:rPr>
        <w:t xml:space="preserve">The community forum addresses the support and knowledge-sharing gap that emerges as the user base grows beyond a size that the engineering team can serve directly. A threaded discussion layer attached to each marketplace blueprint allows users to ask questions about specific agent configurations, share modifications and forks, and report issues; creators respond and build a support reputation that compounds their rating signal.</w:t>
      </w:r>
    </w:p>
    <w:p>
      <w:pPr>
        <w:spacing w:before="80" w:after="0"/>
      </w:pPr>
    </w:p>
    <w:p>
      <w:pPr>
        <w:spacing w:before="0" w:after="200" w:line="276" w:lineRule="auto"/>
      </w:pPr>
      <w:r>
        <w:rPr>
          <w:rFonts w:ascii="Arial" w:cs="Arial" w:eastAsia="Arial" w:hAnsi="Arial"/>
          <w:color w:val="2C2C2C"/>
          <w:sz w:val="22"/>
          <w:szCs w:val="22"/>
        </w:rPr>
        <w:t xml:space="preserve">The forum is implemented as an embedded community tool hosted at community.contextkeeper.org. Single sign-on with the platform account means users do not need a separate account. The technical implementation options are: Discourse (the industry standard for developer community forums; used by Docker, Rust, and Kubernetes), Flarum (a lighter-weight PHP-based alternative that integrates more naturally with the existing PHP/MySQL architecture), or a custom implementation that trades flexibility for tighter integration with the platform's user model and notification system.</w:t>
      </w:r>
    </w:p>
    <w:p>
      <w:pPr>
        <w:spacing w:before="80" w:after="0"/>
      </w:pPr>
    </w:p>
    <w:p>
      <w:pPr>
        <w:spacing w:before="0" w:after="200" w:line="276" w:lineRule="auto"/>
      </w:pPr>
      <w:r>
        <w:rPr>
          <w:rFonts w:ascii="Arial" w:cs="Arial" w:eastAsia="Arial" w:hAnsi="Arial"/>
          <w:color w:val="2C2C2C"/>
          <w:sz w:val="22"/>
          <w:szCs w:val="22"/>
        </w:rPr>
        <w:t xml:space="preserve">Forum activity feeds into creator reputation metrics through a structured scoring system. A creator who answers a question and receives positive votes earns a 'Responsive Creator' signal that appears on their marketplace profile. Questions that remain unanswered after 72 hours are flagged to the ContextKeeper support team for direct response, ensuring that no question goes unanswered for more than 72 hours. This response time commitment is a credibility signal for enterprise buyers evaluating the platform's support quality.</w:t>
      </w:r>
    </w:p>
    <w:p>
      <w:pPr>
        <w:spacing w:before="80" w:after="0"/>
      </w:pPr>
    </w:p>
    <w:p>
      <w:pPr>
        <w:spacing w:before="0" w:after="200" w:line="276" w:lineRule="auto"/>
      </w:pPr>
      <w:r>
        <w:rPr>
          <w:rFonts w:ascii="Arial" w:cs="Arial" w:eastAsia="Arial" w:hAnsi="Arial"/>
          <w:color w:val="2C2C2C"/>
          <w:sz w:val="22"/>
          <w:szCs w:val="22"/>
        </w:rPr>
        <w:t xml:space="preserve">Moderation is handled by a tiered volunteer system: Community Moderators (appointed based on tenure and contribution quality) handle content moderation and spam removal; Technical Moderators (certified ContextKeeper Associates or Professionals) handle technical triage and escalation to the engineering team; ContextKeeper staff handle anything that requires platform access or security response. Moderators receive execution credit compensation at a rate that reflects the value of their contribution without creating a direct financial dependency.</w:t>
      </w:r>
    </w:p>
    <w:p>
      <w:pPr>
        <w:pStyle w:val="Heading2"/>
        <w:spacing w:before="240" w:after="80" w:line="276" w:lineRule="auto"/>
      </w:pPr>
      <w:r>
        <w:rPr>
          <w:rFonts w:ascii="Arial" w:cs="Arial" w:eastAsia="Arial" w:hAnsi="Arial"/>
          <w:b/>
          <w:bCs/>
          <w:color w:val="2E75B6"/>
          <w:sz w:val="28"/>
          <w:szCs w:val="28"/>
        </w:rPr>
        <w:t xml:space="preserve">9.3 Academic Partnership Program</w:t>
      </w:r>
    </w:p>
    <w:p>
      <w:pPr>
        <w:spacing w:before="0" w:after="200" w:line="276" w:lineRule="auto"/>
      </w:pPr>
      <w:r>
        <w:rPr>
          <w:rFonts w:ascii="Arial" w:cs="Arial" w:eastAsia="Arial" w:hAnsi="Arial"/>
          <w:color w:val="2C2C2C"/>
          <w:sz w:val="22"/>
          <w:szCs w:val="22"/>
        </w:rPr>
        <w:t xml:space="preserve">University AI and software engineering programs need practical tooling for teaching AI governance, agent deployment, and formal verification of AI-assisted engineering workflows. ContextKeeper provides a uniquely appropriate pedagogical tool: the DEL-v2 state machine is a concrete, implementable governance protocol; the invariant registry is a formal specification exercise; the delivery contract is a requirements engineering discipline; and the multi-agent role separation is a software architecture principle. These concepts map directly to topics covered in software engineering, AI safety, and formal methods courses.</w:t>
      </w:r>
    </w:p>
    <w:p>
      <w:pPr>
        <w:spacing w:before="80" w:after="0"/>
      </w:pPr>
    </w:p>
    <w:p>
      <w:pPr>
        <w:spacing w:before="0" w:after="200" w:line="276" w:lineRule="auto"/>
      </w:pPr>
      <w:r>
        <w:rPr>
          <w:rFonts w:ascii="Arial" w:cs="Arial" w:eastAsia="Arial" w:hAnsi="Arial"/>
          <w:color w:val="2C2C2C"/>
          <w:sz w:val="22"/>
          <w:szCs w:val="22"/>
        </w:rPr>
        <w:t xml:space="preserve">Academic licenses are provided at no cost to accredited institutions with a signed academic partnership agreement. The agreement grants: unlimited student accounts for course duration, full Pro-tier feature access for enrolled students, dedicated academic support channel, and curriculum materials developed by ContextKeeper covering governance protocol design, agent architecture, and compliance engineering. In exchange, academic partners commit to: incorporating ContextKeeper into at least one course per academic year, providing anonymized student usage data for platform improvement (with student consent), and making best efforts to co-author research publications using the platform.</w:t>
      </w:r>
    </w:p>
    <w:p>
      <w:pPr>
        <w:spacing w:before="80" w:after="0"/>
      </w:pPr>
    </w:p>
    <w:p>
      <w:pPr>
        <w:spacing w:before="0" w:after="200" w:line="276" w:lineRule="auto"/>
      </w:pPr>
      <w:r>
        <w:rPr>
          <w:rFonts w:ascii="Arial" w:cs="Arial" w:eastAsia="Arial" w:hAnsi="Arial"/>
          <w:color w:val="2C2C2C"/>
          <w:sz w:val="22"/>
          <w:szCs w:val="22"/>
        </w:rPr>
        <w:t xml:space="preserve">The research publication commitment creates the most durable value. Academic citations are permanent records in Google Scholar, indexed and discoverable indefinitely. A paper published in a peer-reviewed AI engineering or software engineering venue that uses ContextKeeper as its governance platform and cites DEL-v2 as a protocol creates a citation that will surface in perpetuity when researchers search for AI governance approaches. The academic partnership program is structured to generate a minimum of one citable research output per partner per year, creating a growing body of academic literature that establishes ContextKeeper's intellectual contribution to the field.</w:t>
      </w:r>
    </w:p>
    <w:p>
      <w:pPr>
        <w:spacing w:before="80" w:after="0"/>
      </w:pPr>
    </w:p>
    <w:p>
      <w:pPr>
        <w:spacing w:before="0" w:after="200" w:line="276" w:lineRule="auto"/>
      </w:pPr>
      <w:r>
        <w:rPr>
          <w:rFonts w:ascii="Arial" w:cs="Arial" w:eastAsia="Arial" w:hAnsi="Arial"/>
          <w:color w:val="2C2C2C"/>
          <w:sz w:val="22"/>
          <w:szCs w:val="22"/>
        </w:rPr>
        <w:t xml:space="preserve">Target partner institutions are those with active AI safety research programs, software engineering graduate programs, or professional graduate programs in data science and ML engineering. Initial outreach targets Computer Science departments at R1 research universities and professional programs at institutions with strong industry placement rates in software engineering and AI engineering roles.</w:t>
      </w:r>
    </w:p>
    <w:p>
      <w:pPr>
        <w:pStyle w:val="Heading1"/>
        <w:pageBreakBefore/>
        <w:spacing w:before="360" w:after="120" w:line="276" w:lineRule="auto"/>
      </w:pPr>
      <w:r>
        <w:rPr>
          <w:rFonts w:ascii="Arial" w:cs="Arial" w:eastAsia="Arial" w:hAnsi="Arial"/>
          <w:b/>
          <w:bCs/>
          <w:color w:val="1B2A4A"/>
          <w:sz w:val="36"/>
          <w:szCs w:val="36"/>
        </w:rPr>
        <w:t xml:space="preserve">10. Content, Partner, and Publication Strategy</w:t>
      </w:r>
    </w:p>
    <w:p>
      <w:pPr>
        <w:spacing w:before="0" w:after="200" w:line="276" w:lineRule="auto"/>
      </w:pPr>
      <w:r>
        <w:rPr>
          <w:rFonts w:ascii="Arial" w:cs="Arial" w:eastAsia="Arial" w:hAnsi="Arial"/>
          <w:color w:val="2C2C2C"/>
          <w:sz w:val="22"/>
          <w:szCs w:val="22"/>
        </w:rPr>
        <w:t xml:space="preserve">Content and publication strategy addresses the discoverability gap: ContextKeeper's technical depth and the DEL-v2 governance protocol are not visible to developers who have not specifically encountered the platform. The publications and content channels defined in this section create permanent, searchable assets that surface ContextKeeper to developers experiencing the problems the platform solves.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Channel</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Content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Expected Outcome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contextkeeper.org/whitepapers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white papers published as PDFs with abstract and download; SEO-optimized landing page per paper</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Long-form content marketing targeting technical decision-makers searching for AI governance, agent compliance, and context management; each paper is a permanent organic search asset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arXiv (cs.SE or cs.AI)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WP-001 submitted as a formal technical report; DOI assigned; citable in academic literature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Establishes DEL-v2 as a named, citable protocol; positions ContextKeeper as an academic prior art holder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Hugging Face Spaces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public Space demonstrating DEL-v2 governance on a live agent task; shows breach detection, audit trail, and multi-agent role separation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Reaches every Hugging Face visitor evaluating agent tooling; provides a frictionless first experience with zero signup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DataDedicated.com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Technical articles covering specific failure modes with ContextKeeper solutions; internal links to platform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Author's professional portfolio site becomes top-of-funnel content channel; each article targets a specific developer pain point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 reference implementation (GitHub)</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Open-source release of bridge_snapshot.ps1, handoff-sync.test.js, and WORKFLOW.md under MIT or Apache 2.0</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Developer awareness through GitHub discovery; establishes the protocol in the community before competitors can name the governance space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LangChain and LlamaIndex documentation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Contributed examples showing contextkeeper-langchain and contextkeeper-llamaindex usage in official documentation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Discovery from every developer reading LangChain or LlamaIndex documentation while evaluating agent tooling; the highest-traffic developer documentation in the open-source AI ecosystem</w:t>
            </w:r>
          </w:p>
        </w:tc>
      </w:tr>
    </w:tbl>
    <w:p>
      <w:pPr>
        <w:spacing w:before="120" w:after="0"/>
      </w:pPr>
    </w:p>
    <w:p>
      <w:pPr>
        <w:spacing w:before="0" w:after="200" w:line="276" w:lineRule="auto"/>
      </w:pPr>
      <w:r>
        <w:rPr>
          <w:rFonts w:ascii="Arial" w:cs="Arial" w:eastAsia="Arial" w:hAnsi="Arial"/>
          <w:color w:val="2C2C2C"/>
          <w:sz w:val="22"/>
          <w:szCs w:val="22"/>
        </w:rPr>
        <w:t xml:space="preserve">The white paper series (WP-001 through WP-007) is the most valuable content asset in the publication strategy because it is already written and already meets the quality standard required for technical audiences. Publishing the papers on contextkeeper.org/whitepapers requires only a web page with abstract summaries and PDF download links. Each paper is independently searchable.</w:t>
      </w:r>
    </w:p>
    <w:p>
      <w:pPr>
        <w:pStyle w:val="Heading2"/>
        <w:spacing w:before="240" w:after="80" w:line="276" w:lineRule="auto"/>
      </w:pPr>
      <w:r>
        <w:rPr>
          <w:rFonts w:ascii="Arial" w:cs="Arial" w:eastAsia="Arial" w:hAnsi="Arial"/>
          <w:b/>
          <w:bCs/>
          <w:color w:val="2E75B6"/>
          <w:sz w:val="28"/>
          <w:szCs w:val="28"/>
        </w:rPr>
        <w:t xml:space="preserve">10.1 Natural Language Governance Interface</w:t>
      </w:r>
    </w:p>
    <w:p>
      <w:pPr>
        <w:spacing w:before="0" w:after="200" w:line="276" w:lineRule="auto"/>
      </w:pPr>
      <w:r>
        <w:rPr>
          <w:rFonts w:ascii="Arial" w:cs="Arial" w:eastAsia="Arial" w:hAnsi="Arial"/>
          <w:color w:val="2C2C2C"/>
          <w:sz w:val="22"/>
          <w:szCs w:val="22"/>
        </w:rPr>
        <w:t xml:space="preserve">The natural language governance interface is the evolution of the ContextKeeper governance model from configuration-driven to intent-driven. In the current architecture, governance is configured through structured fields: governance_config JSON objects, explicit invariant statements, and enumerated gate conditions. This structure is correct for precision but creates a friction barrier for non-technical stakeholders who need to express governance intent without learning the platform's configuration vocabulary.</w:t>
      </w:r>
    </w:p>
    <w:p>
      <w:pPr>
        <w:spacing w:before="80" w:after="0"/>
      </w:pPr>
    </w:p>
    <w:p>
      <w:pPr>
        <w:spacing w:before="0" w:after="200" w:line="276" w:lineRule="auto"/>
      </w:pPr>
      <w:r>
        <w:rPr>
          <w:rFonts w:ascii="Arial" w:cs="Arial" w:eastAsia="Arial" w:hAnsi="Arial"/>
          <w:color w:val="2C2C2C"/>
          <w:sz w:val="22"/>
          <w:szCs w:val="22"/>
        </w:rPr>
        <w:t xml:space="preserve">The natural language governance interface allows a compliance officer to write 'this agent must never include personally identifiable information in its responses' and have the platform parse that statement into a structured invariant, suggest a verification mechanism (regex match, classifier check, or LLM-based gate), and present the structured result for confirmation before writing it to the invariants table. The human remains in the confirmation loop; the platform provides the translation.</w:t>
      </w:r>
    </w:p>
    <w:p>
      <w:pPr>
        <w:spacing w:before="80" w:after="0"/>
      </w:pPr>
    </w:p>
    <w:p>
      <w:pPr>
        <w:spacing w:before="0" w:after="200" w:line="276" w:lineRule="auto"/>
      </w:pPr>
      <w:r>
        <w:rPr>
          <w:rFonts w:ascii="Arial" w:cs="Arial" w:eastAsia="Arial" w:hAnsi="Arial"/>
          <w:color w:val="2C2C2C"/>
          <w:sz w:val="22"/>
          <w:szCs w:val="22"/>
        </w:rPr>
        <w:t xml:space="preserve">The NLP parsing pipeline for governance intent uses a three-stage process. Stage 1: Intent classification: the input text is classified into one of five governance intent categories: prohibition (must never), requirement (must always), threshold (must not exceed or fall below a quantitative bound), dependency (must only occur after another condition), or approval (must wait for human confirmation). Stage 2: Structured extraction: the classified intent is parsed for its subject (what the agent is doing), constraint (the condition being imposed), and scope (whether the constraint applies to all runs, specific trigger types, or specific connector operations). Stage 3: Verification method suggestion: based on the constraint type, the system suggests one or more verification mechanisms from the platform's gate evaluation library.</w:t>
      </w:r>
    </w:p>
    <w:p>
      <w:pPr>
        <w:pBdr>
          <w:left w:val="single" w:color="2E75B6" w:sz="6" w:space="8"/>
        </w:pBdr>
        <w:spacing w:before="120" w:after="120"/>
        <w:ind w:left="720"/>
      </w:pPr>
      <w:r>
        <w:rPr>
          <w:rFonts w:ascii="Arial" w:cs="Arial" w:eastAsia="Arial" w:hAnsi="Arial"/>
          <w:i/>
          <w:iCs/>
          <w:color w:val="555555"/>
          <w:sz w:val="22"/>
          <w:szCs w:val="22"/>
        </w:rPr>
        <w:t xml:space="preserve">Natural language governance input does not bypass the structured invariant schema. Every governance statement entered in natural language ultimately produces a structured invariant record with the same schema, verification mechanism, and enforcement properties as a manually configured invariant. The natural language interface is a configuration accelerator, not a governance shortcut.</w:t>
      </w:r>
    </w:p>
    <w:p>
      <w:pPr>
        <w:spacing w:before="0" w:after="200" w:line="276" w:lineRule="auto"/>
      </w:pPr>
      <w:r>
        <w:rPr>
          <w:rFonts w:ascii="Arial" w:cs="Arial" w:eastAsia="Arial" w:hAnsi="Arial"/>
          <w:color w:val="2C2C2C"/>
          <w:sz w:val="22"/>
          <w:szCs w:val="22"/>
        </w:rPr>
        <w:t xml:space="preserve">The implementation adds a governance_intent_parser endpoint to the API (/api/v1/agents/:id/parse-governance-intent, POST) that accepts a natural language statement and returns a structured governance proposal for operator review. The endpoint requires authentication and is rate-limited. It does not write to the invariants table; it returns a proposal that the operator must explicitly confirm via a separate /agents/:id/invariants POST call.</w:t>
      </w:r>
    </w:p>
    <w:p>
      <w:pPr>
        <w:pStyle w:val="Heading2"/>
        <w:spacing w:before="240" w:after="80" w:line="276" w:lineRule="auto"/>
      </w:pPr>
      <w:r>
        <w:rPr>
          <w:rFonts w:ascii="Arial" w:cs="Arial" w:eastAsia="Arial" w:hAnsi="Arial"/>
          <w:b/>
          <w:bCs/>
          <w:color w:val="2E75B6"/>
          <w:sz w:val="28"/>
          <w:szCs w:val="28"/>
        </w:rPr>
        <w:t xml:space="preserve">10.2 Governance Regression Suite</w:t>
      </w:r>
    </w:p>
    <w:p>
      <w:pPr>
        <w:spacing w:before="0" w:after="200" w:line="276" w:lineRule="auto"/>
      </w:pPr>
      <w:r>
        <w:rPr>
          <w:rFonts w:ascii="Arial" w:cs="Arial" w:eastAsia="Arial" w:hAnsi="Arial"/>
          <w:color w:val="2C2C2C"/>
          <w:sz w:val="22"/>
          <w:szCs w:val="22"/>
        </w:rPr>
        <w:t xml:space="preserve">The governance regression suite is the automated testing infrastructure that verifies an agent's governance properties remain intact after any modification to its definition, connector bindings, or invariant set. It addresses the most dangerous failure mode in iterative agent development: a prompt or configuration change that inadvertently weakens governance, allowing previously blocked outputs to pass, or previously required gate conditions to be skipped, without the operator detecting the regression until a breach occurs in production.</w:t>
      </w:r>
    </w:p>
    <w:p>
      <w:pPr>
        <w:spacing w:before="80" w:after="0"/>
      </w:pPr>
    </w:p>
    <w:p>
      <w:pPr>
        <w:spacing w:before="0" w:after="200" w:line="276" w:lineRule="auto"/>
      </w:pPr>
      <w:r>
        <w:rPr>
          <w:rFonts w:ascii="Arial" w:cs="Arial" w:eastAsia="Arial" w:hAnsi="Arial"/>
          <w:color w:val="2C2C2C"/>
          <w:sz w:val="22"/>
          <w:szCs w:val="22"/>
        </w:rPr>
        <w:t xml:space="preserve">The governance_regression_tests table stores the test definitions. The schema includes: id (primary key), agent_id (foreign key), name (VARCHAR(255), human-readable test name), test_type (ENUM: invariant_check, gate_condition, breach_detection, output_format, connector_permission), input_fixture (JSON, the synthetic input that will be provided to the agent for this test), expected_outcome (ENUM: gate_pass, gate_fail, breach_detected, output_valid, connector_blocked), expected_invariants_checked (JSON array of invariant IDs that must be evaluated during the test run), governance_mode_required (ENUM: light, standard, audited), created_at (TIMESTAMP), last_run_at (TIMESTAMP), last_result (ENUM: pass, fail, error, not_run).</w:t>
      </w:r>
    </w:p>
    <w:p>
      <w:pPr>
        <w:spacing w:before="80" w:after="0"/>
      </w:pPr>
    </w:p>
    <w:p>
      <w:pPr>
        <w:spacing w:before="0" w:after="200" w:line="276" w:lineRule="auto"/>
      </w:pPr>
      <w:r>
        <w:rPr>
          <w:rFonts w:ascii="Arial" w:cs="Arial" w:eastAsia="Arial" w:hAnsi="Arial"/>
          <w:color w:val="2C2C2C"/>
          <w:sz w:val="22"/>
          <w:szCs w:val="22"/>
        </w:rPr>
        <w:t xml:space="preserve">A regression test suite run is triggered automatically in three scenarios: when an operator activates a new agent version (pre-activation gate), when an invariant is added, modified, or removed from an agent (configuration change gate), and on a scheduled weekly basis for all active agents (continuous regression). An agent version cannot be activated if any regression test with expected_outcome gate_pass or output_valid returns a failing result. The operator may override this block with an explicit acknowledgment that records the override reason in the audit trail, but the block cannot be silently bypassed.</w:t>
      </w:r>
    </w:p>
    <w:p>
      <w:pPr>
        <w:pBdr>
          <w:left w:val="single" w:color="2E75B6" w:sz="6" w:space="8"/>
        </w:pBdr>
        <w:spacing w:before="120" w:after="120"/>
        <w:ind w:left="720"/>
      </w:pPr>
      <w:r>
        <w:rPr>
          <w:rFonts w:ascii="Arial" w:cs="Arial" w:eastAsia="Arial" w:hAnsi="Arial"/>
          <w:i/>
          <w:iCs/>
          <w:color w:val="555555"/>
          <w:sz w:val="22"/>
          <w:szCs w:val="22"/>
        </w:rPr>
        <w:t xml:space="preserve">The governance regression suite is the test harness that makes the immutable audit trail claim credible to enterprise security reviewers. An auditor asking 'how do you know your governance properties held throughout the agent's production history?' receives two answers: the audit trail of every run, and the regression test records proving that governance properties were verified before every version activation. Together they constitute a continuous governance assurance chain.</w:t>
      </w:r>
    </w:p>
    <w:p>
      <w:pPr>
        <w:pStyle w:val="Heading2"/>
        <w:spacing w:before="240" w:after="80" w:line="276" w:lineRule="auto"/>
      </w:pPr>
      <w:r>
        <w:rPr>
          <w:rFonts w:ascii="Arial" w:cs="Arial" w:eastAsia="Arial" w:hAnsi="Arial"/>
          <w:b/>
          <w:bCs/>
          <w:color w:val="2E75B6"/>
          <w:sz w:val="28"/>
          <w:szCs w:val="28"/>
        </w:rPr>
        <w:t xml:space="preserve">10.3 Partner Programs</w:t>
      </w:r>
    </w:p>
    <w:p>
      <w:pPr>
        <w:spacing w:before="0" w:after="200" w:line="276" w:lineRule="auto"/>
      </w:pPr>
      <w:r>
        <w:rPr>
          <w:rFonts w:ascii="Arial" w:cs="Arial" w:eastAsia="Arial" w:hAnsi="Arial"/>
          <w:color w:val="2C2C2C"/>
          <w:sz w:val="22"/>
          <w:szCs w:val="22"/>
        </w:rPr>
        <w:t xml:space="preserve">Partner programs extend the platform's reach through structured relationships with organizations that serve overlapping audiences: consulting firms that implement AI systems for enterprise clients, training providers that educate developers on AI governance, and technology vendors whose platforms integrate with ContextKeeper through the connector ecosystem.</w:t>
      </w:r>
    </w:p>
    <w:p>
      <w:pPr>
        <w:spacing w:before="80" w:after="0"/>
      </w:pPr>
    </w:p>
    <w:p>
      <w:pPr>
        <w:spacing w:before="0" w:after="200" w:line="276" w:lineRule="auto"/>
      </w:pPr>
      <w:r>
        <w:rPr>
          <w:rFonts w:ascii="Arial" w:cs="Arial" w:eastAsia="Arial" w:hAnsi="Arial"/>
          <w:color w:val="2C2C2C"/>
          <w:sz w:val="22"/>
          <w:szCs w:val="22"/>
        </w:rPr>
        <w:t xml:space="preserve">The Implementation Partner Program targets consulting firms and systems integrators that deploy AI-assisted development infrastructure for enterprise clients. Qualifying partners complete the ContextKeeper Professional (CKP) certification and commit to a minimum of two enterprise implementations per year. In exchange, partners receive: preferred listing in the ContextKeeper partner directory with client-visible certification badges, access to the enterprise sandbox environment for pre-sales demonstration, a 15% revenue share on enterprise contracts where the partner is the primary implementation agent, early access to Phase C and Phase D features for beta testing and client preview, and co-authored case study publication rights.</w:t>
      </w:r>
    </w:p>
    <w:p>
      <w:pPr>
        <w:spacing w:before="80" w:after="0"/>
      </w:pPr>
    </w:p>
    <w:p>
      <w:pPr>
        <w:spacing w:before="0" w:after="200" w:line="276" w:lineRule="auto"/>
      </w:pPr>
      <w:r>
        <w:rPr>
          <w:rFonts w:ascii="Arial" w:cs="Arial" w:eastAsia="Arial" w:hAnsi="Arial"/>
          <w:color w:val="2C2C2C"/>
          <w:sz w:val="22"/>
          <w:szCs w:val="22"/>
        </w:rPr>
        <w:t xml:space="preserve">The Training Partner Program targets online learning platforms and instructor networks that teach AI engineering, agent development, or enterprise AI governance. Partners develop ContextKeeper-specific course content leading to Associate or Professional certification. In exchange, partners receive: exam voucher resale rights at a 30% institutional discount, co-branding on certification completion records, and a 20% revenue share on exam fees where the learner came through the partner's course.</w:t>
      </w:r>
    </w:p>
    <w:p>
      <w:pPr>
        <w:spacing w:before="80" w:after="0"/>
      </w:pPr>
    </w:p>
    <w:p>
      <w:pPr>
        <w:spacing w:before="0" w:after="200" w:line="276" w:lineRule="auto"/>
      </w:pPr>
      <w:r>
        <w:rPr>
          <w:rFonts w:ascii="Arial" w:cs="Arial" w:eastAsia="Arial" w:hAnsi="Arial"/>
          <w:color w:val="2C2C2C"/>
          <w:sz w:val="22"/>
          <w:szCs w:val="22"/>
        </w:rPr>
        <w:t xml:space="preserve">The Technology Integration Partner Program targets SaaS vendors whose platforms benefit from ContextKeeper governance integration. Qualifying technology partners have an existing connector in the ContextKeeper connector ecosystem (or commit to building one within 90 days of partner agreement execution) and an overlapping user base of developers or enterprise AI teams. Integration partners receive mutual listing in each other's integration directories, co-authored technical documentation, joint webinar and conference presentation opportunities, and preferential connector listing placement. No revenue sharing is required for technology integration partnerships; the value exchange is mutual distribution reach.</w:t>
      </w:r>
    </w:p>
    <w:p>
      <w:pPr>
        <w:pStyle w:val="Heading2"/>
        <w:spacing w:before="240" w:after="80" w:line="276" w:lineRule="auto"/>
      </w:pPr>
      <w:r>
        <w:rPr>
          <w:rFonts w:ascii="Arial" w:cs="Arial" w:eastAsia="Arial" w:hAnsi="Arial"/>
          <w:b/>
          <w:bCs/>
          <w:color w:val="2E75B6"/>
          <w:sz w:val="28"/>
          <w:szCs w:val="28"/>
        </w:rPr>
        <w:t xml:space="preserve">10.4 Compliance Export Formats</w:t>
      </w:r>
    </w:p>
    <w:p>
      <w:pPr>
        <w:spacing w:before="0" w:after="200" w:line="276" w:lineRule="auto"/>
      </w:pPr>
      <w:r>
        <w:rPr>
          <w:rFonts w:ascii="Arial" w:cs="Arial" w:eastAsia="Arial" w:hAnsi="Arial"/>
          <w:color w:val="2C2C2C"/>
          <w:sz w:val="22"/>
          <w:szCs w:val="22"/>
        </w:rPr>
        <w:t xml:space="preserve">Compliance export formats are the mechanism by which enterprise customers in regulated industries extract the ContextKeeper audit trail and governance records in formats that satisfy external audit requirements. A generic JSON export of the platform's database tables is not sufficient for a SOC 2 audit, an FDA 21 CFR Part 11 review, or a financial services regulatory examination. Each regulatory context has defined evidence packages with specific field names, timestamp formats, chain-of-custody requirements, and attestation language.</w:t>
      </w:r>
    </w:p>
    <w:p>
      <w:pPr>
        <w:spacing w:before="80" w:after="0"/>
      </w:pPr>
    </w:p>
    <w:p>
      <w:pPr>
        <w:spacing w:before="0" w:after="200" w:line="276" w:lineRule="auto"/>
      </w:pPr>
      <w:r>
        <w:rPr>
          <w:rFonts w:ascii="Arial" w:cs="Arial" w:eastAsia="Arial" w:hAnsi="Arial"/>
          <w:color w:val="2C2C2C"/>
          <w:sz w:val="22"/>
          <w:szCs w:val="22"/>
        </w:rPr>
        <w:t xml:space="preserve">Three export formats are defined for the initial implementation. The SOC 2 Evidence Package generates a structured ZIP archive containing: a system description document from the platform's configuration records, a user access activity log in the format required by CC6.1 through CC6.3, an audit trail of governance events for CC7.2, a listing of all active invariants and enforcement records for CC5.2, and a session log summary for CC9.1. The Financial Services Audit Package generates records aligned with FINRA Rule 4511 books-and-records requirements and SEC Rule 17a-4 electronic records retention requirements: immutable record attestations, UTC ISO 8601 timestamps with millisecond precision, operator identification on all recorded actions, and a record integrity verification statement derived from the cryptographic hash chain. The GDPR Data Subject Report generates a complete data portability package (Article 20), a deletion confirmation package (Article 17), and a processing activity record across all platform tables.</w:t>
      </w:r>
    </w:p>
    <w:p>
      <w:pPr>
        <w:pBdr>
          <w:left w:val="single" w:color="2E75B6" w:sz="6" w:space="8"/>
        </w:pBdr>
        <w:spacing w:before="120" w:after="120"/>
        <w:ind w:left="720"/>
      </w:pPr>
      <w:r>
        <w:rPr>
          <w:rFonts w:ascii="Arial" w:cs="Arial" w:eastAsia="Arial" w:hAnsi="Arial"/>
          <w:i/>
          <w:iCs/>
          <w:color w:val="555555"/>
          <w:sz w:val="22"/>
          <w:szCs w:val="22"/>
        </w:rPr>
        <w:t xml:space="preserve">Compliance export is an Enterprise tier feature. The audit data exists for all tiers in the platform database; the export formatting, package generation, and regulatory template maintenance are the Enterprise value-add. This pricing design is deliberate: regulated-industry enterprises are the customers who need compliance exports, and they are already the customers whose contract values justify the Enterprise tier.</w:t>
      </w:r>
    </w:p>
    <w:p>
      <w:pPr>
        <w:pStyle w:val="Heading2"/>
        <w:spacing w:before="240" w:after="80" w:line="276" w:lineRule="auto"/>
      </w:pPr>
      <w:r>
        <w:rPr>
          <w:rFonts w:ascii="Arial" w:cs="Arial" w:eastAsia="Arial" w:hAnsi="Arial"/>
          <w:b/>
          <w:bCs/>
          <w:color w:val="2E75B6"/>
          <w:sz w:val="28"/>
          <w:szCs w:val="28"/>
        </w:rPr>
        <w:t xml:space="preserve">10.5 Data Programs</w:t>
      </w:r>
    </w:p>
    <w:p>
      <w:pPr>
        <w:spacing w:before="0" w:after="200" w:line="276" w:lineRule="auto"/>
      </w:pPr>
      <w:r>
        <w:rPr>
          <w:rFonts w:ascii="Arial" w:cs="Arial" w:eastAsia="Arial" w:hAnsi="Arial"/>
          <w:color w:val="2C2C2C"/>
          <w:sz w:val="22"/>
          <w:szCs w:val="22"/>
        </w:rPr>
        <w:t xml:space="preserve">Data programs are the structured mechanisms by which ContextKeeper aggregates anonymized platform telemetry to produce benchmarks, research publications, and intelligence products. All data collection, anonymization, and publication is opt-in and governed by explicit user consent at account creation and in account settings; no user data is included in any data program without affirmative opt-in.</w:t>
      </w:r>
    </w:p>
    <w:p>
      <w:pPr>
        <w:spacing w:before="80" w:after="0"/>
      </w:pPr>
    </w:p>
    <w:p>
      <w:pPr>
        <w:spacing w:before="0" w:after="200" w:line="276" w:lineRule="auto"/>
      </w:pPr>
      <w:r>
        <w:rPr>
          <w:rFonts w:ascii="Arial" w:cs="Arial" w:eastAsia="Arial" w:hAnsi="Arial"/>
          <w:color w:val="2C2C2C"/>
          <w:sz w:val="22"/>
          <w:szCs w:val="22"/>
        </w:rPr>
        <w:t xml:space="preserve">The Governance Benchmarks Program aggregates anonymized gate pass rates, breach frequency distributions, and invariant violation patterns across opted-in projects to produce quarterly benchmark reports published at contextkeeper.org/benchmarks. These benchmarks serve three commercial functions: they provide evidence for the platform's governance effectiveness claims, they give individual customers a reference point for evaluating their own governance posture, and they establish ContextKeeper as the authoritative source of AI governance telemetry.</w:t>
      </w:r>
    </w:p>
    <w:p>
      <w:pPr>
        <w:spacing w:before="80" w:after="0"/>
      </w:pPr>
    </w:p>
    <w:p>
      <w:pPr>
        <w:spacing w:before="0" w:after="200" w:line="276" w:lineRule="auto"/>
      </w:pPr>
      <w:r>
        <w:rPr>
          <w:rFonts w:ascii="Arial" w:cs="Arial" w:eastAsia="Arial" w:hAnsi="Arial"/>
          <w:color w:val="2C2C2C"/>
          <w:sz w:val="22"/>
          <w:szCs w:val="22"/>
        </w:rPr>
        <w:t xml:space="preserve">The Model Performance Intelligence Program aggregates anonymized token efficiency, cost per task, and cross-model comparison data from opted-in accounts running through the BYOK token tracking proxy (WP-003, Section 3.2). Published as the ContextKeeper Model Intelligence Report (quarterly), this data product creates recurring inbound traffic from developers evaluating model choices.</w:t>
      </w:r>
    </w:p>
    <w:p>
      <w:pPr>
        <w:pStyle w:val="Heading2"/>
        <w:spacing w:before="240" w:after="80" w:line="276" w:lineRule="auto"/>
      </w:pPr>
      <w:r>
        <w:rPr>
          <w:rFonts w:ascii="Arial" w:cs="Arial" w:eastAsia="Arial" w:hAnsi="Arial"/>
          <w:b/>
          <w:bCs/>
          <w:color w:val="2E75B6"/>
          <w:sz w:val="28"/>
          <w:szCs w:val="28"/>
        </w:rPr>
        <w:t xml:space="preserve">10.6 New Market Programs</w:t>
      </w:r>
    </w:p>
    <w:p>
      <w:pPr>
        <w:spacing w:before="0" w:after="200" w:line="276" w:lineRule="auto"/>
      </w:pPr>
      <w:r>
        <w:rPr>
          <w:rFonts w:ascii="Arial" w:cs="Arial" w:eastAsia="Arial" w:hAnsi="Arial"/>
          <w:color w:val="2C2C2C"/>
          <w:sz w:val="22"/>
          <w:szCs w:val="22"/>
        </w:rPr>
        <w:t xml:space="preserve">New market programs expand the addressable market beyond individual developers and enterprise software engineering teams into adjacent verticals where AI governance is a compliance requirement. Three verticals are prioritized based on their governance regulatory pressure, willingness to pay for audit-grade tooling, and alignment with the platform's existing capability set.</w:t>
      </w:r>
    </w:p>
    <w:p>
      <w:pPr>
        <w:spacing w:before="80" w:after="0"/>
      </w:pPr>
    </w:p>
    <w:p>
      <w:pPr>
        <w:spacing w:before="0" w:after="200" w:line="276" w:lineRule="auto"/>
      </w:pPr>
      <w:r>
        <w:rPr>
          <w:rFonts w:ascii="Arial" w:cs="Arial" w:eastAsia="Arial" w:hAnsi="Arial"/>
          <w:color w:val="2C2C2C"/>
          <w:sz w:val="22"/>
          <w:szCs w:val="22"/>
        </w:rPr>
        <w:t xml:space="preserve">The Healthcare AI Governance Program targets healthcare organizations deploying AI in clinical documentation, diagnostic support, and patient communication workflows. The regulatory driver is the FDA's Software as a Medical Device (SaMD) framework under 21 CFR Part 820 (Quality Management System Regulation), which requires documented evidence that AI-assisted clinical decision support systems operate within defined parameters and that deviations are detected and logged. AI session logs that contain patient data constitute Protected Health Information (PHI) under HIPAA (45 CFR 160.103) and require BAA coverage, AES-256 encryption at rest, TLS 1.3 in transit, and deployment on HIPAA-eligible infrastructure, not shared hosting. The HIPAA Security Rule NPRM (December 27, 2024) proposes mandatory encryption, MFA, and 24-hour BA-to-CE breach notification; this rule is not yet finalized as of March 2026 and faces significant industry opposition, but healthcare customers should be advised of its existence and potential compliance implications.</w:t>
      </w:r>
    </w:p>
    <w:p>
      <w:pPr>
        <w:spacing w:before="80" w:after="0"/>
      </w:pPr>
    </w:p>
    <w:p>
      <w:pPr>
        <w:spacing w:before="0" w:after="200" w:line="276" w:lineRule="auto"/>
      </w:pPr>
      <w:r>
        <w:rPr>
          <w:rFonts w:ascii="Arial" w:cs="Arial" w:eastAsia="Arial" w:hAnsi="Arial"/>
          <w:color w:val="2C2C2C"/>
          <w:sz w:val="22"/>
          <w:szCs w:val="22"/>
        </w:rPr>
        <w:t xml:space="preserve">The Financial Services AI Governance Program targets financial institutions deploying AI in trading analysis, customer communication, credit decisioning, and regulatory reporting. The regulatory context requires careful framing: MiFID II (Directive 2014/65/EU) regulates investment firms providing investment services and does not directly regulate developer tools. ContextKeeper helps financial services firms meet their MiFID II documentation and audit trail obligations by providing verifiable records of AI-assisted development processes, this is a compliance-facilitation value proposition, not a direct regulatory obligation on the platform. Similarly, FINRA Regulatory Notice 24-09 (June 2024) and the FINRA 2026 Annual Regulatory Oversight Report (December 2025) remind firms that existing technology-neutral rules (Rule 3110 supervision, Rule 4511 books-and-records) apply to AI use; the SEC's proposed Predictive Data Analytics Rule (Rule 15l-2) was formally withdrawn June 12, 2025 and must not be cited as active. Basel Committee on Banking Supervision Principles for the Operational Resilience of Banks (March 2021) and the Committee's March 2023 paper on cryptoasset exposures are the active Basel-level guidance. ContextKeeper's immutable audit log and cryptographic bundle integrity directly address the auditability requirements these principles impose.</w:t>
      </w:r>
    </w:p>
    <w:p>
      <w:pPr>
        <w:spacing w:before="80" w:after="0"/>
      </w:pPr>
    </w:p>
    <w:p>
      <w:pPr>
        <w:spacing w:before="0" w:after="200" w:line="276" w:lineRule="auto"/>
      </w:pPr>
      <w:r>
        <w:rPr>
          <w:rFonts w:ascii="Arial" w:cs="Arial" w:eastAsia="Arial" w:hAnsi="Arial"/>
          <w:color w:val="2C2C2C"/>
          <w:sz w:val="22"/>
          <w:szCs w:val="22"/>
        </w:rPr>
        <w:t xml:space="preserve">The Legal Services AI Governance Program targets law firms and legal technology companies deploying AI in contract analysis, legal research, and client communication. The regulatory drivers are state bar association guidelines on AI use in legal practice, over 40 US state bars have issued AI guidance as of March 2026, with the ABA's Formal Opinion 512 (July 2024) establishing that competent AI use requires understanding AI limitations and maintaining human oversight, and enterprise client requirements for privileged communication protection and audit trail documentation. The program includes: a legal services governance template library (invariants for attorney-client privilege markers, jurisdiction-specific constraint sets, citation verification requirements), integration guidance for legal practice management systems, and co-marketing with legal technology associations and bar-sponsored CLE programs.</w:t>
      </w:r>
    </w:p>
    <w:p>
      <w:pPr>
        <w:pStyle w:val="Heading1"/>
        <w:pageBreakBefore/>
        <w:spacing w:before="360" w:after="120" w:line="276" w:lineRule="auto"/>
      </w:pPr>
      <w:r>
        <w:rPr>
          <w:rFonts w:ascii="Arial" w:cs="Arial" w:eastAsia="Arial" w:hAnsi="Arial"/>
          <w:b/>
          <w:bCs/>
          <w:color w:val="1B2A4A"/>
          <w:sz w:val="36"/>
          <w:szCs w:val="36"/>
        </w:rPr>
        <w:t xml:space="preserve">11. Priority and Sequencing Matrix</w:t>
      </w:r>
    </w:p>
    <w:p>
      <w:pPr>
        <w:spacing w:before="0" w:after="200" w:line="276" w:lineRule="auto"/>
      </w:pPr>
      <w:r>
        <w:rPr>
          <w:rFonts w:ascii="Arial" w:cs="Arial" w:eastAsia="Arial" w:hAnsi="Arial"/>
          <w:color w:val="2C2C2C"/>
          <w:sz w:val="22"/>
          <w:szCs w:val="22"/>
        </w:rPr>
        <w:t xml:space="preserve">Table 14 maps all initiatives in this paper against four dimensions: estimated implementation effort (Low, Medium, High), expected revenue impact, strategic value (importance to competitive positioning, enterprise sales, or community growth), and the recommended execution phase relative to the WP-006 build plan phases.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1400"/>
        <w:gridCol w:w="2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Initiative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Effort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Revenue Impact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Strategic Value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Recommended Phase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Namespace correction (contextkeeper everywhere)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 direct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Critical</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Immediate, before any other distribution 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server publication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 direct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Immediate, existing infrastructure supports it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White paper publication on website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Immediate, papers are already written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arXiv submission (WP-001)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 direct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Immediate, no implementation required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Annual pricing option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Immediate, requires only Stripe configuration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 public reference repo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 direct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Immediate, drives protocol adoption and awareness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health monitoring</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B completion, before Phase C agent execution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CLI tool (ck) on PyPI and npm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 direct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B completion, before Phase C</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contextkeeper-langchain package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 after governance layer is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replay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 depends on structured audit trail from execution engine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performance scorecard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 after sufficient production agent run data exists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VS Code extension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 direct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 after execution engine exists to surface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Natural language governance interface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 after execution engine provides sufficient agent run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regression suite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 requires test sandbox (WP-005 Section 4.4.1) and agent versioning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Implementation partner program</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 enterprise partner value requires agent execution capability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Compliance export formats (SOC 2, GDPR)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 SOC 2 audit requires stable production system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ISO 42001 certification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C/D, no competitor holds it; first-mover advantage window is open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SOC 2 Type II audit engagement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 requires stable production system for 6-12 month audit period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Creator revenue share program</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D, requires active marketplace with sufficient transaction volume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White-label SDK licensing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D, requires proven production deployment track record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Private cloud (BYOI) packaging</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D, highest-value enterprise contracts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Fine-tuned governance 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D, requires sufficient labeled training data from production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marketplace (third-party)</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D, requires stable ConnectorInterface and marketplace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benchmarks and model intelligence data programs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D, requires sufficient opted-in production volume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New market programs (healthcare, financial services, legal)</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D, requires SOC 2 completion, compliance export formats, and enterprise deployment track record</w:t>
            </w:r>
          </w:p>
        </w:tc>
      </w:tr>
    </w:tbl>
    <w:p>
      <w:pPr>
        <w:spacing w:before="120" w:after="0"/>
      </w:pPr>
    </w:p>
    <w:p>
      <w:pPr>
        <w:spacing w:before="0" w:after="200" w:line="276" w:lineRule="auto"/>
      </w:pPr>
      <w:r>
        <w:rPr>
          <w:rFonts w:ascii="Arial" w:cs="Arial" w:eastAsia="Arial" w:hAnsi="Arial"/>
          <w:color w:val="2C2C2C"/>
          <w:sz w:val="22"/>
          <w:szCs w:val="22"/>
        </w:rPr>
        <w:t xml:space="preserve">Three observations follow from the priority matrix. First, there is a cluster of six immediate, low-effort, high-strategic-value initiatives that should be executed before Phase B is complete: namespace correction, MCP server publication, white paper website publication, arXiv submission, annual pricing configuration, and the DEL-v2 public reference repository. None require Phase B completion; all create distribution infrastructure that makes every subsequent phase's work more visible.</w:t>
      </w:r>
    </w:p>
    <w:p>
      <w:pPr>
        <w:spacing w:before="80" w:after="0"/>
      </w:pPr>
    </w:p>
    <w:p>
      <w:pPr>
        <w:spacing w:before="0" w:after="200" w:line="276" w:lineRule="auto"/>
      </w:pPr>
      <w:r>
        <w:rPr>
          <w:rFonts w:ascii="Arial" w:cs="Arial" w:eastAsia="Arial" w:hAnsi="Arial"/>
          <w:color w:val="2C2C2C"/>
          <w:sz w:val="22"/>
          <w:szCs w:val="22"/>
        </w:rPr>
        <w:t xml:space="preserve">Second, the annual pricing option and the DEL-v2 public reference repository have an unusually high return-on-effort ratio. Annual pricing is purely a Stripe configuration change that requires no engineering work. The public reference repository requires curating and publishing existing files. Both can be delivered in a single engineering sprint with outsized commercial impact.</w:t>
      </w:r>
    </w:p>
    <w:p>
      <w:pPr>
        <w:spacing w:before="80" w:after="0"/>
      </w:pPr>
    </w:p>
    <w:p>
      <w:pPr>
        <w:spacing w:before="0" w:after="200" w:line="276" w:lineRule="auto"/>
      </w:pPr>
      <w:r>
        <w:rPr>
          <w:rFonts w:ascii="Arial" w:cs="Arial" w:eastAsia="Arial" w:hAnsi="Arial"/>
          <w:color w:val="2C2C2C"/>
          <w:sz w:val="22"/>
          <w:szCs w:val="22"/>
        </w:rPr>
        <w:t xml:space="preserve">Third, the highest-value initiatives (white-label SDK, private cloud deployment, SOC 2 certification, fine-tuned governance model) are all Phase D items requiring the complete, validated production platform as their prerequisite. This is architecturally and commercially correct: an enterprise customer evaluating a white-label SDK license needs evidence of production deployment quality, which only exists after Phases A through C are complete. The matrix confirms that the WP-006 phase sequencing is the right order both technically and commercially.</w:t>
      </w:r>
    </w:p>
    <w:p>
      <w:pPr>
        <w:pStyle w:val="Heading1"/>
        <w:pageBreakBefore/>
        <w:spacing w:before="360" w:after="120" w:line="276" w:lineRule="auto"/>
      </w:pPr>
      <w:r>
        <w:rPr>
          <w:rFonts w:ascii="Arial" w:cs="Arial" w:eastAsia="Arial" w:hAnsi="Arial"/>
          <w:b/>
          <w:bCs/>
          <w:color w:val="1B2A4A"/>
          <w:sz w:val="36"/>
          <w:szCs w:val="36"/>
        </w:rPr>
        <w:t xml:space="preserve">12. Integration Points</w:t>
      </w:r>
    </w:p>
    <w:p>
      <w:pPr>
        <w:spacing w:before="0" w:after="200" w:line="276" w:lineRule="auto"/>
      </w:pPr>
      <w:r>
        <w:rPr>
          <w:rFonts w:ascii="Arial" w:cs="Arial" w:eastAsia="Arial" w:hAnsi="Arial"/>
          <w:color w:val="2C2C2C"/>
          <w:sz w:val="22"/>
          <w:szCs w:val="22"/>
        </w:rPr>
        <w:t xml:space="preserve">WP-001 (DEL-v2 Technical Reference): the MCP server tools (Section 3.1) expose DEL-v2 state machine operations as MCP-callable functions. The CLI's ck validate command implements the bundle integrity verification defined in WP-001, Section 9. The signed audit bundle capability (Section 6.4) extends the SHA-256 integrity system from WP-001 with PKI digital signatures. The DEL-v2 reference implementation open-source release (Section 3.5) packages the WP-001 protocol specification and reference tools for public distribution.</w:t>
      </w:r>
    </w:p>
    <w:p>
      <w:pPr>
        <w:spacing w:before="80" w:after="0"/>
      </w:pPr>
    </w:p>
    <w:p>
      <w:pPr>
        <w:spacing w:before="0" w:after="200" w:line="276" w:lineRule="auto"/>
      </w:pPr>
      <w:r>
        <w:rPr>
          <w:rFonts w:ascii="Arial" w:cs="Arial" w:eastAsia="Arial" w:hAnsi="Arial"/>
          <w:color w:val="2C2C2C"/>
          <w:sz w:val="22"/>
          <w:szCs w:val="22"/>
        </w:rPr>
        <w:t xml:space="preserve">WP-002 (Enterprise Delivery Governance): the fine-tuned governance model's gate evaluation capability (Section 5) deploys as the Gate Evaluator component replacing rule-based checks in the agent execution engine, extending the delivery contract and quality gate specifications from WP-002, Sections 3.1 and 3.2. The automatic invariant suggestion feature (Section 4.3) implements the Formal Invariant Enforcement Layer concept from WP-002, Section 11.1. SOC 2, GDPR, HIPAA, and ISO 42001 compliance capabilities (Section 6) formalize the compliance properties that WP-002's extended assurance layers (Section 11) are designed to support.</w:t>
      </w:r>
    </w:p>
    <w:p>
      <w:pPr>
        <w:spacing w:before="80" w:after="0"/>
      </w:pPr>
    </w:p>
    <w:p>
      <w:pPr>
        <w:spacing w:before="0" w:after="200" w:line="276" w:lineRule="auto"/>
      </w:pPr>
      <w:r>
        <w:rPr>
          <w:rFonts w:ascii="Arial" w:cs="Arial" w:eastAsia="Arial" w:hAnsi="Arial"/>
          <w:color w:val="2C2C2C"/>
          <w:sz w:val="22"/>
          <w:szCs w:val="22"/>
        </w:rPr>
        <w:t xml:space="preserve">WP-003 (Platform Architecture and Token Intelligence): session replay (Section 4.1) builds its token burn curve component from the token_usage table defined in WP-003, Section 3.3. The model performance scorecard (Section 4.2) extends the Model Intelligence Layer concept from WP-003. Decision confidence tracking and anomaly detection implement the context health monitoring extensions that WP-003 defines at the threshold-alert level. The CLI's ck bootstrap command generates the bootstrap prompt defined in WP-003, Section 5.2.</w:t>
      </w:r>
    </w:p>
    <w:p>
      <w:pPr>
        <w:spacing w:before="80" w:after="0"/>
      </w:pPr>
    </w:p>
    <w:p>
      <w:pPr>
        <w:spacing w:before="0" w:after="200" w:line="276" w:lineRule="auto"/>
      </w:pPr>
      <w:r>
        <w:rPr>
          <w:rFonts w:ascii="Arial" w:cs="Arial" w:eastAsia="Arial" w:hAnsi="Arial"/>
          <w:color w:val="2C2C2C"/>
          <w:sz w:val="22"/>
          <w:szCs w:val="22"/>
        </w:rPr>
        <w:t xml:space="preserve">WP-004 (Open Infrastructure and AI Toolkit Reference): the fine-tuned governance model (Section 5) uses the Unsloth and PEFT/LoRA fine-tuning stack from WP-004, Section 2.3 and is deployed on the Phase D GPU infrastructure described in WP-004, Section 7.3. The ecosystem packages (Section 3.4) wrap the LangChain, LlamaIndex, AutoGen/Microsoft Agent Framework, and CrewAI frameworks cataloged in WP-004, Sections 4.1 and 5.1.</w:t>
      </w:r>
    </w:p>
    <w:p>
      <w:pPr>
        <w:spacing w:before="80" w:after="0"/>
      </w:pPr>
    </w:p>
    <w:p>
      <w:pPr>
        <w:spacing w:before="0" w:after="200" w:line="276" w:lineRule="auto"/>
      </w:pPr>
      <w:r>
        <w:rPr>
          <w:rFonts w:ascii="Arial" w:cs="Arial" w:eastAsia="Arial" w:hAnsi="Arial"/>
          <w:color w:val="2C2C2C"/>
          <w:sz w:val="22"/>
          <w:szCs w:val="22"/>
        </w:rPr>
        <w:t xml:space="preserve">WP-005 (Agent Orchestration, Marketplace, and Revenue Architecture): the connector marketplace (Section 7.2) extends the community marketplace architecture from WP-005, Section 5 to include third-party connector implementations alongside agent blueprints. The creator revenue share program (Section 9.1) extends the marketplace commission revenue stream from WP-005, Section 6.1.3. Data lineage tracking (Section 7.3) extends the connector-powered agent architecture from WP-005, Section 4.5 with provenance recording.</w:t>
      </w:r>
    </w:p>
    <w:p>
      <w:pPr>
        <w:spacing w:before="80" w:after="0"/>
      </w:pPr>
    </w:p>
    <w:p>
      <w:pPr>
        <w:spacing w:before="0" w:after="200" w:line="276" w:lineRule="auto"/>
      </w:pPr>
      <w:r>
        <w:rPr>
          <w:rFonts w:ascii="Arial" w:cs="Arial" w:eastAsia="Arial" w:hAnsi="Arial"/>
          <w:color w:val="2C2C2C"/>
          <w:sz w:val="22"/>
          <w:szCs w:val="22"/>
        </w:rPr>
        <w:t xml:space="preserve">WP-006 (Master Execution Plan and Phased Delivery Roadmap): the priority matrix (Section 11) maps all initiatives in this paper to the WP-006 phase structure. Immediate initiatives (namespace correction, MCP server, white paper publication, arXiv, annual pricing, reference repo) are executable within the current Phase B window without waiting for phase completion. Phase D resource and infrastructure requirements for BYOI packaging (Section 6.3) and the fine-tuned governance model (Section 5) are additive to the Phase D infrastructure requirements documented in WP-006, Section 7.</w:t>
      </w:r>
    </w:p>
    <w:p>
      <w:pPr>
        <w:pStyle w:val="Heading1"/>
        <w:pageBreakBefore/>
        <w:spacing w:before="360" w:after="120" w:line="276" w:lineRule="auto"/>
      </w:pPr>
      <w:r>
        <w:rPr>
          <w:rFonts w:ascii="Arial" w:cs="Arial" w:eastAsia="Arial" w:hAnsi="Arial"/>
          <w:b/>
          <w:bCs/>
          <w:color w:val="1B2A4A"/>
          <w:sz w:val="36"/>
          <w:szCs w:val="36"/>
        </w:rPr>
        <w:t xml:space="preserve">13. Conclusion</w:t>
      </w:r>
    </w:p>
    <w:p>
      <w:pPr>
        <w:spacing w:before="0" w:after="200" w:line="276" w:lineRule="auto"/>
      </w:pPr>
      <w:r>
        <w:rPr>
          <w:rFonts w:ascii="Arial" w:cs="Arial" w:eastAsia="Arial" w:hAnsi="Arial"/>
          <w:color w:val="2C2C2C"/>
          <w:sz w:val="22"/>
          <w:szCs w:val="22"/>
        </w:rPr>
        <w:t xml:space="preserve">This paper has defined seven expansion domains that extend ContextKeeper's reach, revenue, and compliance surface beyond what is covered by WP-001 through WP-006. The most important single observation from this analysis is that a significant portion of the highest-value opportunities require no implementation work and no phase completion dependency: namespace correction, MCP server publication, white paper publication on the website, arXiv submission, annual pricing configuration, and the DEL-v2 public reference repository can all be executed this week.</w:t>
      </w:r>
    </w:p>
    <w:p>
      <w:pPr>
        <w:spacing w:before="80" w:after="0"/>
      </w:pPr>
    </w:p>
    <w:p>
      <w:pPr>
        <w:spacing w:before="0" w:after="200" w:line="276" w:lineRule="auto"/>
      </w:pPr>
      <w:r>
        <w:rPr>
          <w:rFonts w:ascii="Arial" w:cs="Arial" w:eastAsia="Arial" w:hAnsi="Arial"/>
          <w:color w:val="2C2C2C"/>
          <w:sz w:val="22"/>
          <w:szCs w:val="22"/>
        </w:rPr>
        <w:t xml:space="preserve">The developer distribution strategy, centered on the MCP server, CLI tool, IDE extensions, and ecosystem packages, brings ContextKeeper governance into every workflow where developers already spend their time. The MCP protocol, originally developed by Anthropic in November 2024 and now governed by the Agentic AI Foundation under the Linux Foundation since December 2025, has reached 97 million-plus monthly SDK downloads and 10,000-plus active servers, with support from every major AI-native development environment. This is the right protocol at the right moment. Publishing a ContextKeeper MCP server now places the platform inside every AI-assisted development workflow with zero friction.</w:t>
      </w:r>
    </w:p>
    <w:p>
      <w:pPr>
        <w:spacing w:before="80" w:after="0"/>
      </w:pPr>
    </w:p>
    <w:p>
      <w:pPr>
        <w:spacing w:before="0" w:after="200" w:line="276" w:lineRule="auto"/>
      </w:pPr>
      <w:r>
        <w:rPr>
          <w:rFonts w:ascii="Arial" w:cs="Arial" w:eastAsia="Arial" w:hAnsi="Arial"/>
          <w:color w:val="2C2C2C"/>
          <w:sz w:val="22"/>
          <w:szCs w:val="22"/>
        </w:rPr>
        <w:t xml:space="preserve">The enterprise compliance architecture defines a clear upgrade path from a well-governed platform to a certifiably compliant one. SOC 2 Type II against the AICPA 2017 Trust Services Criteria (With Revised Points of Focus, 2022) is the baseline that unlocks enterprise procurement. GDPR data residency, HIPAA-eligible configuration (requiring dedicated infrastructure and a signed BAA, not shared hosting), and private cloud deployment extend the addressable market to regulated verticals where the governance moat is most valuable and willingness to pay is highest. ISO 42001:2023, the world's first certifiable AI management system standard, represents a first-mover certification opportunity: no competitor in the AI observability or developer governance space currently holds it.</w:t>
      </w:r>
    </w:p>
    <w:p>
      <w:pPr>
        <w:spacing w:before="80" w:after="0"/>
      </w:pPr>
    </w:p>
    <w:p>
      <w:pPr>
        <w:spacing w:before="0" w:after="200" w:line="276" w:lineRule="auto"/>
      </w:pPr>
      <w:r>
        <w:rPr>
          <w:rFonts w:ascii="Arial" w:cs="Arial" w:eastAsia="Arial" w:hAnsi="Arial"/>
          <w:color w:val="2C2C2C"/>
          <w:sz w:val="22"/>
          <w:szCs w:val="22"/>
        </w:rPr>
        <w:t xml:space="preserve">The AI governance platform market is large, growing, and now covered by all three major analyst firms. Gartner projects the market at $492 million in 2026, growing to over $1 billion by 2030 (Gartner, February 2026). The Forrester Wave AI Governance Solutions Q3 2025 and IDC MarketScape Worldwide Unified AI Governance Platforms 2025-2026 (20 vendors evaluated) confirm institutional buyer attention. Noma Security raised $100 million at a 1,300% ARR growth rate in its first year. Cisco acquired Robust Intelligence (financial terms not disclosed by either party; independent estimates place the acquisition in the range of $400 million based on the company's $44 million total funding and strategic valuation context). The category is validating rapidly.</w:t>
      </w:r>
    </w:p>
    <w:p>
      <w:pPr>
        <w:spacing w:before="80" w:after="0"/>
      </w:pPr>
    </w:p>
    <w:p>
      <w:pPr>
        <w:spacing w:before="0" w:after="200" w:line="276" w:lineRule="auto"/>
      </w:pPr>
      <w:r>
        <w:rPr>
          <w:rFonts w:ascii="Arial" w:cs="Arial" w:eastAsia="Arial" w:hAnsi="Arial"/>
          <w:color w:val="2C2C2C"/>
          <w:sz w:val="22"/>
          <w:szCs w:val="22"/>
        </w:rPr>
        <w:t xml:space="preserve">No evaluated competitor addresses developer-session governance, the specific challenge of governing the AI-assisted development process rather than production AI systems. LangSmith, Arize AI, Langfuse, Helicone, Portkey, and Weights and Biases all govern production AI. None govern what happens when a developer uses Claude, GPT, or Gemini to write code. ContextKeeper occupies this position exclusively. The fine-tuned governance model, trained on the platform's own production data, becomes more accurate as more users generate more labeled examples. Published on Hugging Face, it creates a permanent awareness channel that compounds indefinitely.</w:t>
      </w:r>
    </w:p>
    <w:p>
      <w:pPr>
        <w:spacing w:before="80" w:after="0"/>
      </w:pPr>
    </w:p>
    <w:p>
      <w:pPr>
        <w:spacing w:before="0" w:after="200" w:line="276" w:lineRule="auto"/>
      </w:pPr>
      <w:r>
        <w:rPr>
          <w:rFonts w:ascii="Arial" w:cs="Arial" w:eastAsia="Arial" w:hAnsi="Arial"/>
          <w:color w:val="2C2C2C"/>
          <w:sz w:val="22"/>
          <w:szCs w:val="22"/>
        </w:rPr>
        <w:t xml:space="preserve">Together with WP-001 through WP-006, this paper completes the specification of ContextKeeper as a platform: its core protocols (WP-001, WP-002), its intelligence and infrastructure (WP-003, WP-004), its agent and revenue architecture (WP-005), its execution roadmap (WP-006), and its expansion strategy (this paper). The seven papers constitute a complete, coherent specification for a platform that is already commercially operational and has a defined path to becoming the definitive governance layer for enterprise AI engineering.</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0" w:after="200" w:line="276" w:lineRule="auto"/>
      </w:pPr>
      <w:r>
        <w:rPr>
          <w:rFonts w:ascii="Arial" w:cs="Arial" w:eastAsia="Arial" w:hAnsi="Arial"/>
          <w:color w:val="2C2C2C"/>
          <w:sz w:val="22"/>
          <w:szCs w:val="22"/>
        </w:rPr>
        <w:t xml:space="preserve">Table 15 defines all technical terms introduced in this paper.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arXiv</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free, open-access preprint server operated by Cornell University. Technical reports submitted to arXiv receive a DOI, are indexed by Google Scholar, and are citable in academic literature. Submission does not require peer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BYOI (Bring Your Own Infrastructure)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deployment pattern in which the customer deploys the full platform stack in their own cloud or on-premises environment. Distinct from BYOK (Bring Your Own Key), which refers to API credential management. BYOI eliminates all data residency concerns by removing the platform operator from the data path entirely. Required for HIPAA-eligible deployment.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health monitoring</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proactive background service that tests each user's active connectors on a schedule and alerts when credentials expire or APIs return errors. Prevents agent failures caused by stale connector state discovered at execution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marketplace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third-party extension ecosystem in which developers submit connector implementations following the ConnectorInterface specification, which the platform reviews and lists. Extends the connector ecosystem without operator engineering effort.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lineage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traceable record of how data moved through a system: which source connector provided it, which agent processed it, which decision it influenced, and which output connector received the result. A compliance requirement for regulated data pipelines.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 reference implementation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open-source release of the bridge_snapshot.ps1 bundle generator, the handoff-sync.test.js governance test suite, and the WORKFLOW.md protocol document. Establishes DEL-v2 as a named, community-available protocol independent of the ContextKeeper platform.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Fine-tuned governance model</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small language model (7B-13B parameters) trained specifically on DEL-v2 protocol compliance tasks: gate evaluation, invariant formalization, delivery contract generation, and breach root cause analysis. Deployed as specialized components within the agent execution 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HIPAA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Health Insurance Portability and Accountability Act. US federal law governing the handling of protected health information (PHI). HIPAA-eligible deployment requires a Business Associate Agreement, AES-256 encryption at rest, TLS 1.3 in transit, dedicated or cloud infrastructure (not shared hosting), RBAC, MFA, and 6-year audit log retention.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Immutable audit log</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audit record store in which historical entries cannot be modified or deleted by any actor, including the platform operator. Implemented via WORM storage, hash-chained log entries, or periodic anchoring to a public blockchain. Required for FINRA Rule 4511 and SEC Rule 17a-4 compliance in financial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ISO 42001:2023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world's first certifiable AI management system standard, published December 2023 by ISO/IEC. Covers governance, risk management, transparency, accountability, and ethical use across the AI lifecycle through 38 controls across 9 control objectives. Maps closely to EU AI Act Article 9 (risk management) and Article 17 (quality management) requirements. No current competitor in the AI developer governance space holds this certification.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(Model Context Protocol)</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open standard originally developed by Anthropic (released November 25, 2024) and now governed by the Agentic AI Foundation under the Linux Foundation (since December 9, 2025). Standardizes how AI models access external tools and data sources. As of early 2026: 97M+ monthly SDK downloads, 10,000+ active servers, supported by VS Code, Cursor, Windsurf, JetBrains, Claude, ChatGPT, Gemini, and GitHub Copilot.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server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server implementing the Model Context Protocol that exposes a set of named tools callable by MCP-compatible clients. ContextKeeper's MCP server exposes platform operations (get_project_state, log_decision, check_invariants, etc.) as tools accessible from any MCP client.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Namespace registration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process of registering the ContextKeeper brand across all relevant package registries (npm, PyPI, GitHub, MCP registry) before publishing distribution artifacts. Consistent namespace registration ensures that developers who discover ContextKeeper through any channel can install the correct package by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replay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platform feature that reconstructs the complete history of a session as a visual timeline: decision log, state transitions, token burn curve, invariant check history, connector call sequence, and diff at each gate. Uses existing structured data from the platform database.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SOC 2 Type II</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Service Organization Control 2 Type II. An auditing standard developed by the American Institute of CPAs (AICPA) evaluating a service organization's controls over security, availability, processing integrity, confidentiality, and privacy over a defined audit period (typically 6-12 months). Governed by the 2017 Trust Services Criteria (With Revised Points of Focus, 2022). Required by approximately 78% of Fortune 1000 enterprise security teams for US SaaS vendor approval.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Trust Service Criteria (TSC)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AICPA's 2017 criteria (with 2022 revised points of focus) that form the basis of SOC 2 audits. Nine Common Criteria series (CC1-CC9) are mandatory for the Security category. CC6 covers Logical and Physical Access Controls; CC7 covers System Operations; CC8 covers Change Management; CC9 covers Risk Mitigation. Additional optional categories include Availability (A1), Processing Integrity (PI1), Confidentiality (C1), and Privacy (P1-P8).</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White-label SDK</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packaged, embeddable version of the DEL-v2 governance layer that other AI tooling companies can integrate into their own products under their own branding. Licensed on a per-seat or per-API-call basis. Creates a B2B2B revenue stream separate from the direct SaaS model. Industry-standard revenue share for technology partnership arrangements: 30-60% to the technology provider.</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Wazlavek, S. (2026). DEL-v2 Technical Reference: Deterministic Engineering Loop. ContextKeeper Enterprise Engineering White Paper Series, WP-001, v1.2. contextkeeper.org. [Bundle integrity, SHA-256 verification, and state machine operations referenced in Sections 3.1, 3.5, and 6.4.]</w:t>
      </w:r>
    </w:p>
    <w:p>
      <w:pPr>
        <w:spacing w:before="0" w:after="200" w:line="276" w:lineRule="auto"/>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v1.1. contextkeeper.org. [Model Intelligence Layer, Formal Invariant Enforcement, and System Drift Monitoring referenced in Sections 4.2, 4.3, and 5.]</w:t>
      </w:r>
    </w:p>
    <w:p>
      <w:pPr>
        <w:spacing w:before="0" w:after="200" w:line="276" w:lineRule="auto"/>
      </w:pPr>
      <w:r>
        <w:rPr>
          <w:rFonts w:ascii="Arial" w:cs="Arial" w:eastAsia="Arial" w:hAnsi="Arial"/>
          <w:color w:val="2C2C2C"/>
          <w:sz w:val="22"/>
          <w:szCs w:val="22"/>
        </w:rPr>
        <w:t xml:space="preserve">Wazlavek, S. (2026). Platform Architecture and Token Intelligence. ContextKeeper Enterprise Engineering White Paper Series, WP-003, v1.2. contextkeeper.org. [Token usage table, bootstrap protocol, and context health monitoring referenced in Sections 3.1, 4.1, and 4.2.]</w:t>
      </w:r>
    </w:p>
    <w:p>
      <w:pPr>
        <w:spacing w:before="0" w:after="200" w:line="276" w:lineRule="auto"/>
      </w:pPr>
      <w:r>
        <w:rPr>
          <w:rFonts w:ascii="Arial" w:cs="Arial" w:eastAsia="Arial" w:hAnsi="Arial"/>
          <w:color w:val="2C2C2C"/>
          <w:sz w:val="22"/>
          <w:szCs w:val="22"/>
        </w:rPr>
        <w:t xml:space="preserve">Wazlavek, S. (2026). Open Infrastructure and AI Toolkit Reference. ContextKeeper Enterprise Engineering White Paper Series, WP-004, v1.3. contextkeeper.org. [Fine-tuning stack, agent frameworks, and hosting strategy referenced in Sections 3.4 and 5.]</w:t>
      </w:r>
    </w:p>
    <w:p>
      <w:pPr>
        <w:spacing w:before="0" w:after="200" w:line="276" w:lineRule="auto"/>
      </w:pPr>
      <w:r>
        <w:rPr>
          <w:rFonts w:ascii="Arial" w:cs="Arial" w:eastAsia="Arial" w:hAnsi="Arial"/>
          <w:color w:val="2C2C2C"/>
          <w:sz w:val="22"/>
          <w:szCs w:val="22"/>
        </w:rPr>
        <w:t xml:space="preserve">Wazlavek, S. (2026). Agent Orchestration, Marketplace, and Revenue Architecture. ContextKeeper Enterprise Engineering White Paper Series, WP-005, v1.3. contextkeeper.org. [Community marketplace architecture, connector-powered agents, and revenue streams referenced in Sections 7.2, 7.3, and 9.1.]</w:t>
      </w:r>
    </w:p>
    <w:p>
      <w:pPr>
        <w:spacing w:before="0" w:after="200" w:line="276" w:lineRule="auto"/>
      </w:pPr>
      <w:r>
        <w:rPr>
          <w:rFonts w:ascii="Arial" w:cs="Arial" w:eastAsia="Arial" w:hAnsi="Arial"/>
          <w:color w:val="2C2C2C"/>
          <w:sz w:val="22"/>
          <w:szCs w:val="22"/>
        </w:rPr>
        <w:t xml:space="preserve">Wazlavek, S. (2026). Master Execution Plan and Phased Delivery Roadmap. ContextKeeper Enterprise Engineering White Paper Series, WP-006, v1.1. contextkeeper.org. [Phase structure and resource requirements referenced in Section 11 priority matrix.]</w:t>
      </w:r>
    </w:p>
    <w:p>
      <w:pPr>
        <w:spacing w:before="80" w:after="0"/>
      </w:pPr>
    </w:p>
    <w:p>
      <w:pPr>
        <w:spacing w:before="0" w:after="200" w:line="276" w:lineRule="auto"/>
      </w:pPr>
      <w:r>
        <w:rPr>
          <w:rFonts w:ascii="Arial" w:cs="Arial" w:eastAsia="Arial" w:hAnsi="Arial"/>
          <w:color w:val="2C2C2C"/>
          <w:sz w:val="22"/>
          <w:szCs w:val="22"/>
        </w:rPr>
        <w:t xml:space="preserve">American Institute of CPAs. (2022). Trust Services Criteria for Security, Availability, Processing Integrity, Confidentiality, and Privacy (With Revised Points of Focus, 2022). TSP Section 100. AICPA. [SOC 2 Trust Service Criteria CC1-CC9 referenced in Section 6.1.]</w:t>
      </w:r>
    </w:p>
    <w:p>
      <w:pPr>
        <w:spacing w:before="0" w:after="200" w:line="276" w:lineRule="auto"/>
      </w:pPr>
      <w:r>
        <w:rPr>
          <w:rFonts w:ascii="Arial" w:cs="Arial" w:eastAsia="Arial" w:hAnsi="Arial"/>
          <w:color w:val="2C2C2C"/>
          <w:sz w:val="22"/>
          <w:szCs w:val="22"/>
        </w:rPr>
        <w:t xml:space="preserve">Anthropic. (2024, November 25). Introducing the Model Context Protocol. anthropic.com. [MCP protocol definition and original release referenced in Section 3.1.]</w:t>
      </w:r>
    </w:p>
    <w:p>
      <w:pPr>
        <w:spacing w:before="0" w:after="200" w:line="276" w:lineRule="auto"/>
      </w:pPr>
      <w:r>
        <w:rPr>
          <w:rFonts w:ascii="Arial" w:cs="Arial" w:eastAsia="Arial" w:hAnsi="Arial"/>
          <w:color w:val="2C2C2C"/>
          <w:sz w:val="22"/>
          <w:szCs w:val="22"/>
        </w:rPr>
        <w:t xml:space="preserve">Anthropic. (2025, December 9). Donating the Model Context Protocol and establishing the Agentic AI Foundation. anthropic.com. [MCP Linux Foundation governance transition referenced in Sections 3.1 and 13.]</w:t>
      </w:r>
    </w:p>
    <w:p>
      <w:pPr>
        <w:spacing w:before="0" w:after="200" w:line="276" w:lineRule="auto"/>
      </w:pPr>
      <w:r>
        <w:rPr>
          <w:rFonts w:ascii="Arial" w:cs="Arial" w:eastAsia="Arial" w:hAnsi="Arial"/>
          <w:color w:val="2C2C2C"/>
          <w:sz w:val="22"/>
          <w:szCs w:val="22"/>
        </w:rPr>
        <w:t xml:space="preserve">Linux Foundation. (2025, December 9). Linux Foundation Announces the Formation of the Agentic AI Foundation (AAIF). linuxfoundation.org. [AAIF founding members and governance structure referenced in Section 3.1.]</w:t>
      </w:r>
    </w:p>
    <w:p>
      <w:pPr>
        <w:spacing w:before="0" w:after="200" w:line="276" w:lineRule="auto"/>
      </w:pPr>
      <w:r>
        <w:rPr>
          <w:rFonts w:ascii="Arial" w:cs="Arial" w:eastAsia="Arial" w:hAnsi="Arial"/>
          <w:color w:val="2C2C2C"/>
          <w:sz w:val="22"/>
          <w:szCs w:val="22"/>
        </w:rPr>
        <w:t xml:space="preserve">Gartner. (2026, February 17). Global AI Regulations Fuel Billion-Dollar Market for AI Governance Platforms. Gartner Newsroom. [AI governance market sizing ($492M in 2026, $1B+ by 2030) referenced in Sections 1 and 13.]</w:t>
      </w:r>
    </w:p>
    <w:p>
      <w:pPr>
        <w:spacing w:before="0" w:after="200" w:line="276" w:lineRule="auto"/>
      </w:pPr>
      <w:r>
        <w:rPr>
          <w:rFonts w:ascii="Arial" w:cs="Arial" w:eastAsia="Arial" w:hAnsi="Arial"/>
          <w:color w:val="2C2C2C"/>
          <w:sz w:val="22"/>
          <w:szCs w:val="22"/>
        </w:rPr>
        <w:t xml:space="preserve">International Organization for Standardization. (2023). ISO/IEC 42001:2023: Information technology, Artificial intelligence: Management system. ISO. [AI management system standard referenced in Section 6.5.]</w:t>
      </w:r>
    </w:p>
    <w:p>
      <w:pPr>
        <w:spacing w:before="0" w:after="200" w:line="276" w:lineRule="auto"/>
      </w:pPr>
      <w:r>
        <w:rPr>
          <w:rFonts w:ascii="Arial" w:cs="Arial" w:eastAsia="Arial" w:hAnsi="Arial"/>
          <w:color w:val="2C2C2C"/>
          <w:sz w:val="22"/>
          <w:szCs w:val="22"/>
        </w:rPr>
        <w:t xml:space="preserve">Regulation (EU) 2024/1689 of the European Parliament and of the Council of 13 June 2024 laying down harmonised rules on artificial intelligence (Artificial Intelligence Act). Official Journal of the European Union. Published July 12, 2024. [EU AI Act enforcement timeline and classification framework referenced in Sections 6 and 10.6.]</w:t>
      </w:r>
    </w:p>
    <w:p>
      <w:pPr>
        <w:spacing w:before="0" w:after="200" w:line="276" w:lineRule="auto"/>
      </w:pPr>
      <w:r>
        <w:rPr>
          <w:rFonts w:ascii="Arial" w:cs="Arial" w:eastAsia="Arial" w:hAnsi="Arial"/>
          <w:color w:val="2C2C2C"/>
          <w:sz w:val="22"/>
          <w:szCs w:val="22"/>
        </w:rPr>
        <w:t xml:space="preserve">U.S. Department of Health and Human Services. (2024, December 27). HIPAA Security Rule NPRM: Notice of Proposed Rulemaking to Strengthen Cybersecurity for Electronic Protected Health Information. Federal Register. [HIPAA Security Rule proposed amendments referenced in Section 6.3 and 10.6.]</w:t>
      </w:r>
    </w:p>
    <w:p>
      <w:pPr>
        <w:spacing w:before="0" w:after="200" w:line="276" w:lineRule="auto"/>
      </w:pPr>
      <w:r>
        <w:rPr>
          <w:rFonts w:ascii="Arial" w:cs="Arial" w:eastAsia="Arial" w:hAnsi="Arial"/>
          <w:color w:val="2C2C2C"/>
          <w:sz w:val="22"/>
          <w:szCs w:val="22"/>
        </w:rPr>
        <w:t xml:space="preserve">45 C.F.R. Part 164, Subpart C, Security Standards for the Protection of Electronic Protected Health Information. [HIPAA technical safeguards (164.312) referenced in Sections 6.1 and 6.3.]</w:t>
      </w:r>
    </w:p>
    <w:p>
      <w:pPr>
        <w:spacing w:before="0" w:after="200" w:line="276" w:lineRule="auto"/>
      </w:pPr>
      <w:r>
        <w:rPr>
          <w:rFonts w:ascii="Arial" w:cs="Arial" w:eastAsia="Arial" w:hAnsi="Arial"/>
          <w:color w:val="2C2C2C"/>
          <w:sz w:val="22"/>
          <w:szCs w:val="22"/>
        </w:rPr>
        <w:t xml:space="preserve">Securities and Exchange Commission. (2025, June 12). Release No. 33-11377: Withdrawal of Predictive Data Analytics Rule Proposal. SEC.gov. [SEC Rule 15l-2 withdrawal referenced in Section 10.6.]</w:t>
      </w:r>
    </w:p>
    <w:p>
      <w:pPr>
        <w:spacing w:before="0" w:after="200" w:line="276" w:lineRule="auto"/>
      </w:pPr>
      <w:r>
        <w:rPr>
          <w:rFonts w:ascii="Arial" w:cs="Arial" w:eastAsia="Arial" w:hAnsi="Arial"/>
          <w:color w:val="2C2C2C"/>
          <w:sz w:val="22"/>
          <w:szCs w:val="22"/>
        </w:rPr>
        <w:t xml:space="preserve">Financial Industry Regulatory Authority. (2024, June). Regulatory Notice 24-09: Guidance on Supervision and Compliance Obligations Related to the Use of Generative AI Tools. FINRA. [FINRA AI guidance referenced in Section 10.6.]</w:t>
      </w:r>
    </w:p>
    <w:p>
      <w:pPr>
        <w:spacing w:before="0" w:after="200" w:line="276" w:lineRule="auto"/>
      </w:pPr>
      <w:r>
        <w:rPr>
          <w:rFonts w:ascii="Arial" w:cs="Arial" w:eastAsia="Arial" w:hAnsi="Arial"/>
          <w:color w:val="2C2C2C"/>
          <w:sz w:val="22"/>
          <w:szCs w:val="22"/>
        </w:rPr>
        <w:t xml:space="preserve">Stack Overflow. (2025). Developer Survey 2025. survey.stackoverflow.co. [VS Code 75.9% market share, Cursor 18%, Windsurf 5% referenced in Section 3.3.]</w:t>
      </w:r>
    </w:p>
    <w:p>
      <w:pPr>
        <w:spacing w:before="0" w:after="200" w:line="276" w:lineRule="auto"/>
      </w:pPr>
      <w:r>
        <w:rPr>
          <w:rFonts w:ascii="Arial" w:cs="Arial" w:eastAsia="Arial" w:hAnsi="Arial"/>
          <w:color w:val="2C2C2C"/>
          <w:sz w:val="22"/>
          <w:szCs w:val="22"/>
        </w:rPr>
        <w:t xml:space="preserve">Noma Security. (2025, July). Noma Security Raises $100M to Drive Adoption of AI Agent Security. noma.security. [Market validation signal referenced in Sections 1 and 13.]</w:t>
      </w:r>
    </w:p>
    <w:p>
      <w:pPr>
        <w:spacing w:before="80" w:after="0"/>
      </w:pPr>
    </w:p>
    <w:p>
      <w:pPr>
        <w:spacing w:before="0" w:after="200" w:line="276" w:lineRule="auto"/>
      </w:pPr>
      <w:r>
        <w:rPr>
          <w:rFonts w:ascii="Arial" w:cs="Arial" w:eastAsia="Arial" w:hAnsi="Arial"/>
          <w:color w:val="2C2C2C"/>
          <w:sz w:val="22"/>
          <w:szCs w:val="22"/>
        </w:rPr>
        <w:t xml:space="preserve">All other concepts, architectures, and systems described in this paper are original contributions of the author. No additional external citations are required.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r>
    <w:r>
      <w:rPr>
        <w:rFonts w:ascii="Arial" w:cs="Arial" w:eastAsia="Arial" w:hAnsi="Arial"/>
        <w:color w:val="555555"/>
        <w:sz w:val="18"/>
        <w:szCs w:val="18"/>
      </w:rPr>
      <w:instrText xml:space="preserve">PAGE</w:instrText>
    </w:r>
    <w:r>
      <w:rPr>
        <w:rFonts w:ascii="Arial" w:cs="Arial" w:eastAsia="Arial" w:hAnsi="Arial"/>
        <w:color w:val="555555"/>
        <w:sz w:val="18"/>
        <w:szCs w:val="18"/>
      </w:rPr>
      <w:fldChar w:fldCharType="separate"/>
    </w:r>
    <w:r>
      <w:rPr>
        <w:rFonts w:ascii="Arial" w:cs="Arial" w:eastAsia="Arial" w:hAnsi="Arial"/>
        <w:color w:val="555555"/>
        <w:sz w:val="18"/>
        <w:szCs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Platform Expansion  |  WP-007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2026-03-18T15:21:05.886Z</dcterms:created>
  <dcterms:modified xsi:type="dcterms:W3CDTF">2026-03-18T15:21:05.887Z</dcterms:modified>
</cp:coreProperties>
</file>

<file path=docProps/custom.xml><?xml version="1.0" encoding="utf-8"?>
<Properties xmlns="http://schemas.openxmlformats.org/officeDocument/2006/custom-properties" xmlns:vt="http://schemas.openxmlformats.org/officeDocument/2006/docPropsVTypes"/>
</file>