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  <w:r w:rsidR="00067C74">
        <w:rPr>
          <w:rFonts w:ascii="Times New Roman" w:hAnsi="Times New Roman" w:cs="Times New Roman"/>
          <w:sz w:val="32"/>
          <w:szCs w:val="32"/>
        </w:rPr>
        <w:t xml:space="preserve"> </w:t>
      </w:r>
      <w:r w:rsidR="0094414D">
        <w:rPr>
          <w:rFonts w:ascii="Times New Roman" w:hAnsi="Times New Roman" w:cs="Times New Roman"/>
          <w:sz w:val="32"/>
          <w:szCs w:val="32"/>
        </w:rPr>
        <w:t>РПЗ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94414D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94414D">
        <w:rPr>
          <w:rFonts w:ascii="Times New Roman" w:hAnsi="Times New Roman" w:cs="Times New Roman"/>
          <w:sz w:val="32"/>
          <w:szCs w:val="32"/>
        </w:rPr>
        <w:t>__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1715" w:rsidRPr="008B4621" w:rsidRDefault="00932FAB" w:rsidP="00E25960">
      <w:pPr>
        <w:pStyle w:val="a4"/>
        <w:ind w:firstLine="0"/>
        <w:jc w:val="left"/>
        <w:rPr>
          <w:rFonts w:cs="Times New Roman"/>
          <w:noProof/>
          <w:sz w:val="24"/>
        </w:rPr>
      </w:pPr>
      <w:bookmarkStart w:id="0" w:name="_Toc161681725"/>
      <w:bookmarkStart w:id="1" w:name="_Toc161681765"/>
      <w:r>
        <w:lastRenderedPageBreak/>
        <w:t>ОГЛАВЛЕНИЕ</w:t>
      </w:r>
      <w:bookmarkEnd w:id="0"/>
      <w:bookmarkEnd w:id="1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Обозначение и наименование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Программное обеспечение, необходимое для функционирования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9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Языки программирования, на которых написана программа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_Toc161681769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0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_Toc161681770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1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_Toc161681771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2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ЛОГИЧЕСКОЙ СТРУКТУРЫ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_Toc161681772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3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библиотеки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_Toc161681773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4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Алгоритм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_Toc161681774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5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Структура программы с описание функций составных частей и связи между ними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_Toc161681775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Связи программы с другими программами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ТЕХНИЧЕСКИЕ СРЕДСТВА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ВЫЗОВ И ЗАГРУЗКА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r>
        <w:lastRenderedPageBreak/>
        <w:t>1 ВВЕДЕНИЕ</w:t>
      </w:r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r>
        <w:lastRenderedPageBreak/>
        <w:t>2 НАЗНАЧЕНИЕ И ОБЛАСТЬ ПРИМЕНЕНИЯ</w:t>
      </w:r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 xml:space="preserve">На сегодняшний день на рынке представлены различные модели контроллеров, такие как </w:t>
      </w:r>
      <w:proofErr w:type="spellStart"/>
      <w:r>
        <w:t>Modicon</w:t>
      </w:r>
      <w:proofErr w:type="spellEnd"/>
      <w:r>
        <w:t xml:space="preserve">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 xml:space="preserve">Контроллер </w:t>
      </w:r>
      <w:r>
        <w:t>асинхронного и шагового двигателей</w:t>
      </w:r>
      <w:r>
        <w:t>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r>
        <w:lastRenderedPageBreak/>
        <w:t>3 ТЕХНИЧЕСКИЕ ХАРАКТЕРИСТИКИ</w:t>
      </w:r>
    </w:p>
    <w:p w:rsidR="0017623E" w:rsidRDefault="0017623E" w:rsidP="0017623E">
      <w:pPr>
        <w:pStyle w:val="a4"/>
        <w:ind w:firstLine="0"/>
      </w:pPr>
      <w:r>
        <w:t>3</w:t>
      </w:r>
      <w:r>
        <w:rPr>
          <w:lang w:val="en-US"/>
        </w:rPr>
        <w:t xml:space="preserve">.1 </w:t>
      </w:r>
      <w:r>
        <w:t>Аппаратная часть</w:t>
      </w:r>
    </w:p>
    <w:p w:rsidR="0017623E" w:rsidRDefault="0017623E" w:rsidP="0017623E">
      <w:pPr>
        <w:pStyle w:val="a4"/>
        <w:ind w:firstLine="0"/>
      </w:pPr>
      <w:r>
        <w:t>3.1.1 Описание схемы</w:t>
      </w:r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r>
        <w:t>3.1.2 Обоснование выбора компонентов</w:t>
      </w:r>
    </w:p>
    <w:p w:rsidR="0017623E" w:rsidRDefault="0017623E" w:rsidP="0017623E">
      <w:pPr>
        <w:pStyle w:val="a4"/>
        <w:ind w:firstLine="0"/>
      </w:pPr>
      <w:r>
        <w:t>3.1.2.1 Обоснование выбора микропроцессорного модуля</w:t>
      </w:r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r>
        <w:rPr>
          <w:lang w:val="en-US"/>
        </w:rPr>
        <w:t xml:space="preserve">3.1.2.2 </w:t>
      </w:r>
      <w:r>
        <w:t>Обоснование выбора резисторов и конденсаторов</w:t>
      </w:r>
    </w:p>
    <w:p w:rsidR="001C4123" w:rsidRDefault="001C4123" w:rsidP="001C4123">
      <w:pPr>
        <w:pStyle w:val="a4"/>
        <w:ind w:firstLine="0"/>
      </w:pPr>
      <w:r>
        <w:t>3.1.2.3 Расчет времени наработки на отказ</w:t>
      </w:r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1C4123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lastRenderedPageBreak/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 xml:space="preserve">=140488 </m:t>
        </m:r>
        <m:r>
          <w:rPr>
            <w:rFonts w:ascii="Cambria Math" w:eastAsiaTheme="minorEastAsia" w:hAnsi="Cambria Math"/>
          </w:rPr>
          <m:t>часов</m:t>
        </m:r>
      </m:oMath>
    </w:p>
    <w:p w:rsidR="000638F8" w:rsidRDefault="000638F8" w:rsidP="000638F8">
      <w:pPr>
        <w:pStyle w:val="a4"/>
        <w:ind w:firstLine="0"/>
      </w:pPr>
      <w:r>
        <w:t>3</w:t>
      </w:r>
      <w:r>
        <w:rPr>
          <w:lang w:val="en-US"/>
        </w:rPr>
        <w:t xml:space="preserve">.1.4 </w:t>
      </w:r>
      <w:r>
        <w:t>Расчет потребляемой мощности</w:t>
      </w:r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3B7983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Default="003B7983" w:rsidP="003B7983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6D3BAA">
        <w:rPr>
          <w:rFonts w:eastAsiaTheme="minorEastAsia"/>
          <w:lang w:val="en-US"/>
        </w:rPr>
        <w:t>.</w:t>
      </w:r>
    </w:p>
    <w:p w:rsidR="006D3BAA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Таким образом, максимальная потребляемая мощность устройства равна:</w:t>
      </w:r>
    </w:p>
    <w:p w:rsidR="006D3BAA" w:rsidRPr="006D3BAA" w:rsidRDefault="006D3BAA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D3BAA" w:rsidRDefault="006D3BAA" w:rsidP="006D3BAA">
      <w:pPr>
        <w:pStyle w:val="a4"/>
        <w:ind w:firstLine="0"/>
      </w:pPr>
      <w:r>
        <w:t>3.1.5 Внешний вид аппаратной части</w:t>
      </w:r>
    </w:p>
    <w:p w:rsidR="006D3BAA" w:rsidRPr="006D3BAA" w:rsidRDefault="006D3BAA" w:rsidP="006D3BAA">
      <w:pPr>
        <w:pStyle w:val="a4"/>
        <w:ind w:firstLine="0"/>
      </w:pPr>
      <w:r>
        <w:t>ПРОДОЛЖЕНИЕ СЛЕДУЕТ</w:t>
      </w:r>
    </w:p>
    <w:sectPr w:rsidR="006D3BAA" w:rsidRPr="006D3BAA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4E6C" w:rsidRDefault="00814E6C" w:rsidP="00E709BB">
      <w:r>
        <w:separator/>
      </w:r>
    </w:p>
  </w:endnote>
  <w:endnote w:type="continuationSeparator" w:id="0">
    <w:p w:rsidR="00814E6C" w:rsidRDefault="00814E6C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4E6C" w:rsidRDefault="00814E6C" w:rsidP="00E709BB">
      <w:r>
        <w:separator/>
      </w:r>
    </w:p>
  </w:footnote>
  <w:footnote w:type="continuationSeparator" w:id="0">
    <w:p w:rsidR="00814E6C" w:rsidRDefault="00814E6C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9"/>
  </w:num>
  <w:num w:numId="2" w16cid:durableId="1888223391">
    <w:abstractNumId w:val="0"/>
  </w:num>
  <w:num w:numId="3" w16cid:durableId="191842667">
    <w:abstractNumId w:val="5"/>
  </w:num>
  <w:num w:numId="4" w16cid:durableId="1194732552">
    <w:abstractNumId w:val="8"/>
  </w:num>
  <w:num w:numId="5" w16cid:durableId="1903444399">
    <w:abstractNumId w:val="6"/>
  </w:num>
  <w:num w:numId="6" w16cid:durableId="1574050067">
    <w:abstractNumId w:val="1"/>
  </w:num>
  <w:num w:numId="7" w16cid:durableId="887645088">
    <w:abstractNumId w:val="4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2293F"/>
    <w:rsid w:val="000638F8"/>
    <w:rsid w:val="00067C74"/>
    <w:rsid w:val="00080FBA"/>
    <w:rsid w:val="0009052A"/>
    <w:rsid w:val="000B278A"/>
    <w:rsid w:val="00112A69"/>
    <w:rsid w:val="0017623E"/>
    <w:rsid w:val="001C4123"/>
    <w:rsid w:val="001F0E9E"/>
    <w:rsid w:val="00340981"/>
    <w:rsid w:val="003B7983"/>
    <w:rsid w:val="003E5F00"/>
    <w:rsid w:val="00465270"/>
    <w:rsid w:val="004F1F5A"/>
    <w:rsid w:val="0052240A"/>
    <w:rsid w:val="0058452B"/>
    <w:rsid w:val="005B1715"/>
    <w:rsid w:val="00600C53"/>
    <w:rsid w:val="006725F1"/>
    <w:rsid w:val="006C46DC"/>
    <w:rsid w:val="006D3BAA"/>
    <w:rsid w:val="00715890"/>
    <w:rsid w:val="0072025D"/>
    <w:rsid w:val="007B0804"/>
    <w:rsid w:val="008136E2"/>
    <w:rsid w:val="00814E6C"/>
    <w:rsid w:val="008B4621"/>
    <w:rsid w:val="009163B6"/>
    <w:rsid w:val="00921E41"/>
    <w:rsid w:val="00932FAB"/>
    <w:rsid w:val="0094414D"/>
    <w:rsid w:val="00946D31"/>
    <w:rsid w:val="0099660C"/>
    <w:rsid w:val="00A04AA9"/>
    <w:rsid w:val="00AA17CA"/>
    <w:rsid w:val="00BF37F0"/>
    <w:rsid w:val="00CE7917"/>
    <w:rsid w:val="00CF4688"/>
    <w:rsid w:val="00E25960"/>
    <w:rsid w:val="00E620A7"/>
    <w:rsid w:val="00E709BB"/>
    <w:rsid w:val="00E9677F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EA63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2024-03-20T16:28:00Z</cp:lastPrinted>
  <dcterms:created xsi:type="dcterms:W3CDTF">2024-03-20T16:28:00Z</dcterms:created>
  <dcterms:modified xsi:type="dcterms:W3CDTF">2024-03-20T17:25:00Z</dcterms:modified>
</cp:coreProperties>
</file>