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0D8" w14:textId="77777777" w:rsidR="004B28D7" w:rsidRDefault="004B28D7" w:rsidP="00C942EF">
      <w:pPr>
        <w:pStyle w:val="NoSpacing"/>
        <w:rPr>
          <w:rFonts w:cs="Times New Roman"/>
          <w:b/>
        </w:rPr>
      </w:pPr>
    </w:p>
    <w:p w14:paraId="45C4FDE7" w14:textId="77777777" w:rsidR="00D87917" w:rsidRPr="00D87917" w:rsidRDefault="00D87917" w:rsidP="00D87917">
      <w:pPr>
        <w:rPr>
          <w:rFonts w:eastAsia="Times New Roman"/>
          <w:sz w:val="22"/>
          <w:szCs w:val="22"/>
        </w:rPr>
      </w:pPr>
      <w:r w:rsidRPr="00D87917">
        <w:rPr>
          <w:rFonts w:eastAsia="Times New Roman"/>
        </w:rPr>
        <w:t xml:space="preserve">Tumor Growth Inhibition Modeling in First-line Advanced Renal Cell Carcinoma (RCC): </w:t>
      </w:r>
      <w:proofErr w:type="gramStart"/>
      <w:r w:rsidRPr="00D87917">
        <w:rPr>
          <w:rFonts w:eastAsia="Times New Roman"/>
        </w:rPr>
        <w:t>an</w:t>
      </w:r>
      <w:proofErr w:type="gramEnd"/>
      <w:r w:rsidRPr="00D87917">
        <w:rPr>
          <w:rFonts w:eastAsia="Times New Roman"/>
        </w:rPr>
        <w:t xml:space="preserve"> Analysis Across Multiple Types of Treatments</w:t>
      </w:r>
    </w:p>
    <w:p w14:paraId="3E280806" w14:textId="314D6182" w:rsidR="00CE1FC5" w:rsidRPr="00FF4712" w:rsidRDefault="00D87917" w:rsidP="00D87917">
      <w:pPr>
        <w:pStyle w:val="NoSpacing"/>
        <w:rPr>
          <w:rFonts w:cs="Times New Roman"/>
          <w:b/>
          <w:bCs/>
        </w:rPr>
      </w:pPr>
      <w:r w:rsidRPr="36174FAD">
        <w:rPr>
          <w:rFonts w:cs="Times New Roman"/>
          <w:color w:val="A6A6A6" w:themeColor="background1" w:themeShade="A6"/>
        </w:rPr>
        <w:t xml:space="preserve"> </w:t>
      </w:r>
      <w:r w:rsidR="00012D46" w:rsidRPr="36174FAD">
        <w:rPr>
          <w:rFonts w:cs="Times New Roman"/>
          <w:color w:val="A6A6A6" w:themeColor="background1" w:themeShade="A6"/>
        </w:rPr>
        <w:t>(</w:t>
      </w:r>
      <w:r w:rsidR="00492BB8" w:rsidRPr="36174FAD">
        <w:rPr>
          <w:rFonts w:cs="Times New Roman"/>
          <w:color w:val="A6A6A6" w:themeColor="background1" w:themeShade="A6"/>
        </w:rPr>
        <w:t>character</w:t>
      </w:r>
      <w:r w:rsidR="00012D46" w:rsidRPr="36174FAD">
        <w:rPr>
          <w:rFonts w:cs="Times New Roman"/>
          <w:color w:val="A6A6A6" w:themeColor="background1" w:themeShade="A6"/>
        </w:rPr>
        <w:t xml:space="preserve"> count: </w:t>
      </w:r>
      <w:r w:rsidR="009F597E" w:rsidRPr="36174FAD">
        <w:rPr>
          <w:rFonts w:cs="Times New Roman"/>
          <w:color w:val="FF0000"/>
        </w:rPr>
        <w:t>1</w:t>
      </w:r>
      <w:r w:rsidR="00A24218">
        <w:rPr>
          <w:rFonts w:cs="Times New Roman"/>
          <w:color w:val="FF0000"/>
        </w:rPr>
        <w:t>550</w:t>
      </w:r>
      <w:r w:rsidR="00140034" w:rsidRPr="36174FAD">
        <w:rPr>
          <w:rFonts w:cs="Times New Roman"/>
          <w:color w:val="A6A6A6" w:themeColor="background1" w:themeShade="A6"/>
        </w:rPr>
        <w:t>/</w:t>
      </w:r>
      <w:commentRangeStart w:id="0"/>
      <w:r w:rsidR="00492BB8" w:rsidRPr="36174FAD">
        <w:rPr>
          <w:rFonts w:cs="Times New Roman"/>
          <w:color w:val="A6A6A6" w:themeColor="background1" w:themeShade="A6"/>
        </w:rPr>
        <w:t>155</w:t>
      </w:r>
      <w:r w:rsidR="006F2039" w:rsidRPr="36174FAD">
        <w:rPr>
          <w:rFonts w:cs="Times New Roman"/>
          <w:color w:val="A6A6A6" w:themeColor="background1" w:themeShade="A6"/>
        </w:rPr>
        <w:t>0</w:t>
      </w:r>
      <w:commentRangeEnd w:id="0"/>
      <w:r w:rsidR="00201470">
        <w:rPr>
          <w:rStyle w:val="CommentReference"/>
        </w:rPr>
        <w:commentReference w:id="0"/>
      </w:r>
      <w:r w:rsidR="006F2039" w:rsidRPr="36174FAD">
        <w:rPr>
          <w:rFonts w:cs="Times New Roman"/>
          <w:color w:val="A6A6A6" w:themeColor="background1" w:themeShade="A6"/>
        </w:rPr>
        <w:t>)</w:t>
      </w:r>
    </w:p>
    <w:p w14:paraId="526516E8" w14:textId="77777777" w:rsidR="00F329AE" w:rsidRPr="00FF4712" w:rsidRDefault="00F329AE" w:rsidP="00C942EF">
      <w:pPr>
        <w:pStyle w:val="NoSpacing"/>
        <w:rPr>
          <w:rFonts w:cs="Times New Roman"/>
          <w:b/>
        </w:rPr>
      </w:pPr>
    </w:p>
    <w:p w14:paraId="5A2A0672" w14:textId="7A181F33" w:rsidR="00BF7B66" w:rsidRPr="00FF4712" w:rsidRDefault="00012D46" w:rsidP="004B28D7">
      <w:pPr>
        <w:pStyle w:val="NoSpacing"/>
        <w:spacing w:line="480" w:lineRule="auto"/>
        <w:rPr>
          <w:rFonts w:cs="Times New Roman"/>
          <w:vertAlign w:val="superscript"/>
        </w:rPr>
      </w:pPr>
      <w:r w:rsidRPr="72BDB2F2">
        <w:rPr>
          <w:rFonts w:cs="Times New Roman"/>
        </w:rPr>
        <w:t xml:space="preserve">Swan Lin, </w:t>
      </w:r>
      <w:proofErr w:type="spellStart"/>
      <w:r w:rsidRPr="72BDB2F2">
        <w:rPr>
          <w:rFonts w:cs="Times New Roman"/>
        </w:rPr>
        <w:t>PharmD</w:t>
      </w:r>
      <w:r w:rsidRPr="72BDB2F2">
        <w:rPr>
          <w:rFonts w:cs="Times New Roman"/>
          <w:vertAlign w:val="superscript"/>
        </w:rPr>
        <w:t>1</w:t>
      </w:r>
      <w:proofErr w:type="spellEnd"/>
      <w:r w:rsidR="009D1629" w:rsidRPr="72BDB2F2">
        <w:rPr>
          <w:rFonts w:cs="Times New Roman"/>
        </w:rPr>
        <w:t>,</w:t>
      </w:r>
      <w:r w:rsidRPr="72BDB2F2">
        <w:rPr>
          <w:rFonts w:cs="Times New Roman"/>
          <w:vertAlign w:val="superscript"/>
        </w:rPr>
        <w:t xml:space="preserve"> </w:t>
      </w:r>
      <w:r w:rsidRPr="72BDB2F2">
        <w:rPr>
          <w:rFonts w:cs="Times New Roman"/>
        </w:rPr>
        <w:t>J</w:t>
      </w:r>
      <w:r w:rsidR="000C5E7F" w:rsidRPr="72BDB2F2">
        <w:rPr>
          <w:rFonts w:cs="Times New Roman"/>
        </w:rPr>
        <w:t xml:space="preserve">erry Li, </w:t>
      </w:r>
      <w:proofErr w:type="spellStart"/>
      <w:r w:rsidR="000C5E7F" w:rsidRPr="72BDB2F2">
        <w:rPr>
          <w:rFonts w:cs="Times New Roman"/>
        </w:rPr>
        <w:t>PharmD</w:t>
      </w:r>
      <w:r w:rsidR="00574DF7" w:rsidRPr="72BDB2F2">
        <w:rPr>
          <w:rFonts w:cs="Times New Roman"/>
          <w:vertAlign w:val="superscript"/>
        </w:rPr>
        <w:t>2</w:t>
      </w:r>
      <w:proofErr w:type="spellEnd"/>
      <w:r w:rsidR="000C5E7F" w:rsidRPr="72BDB2F2">
        <w:rPr>
          <w:rFonts w:cs="Times New Roman"/>
        </w:rPr>
        <w:t xml:space="preserve">, Mohamed </w:t>
      </w:r>
      <w:r w:rsidR="45988D88" w:rsidRPr="359093AB">
        <w:rPr>
          <w:rFonts w:cs="Times New Roman"/>
        </w:rPr>
        <w:t xml:space="preserve">H. </w:t>
      </w:r>
      <w:r w:rsidR="000C5E7F" w:rsidRPr="72BDB2F2">
        <w:rPr>
          <w:rFonts w:cs="Times New Roman"/>
        </w:rPr>
        <w:t>Shahin</w:t>
      </w:r>
      <w:r w:rsidR="0045026A" w:rsidRPr="72BDB2F2">
        <w:rPr>
          <w:rFonts w:cs="Times New Roman"/>
        </w:rPr>
        <w:t>,</w:t>
      </w:r>
      <w:r w:rsidR="00B6528F" w:rsidRPr="72BDB2F2">
        <w:rPr>
          <w:rFonts w:cs="Times New Roman"/>
        </w:rPr>
        <w:t xml:space="preserve"> Ph.D.</w:t>
      </w:r>
      <w:r w:rsidR="2E97B30B" w:rsidRPr="72BDB2F2">
        <w:rPr>
          <w:rFonts w:cs="Times New Roman"/>
          <w:vertAlign w:val="superscript"/>
        </w:rPr>
        <w:t xml:space="preserve"> 3</w:t>
      </w:r>
      <w:r w:rsidR="4C95DD88" w:rsidRPr="72BDB2F2">
        <w:rPr>
          <w:rFonts w:cs="Times New Roman"/>
        </w:rPr>
        <w:t xml:space="preserve">, </w:t>
      </w:r>
      <w:r w:rsidR="0045026A" w:rsidRPr="72BDB2F2">
        <w:rPr>
          <w:rFonts w:cs="Times New Roman"/>
        </w:rPr>
        <w:t>Dana Nickens</w:t>
      </w:r>
      <w:r w:rsidR="6310CA31" w:rsidRPr="72BDB2F2">
        <w:rPr>
          <w:rFonts w:cs="Times New Roman"/>
        </w:rPr>
        <w:t xml:space="preserve">, </w:t>
      </w:r>
      <w:proofErr w:type="spellStart"/>
      <w:r w:rsidR="6310CA31" w:rsidRPr="72BDB2F2">
        <w:rPr>
          <w:rFonts w:cs="Times New Roman"/>
        </w:rPr>
        <w:t>MS</w:t>
      </w:r>
      <w:r w:rsidR="6310CA31" w:rsidRPr="005C0645">
        <w:rPr>
          <w:rFonts w:cs="Times New Roman"/>
          <w:vertAlign w:val="superscript"/>
        </w:rPr>
        <w:t>1</w:t>
      </w:r>
      <w:proofErr w:type="spellEnd"/>
      <w:r w:rsidR="0045026A" w:rsidRPr="72BDB2F2">
        <w:rPr>
          <w:rFonts w:cs="Times New Roman"/>
        </w:rPr>
        <w:t>, Daniele Ouellet</w:t>
      </w:r>
      <w:r w:rsidR="00793807" w:rsidRPr="72BDB2F2">
        <w:rPr>
          <w:rFonts w:cs="Times New Roman"/>
        </w:rPr>
        <w:t xml:space="preserve">, </w:t>
      </w:r>
      <w:proofErr w:type="spellStart"/>
      <w:r w:rsidR="00793807" w:rsidRPr="72BDB2F2">
        <w:rPr>
          <w:rFonts w:cs="Times New Roman"/>
        </w:rPr>
        <w:t>PhD</w:t>
      </w:r>
      <w:r w:rsidR="00AE400C" w:rsidRPr="005C0645">
        <w:rPr>
          <w:rFonts w:cs="Times New Roman"/>
          <w:vertAlign w:val="superscript"/>
        </w:rPr>
        <w:t>2</w:t>
      </w:r>
      <w:bookmarkStart w:id="1" w:name="_GoBack"/>
      <w:bookmarkEnd w:id="1"/>
      <w:proofErr w:type="spellEnd"/>
    </w:p>
    <w:p w14:paraId="2AB46D6A" w14:textId="50B8F007" w:rsidR="00ED6A45" w:rsidRDefault="00012D46" w:rsidP="004B28D7">
      <w:pPr>
        <w:pStyle w:val="NoSpacing"/>
        <w:spacing w:line="480" w:lineRule="auto"/>
      </w:pPr>
      <w:proofErr w:type="spellStart"/>
      <w:r w:rsidRPr="00FF4712">
        <w:rPr>
          <w:vertAlign w:val="superscript"/>
        </w:rPr>
        <w:t>1</w:t>
      </w:r>
      <w:r w:rsidR="0045026A">
        <w:t>Pharmacometrics</w:t>
      </w:r>
      <w:proofErr w:type="spellEnd"/>
      <w:r w:rsidRPr="00FF4712">
        <w:t xml:space="preserve">, Global Product Development, Pfizer Inc, San Diego, CA, USA; </w:t>
      </w:r>
    </w:p>
    <w:p w14:paraId="7C1D6356" w14:textId="10E5FA2E" w:rsidR="00574DF7" w:rsidRDefault="00574DF7" w:rsidP="00574DF7">
      <w:pPr>
        <w:pStyle w:val="NoSpacing"/>
        <w:spacing w:line="480" w:lineRule="auto"/>
      </w:pPr>
      <w:proofErr w:type="spellStart"/>
      <w:r>
        <w:rPr>
          <w:vertAlign w:val="superscript"/>
        </w:rPr>
        <w:t>2</w:t>
      </w:r>
      <w:r>
        <w:t>Pharmacometrics</w:t>
      </w:r>
      <w:proofErr w:type="spellEnd"/>
      <w:r w:rsidRPr="00FF4712">
        <w:t xml:space="preserve">, Global Product Development, Pfizer Inc, </w:t>
      </w:r>
      <w:r>
        <w:t>Collegeville, PA</w:t>
      </w:r>
      <w:r w:rsidRPr="00FF4712">
        <w:t xml:space="preserve">, USA; </w:t>
      </w:r>
    </w:p>
    <w:p w14:paraId="61DD2691" w14:textId="3ECF3D44" w:rsidR="00574DF7" w:rsidRDefault="00B6528F" w:rsidP="004B28D7">
      <w:pPr>
        <w:pStyle w:val="NoSpacing"/>
        <w:spacing w:line="480" w:lineRule="auto"/>
      </w:pPr>
      <w:proofErr w:type="spellStart"/>
      <w:r w:rsidRPr="00D246D6">
        <w:rPr>
          <w:vertAlign w:val="superscript"/>
        </w:rPr>
        <w:t>3</w:t>
      </w:r>
      <w:bookmarkStart w:id="2" w:name="_Hlk48911046"/>
      <w:r w:rsidRPr="0022720B">
        <w:t>Pfizer</w:t>
      </w:r>
      <w:proofErr w:type="spellEnd"/>
      <w:r w:rsidRPr="0022720B">
        <w:t xml:space="preserve"> Global Research and Development, Groton, CT, USA</w:t>
      </w:r>
      <w:bookmarkEnd w:id="2"/>
    </w:p>
    <w:p w14:paraId="67671E12" w14:textId="77777777" w:rsidR="00AB63E6" w:rsidRPr="00FF4712" w:rsidRDefault="00AB63E6" w:rsidP="00C942EF">
      <w:pPr>
        <w:pStyle w:val="NoSpacing"/>
        <w:rPr>
          <w:rFonts w:cs="Times New Roman"/>
          <w:b/>
        </w:rPr>
      </w:pPr>
    </w:p>
    <w:p w14:paraId="3E097972" w14:textId="6D8C024E" w:rsidR="00973D99" w:rsidRPr="00FF4712" w:rsidRDefault="00C942EF" w:rsidP="36174FAD">
      <w:pPr>
        <w:pStyle w:val="Paragraph"/>
        <w:spacing w:line="480" w:lineRule="auto"/>
        <w:rPr>
          <w:rFonts w:asciiTheme="minorHAnsi" w:hAnsiTheme="minorHAnsi"/>
          <w:sz w:val="22"/>
          <w:szCs w:val="22"/>
        </w:rPr>
      </w:pPr>
      <w:r w:rsidRPr="0982B040">
        <w:rPr>
          <w:rFonts w:asciiTheme="minorHAnsi" w:hAnsiTheme="minorHAnsi"/>
          <w:b/>
          <w:bCs/>
          <w:sz w:val="22"/>
          <w:szCs w:val="22"/>
        </w:rPr>
        <w:t>Background</w:t>
      </w:r>
      <w:r w:rsidR="00B358AB" w:rsidRPr="0982B040">
        <w:rPr>
          <w:rFonts w:asciiTheme="minorHAnsi" w:hAnsiTheme="minorHAnsi"/>
          <w:b/>
          <w:bCs/>
          <w:sz w:val="22"/>
          <w:szCs w:val="22"/>
        </w:rPr>
        <w:t xml:space="preserve">: </w:t>
      </w:r>
      <w:r w:rsidR="009A6E8E" w:rsidRPr="009A6E8E">
        <w:rPr>
          <w:rFonts w:asciiTheme="minorHAnsi" w:hAnsiTheme="minorHAnsi" w:cstheme="minorBidi"/>
          <w:sz w:val="22"/>
          <w:szCs w:val="22"/>
        </w:rPr>
        <w:t>Early prediction of tumor response of patients could support drug development decisions in oncology. Tumor growth inhibition (</w:t>
      </w:r>
      <w:proofErr w:type="spellStart"/>
      <w:r w:rsidR="009A6E8E" w:rsidRPr="009A6E8E">
        <w:rPr>
          <w:rFonts w:asciiTheme="minorHAnsi" w:hAnsiTheme="minorHAnsi" w:cstheme="minorBidi"/>
          <w:sz w:val="22"/>
          <w:szCs w:val="22"/>
        </w:rPr>
        <w:t>TGI</w:t>
      </w:r>
      <w:proofErr w:type="spellEnd"/>
      <w:r w:rsidR="009A6E8E" w:rsidRPr="009A6E8E">
        <w:rPr>
          <w:rFonts w:asciiTheme="minorHAnsi" w:hAnsiTheme="minorHAnsi" w:cstheme="minorBidi"/>
          <w:sz w:val="22"/>
          <w:szCs w:val="22"/>
        </w:rPr>
        <w:t>) metrics estimated based on modeling of longitudinal tumor size data have been shown to be predictive of patients’ survival in a variety of tumor types.</w:t>
      </w:r>
      <w:r w:rsidR="009A6E8E">
        <w:t xml:space="preserve"> </w:t>
      </w:r>
      <w:proofErr w:type="spellStart"/>
      <w:r w:rsidR="008476BB">
        <w:rPr>
          <w:rFonts w:asciiTheme="minorHAnsi" w:hAnsiTheme="minorHAnsi" w:cstheme="minorBidi"/>
          <w:sz w:val="22"/>
          <w:szCs w:val="22"/>
        </w:rPr>
        <w:t>TGI</w:t>
      </w:r>
      <w:proofErr w:type="spellEnd"/>
      <w:r w:rsidR="008476BB">
        <w:rPr>
          <w:rFonts w:asciiTheme="minorHAnsi" w:hAnsiTheme="minorHAnsi" w:cstheme="minorBidi"/>
          <w:sz w:val="22"/>
          <w:szCs w:val="22"/>
        </w:rPr>
        <w:t xml:space="preserve"> modeling across multiple treatments, including </w:t>
      </w:r>
      <w:r w:rsidR="003105E3">
        <w:rPr>
          <w:rFonts w:asciiTheme="minorHAnsi" w:hAnsiTheme="minorHAnsi" w:cstheme="minorBidi"/>
          <w:sz w:val="22"/>
          <w:szCs w:val="22"/>
        </w:rPr>
        <w:t>combination immunotherapy with a VEGF receptor inhibitor has not been studied. A</w:t>
      </w:r>
      <w:r w:rsidR="006C4313" w:rsidRPr="0982B040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3105E3">
        <w:rPr>
          <w:rFonts w:asciiTheme="minorHAnsi" w:hAnsiTheme="minorHAnsi" w:cstheme="minorBidi"/>
          <w:sz w:val="22"/>
          <w:szCs w:val="22"/>
        </w:rPr>
        <w:t>TGI</w:t>
      </w:r>
      <w:proofErr w:type="spellEnd"/>
      <w:r w:rsidR="006C4313" w:rsidRPr="0982B040">
        <w:rPr>
          <w:rFonts w:asciiTheme="minorHAnsi" w:hAnsiTheme="minorHAnsi" w:cstheme="minorBidi"/>
          <w:sz w:val="22"/>
          <w:szCs w:val="22"/>
        </w:rPr>
        <w:t xml:space="preserve"> model was developed</w:t>
      </w:r>
      <w:r w:rsidR="007A35B5" w:rsidRPr="0982B040">
        <w:rPr>
          <w:rFonts w:asciiTheme="minorHAnsi" w:hAnsiTheme="minorHAnsi" w:cstheme="minorBidi"/>
          <w:sz w:val="22"/>
          <w:szCs w:val="22"/>
        </w:rPr>
        <w:t xml:space="preserve"> to characterize the </w:t>
      </w:r>
      <w:r w:rsidR="006C4313" w:rsidRPr="0982B040">
        <w:rPr>
          <w:rFonts w:asciiTheme="minorHAnsi" w:hAnsiTheme="minorHAnsi" w:cstheme="minorBidi"/>
          <w:sz w:val="22"/>
          <w:szCs w:val="22"/>
        </w:rPr>
        <w:t>time course of tumor size</w:t>
      </w:r>
      <w:r w:rsidR="00073A9C" w:rsidRPr="0982B040">
        <w:rPr>
          <w:rFonts w:asciiTheme="minorHAnsi" w:hAnsiTheme="minorHAnsi" w:cstheme="minorBidi"/>
          <w:sz w:val="22"/>
          <w:szCs w:val="22"/>
        </w:rPr>
        <w:t xml:space="preserve"> across 4 clinical studies and 5</w:t>
      </w:r>
      <w:r w:rsidR="69CD2F26" w:rsidRPr="0982B040">
        <w:rPr>
          <w:rFonts w:asciiTheme="minorHAnsi" w:hAnsiTheme="minorHAnsi" w:cstheme="minorBidi"/>
          <w:sz w:val="22"/>
          <w:szCs w:val="22"/>
        </w:rPr>
        <w:t xml:space="preserve"> different</w:t>
      </w:r>
      <w:r w:rsidR="00073A9C" w:rsidRPr="0982B040">
        <w:rPr>
          <w:rFonts w:asciiTheme="minorHAnsi" w:hAnsiTheme="minorHAnsi" w:cstheme="minorBidi"/>
          <w:sz w:val="22"/>
          <w:szCs w:val="22"/>
        </w:rPr>
        <w:t xml:space="preserve"> treatments.</w:t>
      </w:r>
    </w:p>
    <w:p w14:paraId="4377A9C9" w14:textId="311F0A8F" w:rsidR="00973D99" w:rsidRPr="005F2E99" w:rsidRDefault="00C942EF" w:rsidP="36174FAD">
      <w:pPr>
        <w:pStyle w:val="Paragraph"/>
        <w:spacing w:line="480" w:lineRule="auto"/>
        <w:rPr>
          <w:rFonts w:asciiTheme="minorHAnsi" w:hAnsiTheme="minorHAnsi"/>
          <w:sz w:val="22"/>
          <w:szCs w:val="22"/>
        </w:rPr>
      </w:pPr>
      <w:r w:rsidRPr="36174FAD">
        <w:rPr>
          <w:rFonts w:asciiTheme="minorHAnsi" w:hAnsiTheme="minorHAnsi"/>
          <w:b/>
          <w:bCs/>
          <w:sz w:val="22"/>
          <w:szCs w:val="22"/>
        </w:rPr>
        <w:t>Methods</w:t>
      </w:r>
      <w:r w:rsidR="00B358AB" w:rsidRPr="36174FAD">
        <w:rPr>
          <w:rFonts w:asciiTheme="minorHAnsi" w:hAnsiTheme="minorHAnsi"/>
          <w:b/>
          <w:bCs/>
          <w:sz w:val="22"/>
          <w:szCs w:val="22"/>
        </w:rPr>
        <w:t xml:space="preserve">: </w:t>
      </w:r>
      <w:r w:rsidR="00D41157" w:rsidRPr="36174FAD">
        <w:rPr>
          <w:rFonts w:asciiTheme="minorHAnsi" w:hAnsiTheme="minorHAnsi"/>
          <w:sz w:val="22"/>
          <w:szCs w:val="22"/>
        </w:rPr>
        <w:t>F</w:t>
      </w:r>
      <w:r w:rsidR="005454DF" w:rsidRPr="36174FAD">
        <w:rPr>
          <w:rFonts w:asciiTheme="minorHAnsi" w:hAnsiTheme="minorHAnsi"/>
          <w:sz w:val="22"/>
          <w:szCs w:val="22"/>
        </w:rPr>
        <w:t xml:space="preserve">our </w:t>
      </w:r>
      <w:r w:rsidR="002D252F">
        <w:rPr>
          <w:rFonts w:asciiTheme="minorHAnsi" w:hAnsiTheme="minorHAnsi"/>
          <w:sz w:val="22"/>
          <w:szCs w:val="22"/>
        </w:rPr>
        <w:t xml:space="preserve">Phase </w:t>
      </w:r>
      <w:proofErr w:type="spellStart"/>
      <w:r w:rsidR="00AA2046">
        <w:rPr>
          <w:rFonts w:asciiTheme="minorHAnsi" w:hAnsiTheme="minorHAnsi"/>
          <w:sz w:val="22"/>
          <w:szCs w:val="22"/>
        </w:rPr>
        <w:t>1b</w:t>
      </w:r>
      <w:proofErr w:type="spellEnd"/>
      <w:r w:rsidR="002D252F">
        <w:rPr>
          <w:rFonts w:asciiTheme="minorHAnsi" w:hAnsiTheme="minorHAnsi"/>
          <w:sz w:val="22"/>
          <w:szCs w:val="22"/>
        </w:rPr>
        <w:t xml:space="preserve"> or 3 </w:t>
      </w:r>
      <w:r w:rsidR="005454DF" w:rsidRPr="36174FAD">
        <w:rPr>
          <w:rFonts w:asciiTheme="minorHAnsi" w:hAnsiTheme="minorHAnsi"/>
          <w:sz w:val="22"/>
          <w:szCs w:val="22"/>
        </w:rPr>
        <w:t>studies were included in the analysis</w:t>
      </w:r>
      <w:r w:rsidR="002D252F">
        <w:rPr>
          <w:rFonts w:asciiTheme="minorHAnsi" w:hAnsiTheme="minorHAnsi"/>
          <w:sz w:val="22"/>
          <w:szCs w:val="22"/>
        </w:rPr>
        <w:t xml:space="preserve"> </w:t>
      </w:r>
      <w:r w:rsidR="005454DF" w:rsidRPr="36174FAD">
        <w:rPr>
          <w:rFonts w:asciiTheme="minorHAnsi" w:hAnsiTheme="minorHAnsi"/>
          <w:sz w:val="22"/>
          <w:szCs w:val="22"/>
        </w:rPr>
        <w:t>with 5 treatments: interferon-</w:t>
      </w:r>
      <w:r w:rsidR="005454DF" w:rsidRPr="36174FAD">
        <w:rPr>
          <w:rFonts w:asciiTheme="minorHAnsi" w:hAnsiTheme="minorHAnsi" w:cstheme="minorBidi"/>
          <w:sz w:val="22"/>
          <w:szCs w:val="22"/>
        </w:rPr>
        <w:t>α</w:t>
      </w:r>
      <w:r w:rsidR="005454DF" w:rsidRPr="36174FAD">
        <w:rPr>
          <w:rFonts w:asciiTheme="minorHAnsi" w:hAnsiTheme="minorHAnsi"/>
          <w:sz w:val="22"/>
          <w:szCs w:val="22"/>
        </w:rPr>
        <w:t xml:space="preserve">, sunitinib, sorafenib, axitinib, </w:t>
      </w:r>
      <w:r w:rsidR="00987098" w:rsidRPr="36174FAD">
        <w:rPr>
          <w:rFonts w:asciiTheme="minorHAnsi" w:hAnsiTheme="minorHAnsi"/>
          <w:sz w:val="22"/>
          <w:szCs w:val="22"/>
        </w:rPr>
        <w:t xml:space="preserve">and avelumab + axitinib. </w:t>
      </w:r>
      <w:r w:rsidR="00C55A99" w:rsidRPr="36174FAD">
        <w:rPr>
          <w:rFonts w:asciiTheme="minorHAnsi" w:hAnsiTheme="minorHAnsi"/>
          <w:sz w:val="22"/>
          <w:szCs w:val="22"/>
        </w:rPr>
        <w:t>The</w:t>
      </w:r>
      <w:r w:rsidR="002D252F">
        <w:rPr>
          <w:rFonts w:asciiTheme="minorHAnsi" w:hAnsiTheme="minorHAnsi"/>
          <w:sz w:val="22"/>
          <w:szCs w:val="22"/>
        </w:rPr>
        <w:t xml:space="preserve"> </w:t>
      </w:r>
      <w:r w:rsidR="00C55A99" w:rsidRPr="36174FAD">
        <w:rPr>
          <w:rFonts w:asciiTheme="minorHAnsi" w:hAnsiTheme="minorHAnsi"/>
          <w:sz w:val="22"/>
          <w:szCs w:val="22"/>
        </w:rPr>
        <w:t>primary tumor dyna</w:t>
      </w:r>
      <w:r w:rsidR="00047B1F" w:rsidRPr="36174FAD">
        <w:rPr>
          <w:rFonts w:asciiTheme="minorHAnsi" w:hAnsiTheme="minorHAnsi"/>
          <w:sz w:val="22"/>
          <w:szCs w:val="22"/>
        </w:rPr>
        <w:t xml:space="preserve">mic model took the general form previously described by Claret </w:t>
      </w:r>
      <w:r w:rsidR="00047B1F" w:rsidRPr="002D252F">
        <w:rPr>
          <w:rFonts w:asciiTheme="minorHAnsi" w:hAnsiTheme="minorHAnsi"/>
          <w:i/>
          <w:iCs/>
          <w:sz w:val="22"/>
          <w:szCs w:val="22"/>
        </w:rPr>
        <w:t>et al</w:t>
      </w:r>
      <w:r w:rsidR="000E1E36">
        <w:rPr>
          <w:rFonts w:asciiTheme="minorHAnsi" w:hAnsiTheme="minorHAnsi"/>
          <w:sz w:val="22"/>
          <w:szCs w:val="22"/>
        </w:rPr>
        <w:t>.</w:t>
      </w:r>
      <w:r w:rsidR="005F2E99" w:rsidRPr="36174FAD">
        <w:rPr>
          <w:rFonts w:asciiTheme="minorHAnsi" w:hAnsiTheme="minorHAnsi"/>
          <w:sz w:val="22"/>
          <w:szCs w:val="22"/>
        </w:rPr>
        <w:t xml:space="preserve"> and included cell kill rate constant (</w:t>
      </w:r>
      <w:proofErr w:type="spellStart"/>
      <w:r w:rsidR="005F2E99" w:rsidRPr="36174FAD">
        <w:rPr>
          <w:rFonts w:asciiTheme="minorHAnsi" w:hAnsiTheme="minorHAnsi"/>
          <w:sz w:val="22"/>
          <w:szCs w:val="22"/>
        </w:rPr>
        <w:t>K</w:t>
      </w:r>
      <w:r w:rsidR="005F2E99" w:rsidRPr="36174FAD">
        <w:rPr>
          <w:rFonts w:asciiTheme="minorHAnsi" w:hAnsiTheme="minorHAnsi"/>
          <w:sz w:val="22"/>
          <w:szCs w:val="22"/>
          <w:vertAlign w:val="subscript"/>
        </w:rPr>
        <w:t>D</w:t>
      </w:r>
      <w:proofErr w:type="spellEnd"/>
      <w:r w:rsidR="005F2E99" w:rsidRPr="36174FAD">
        <w:rPr>
          <w:rFonts w:asciiTheme="minorHAnsi" w:hAnsiTheme="minorHAnsi"/>
          <w:sz w:val="22"/>
          <w:szCs w:val="22"/>
        </w:rPr>
        <w:t xml:space="preserve">), </w:t>
      </w:r>
      <w:r w:rsidR="002407C4" w:rsidRPr="36174FAD">
        <w:rPr>
          <w:rFonts w:asciiTheme="minorHAnsi" w:hAnsiTheme="minorHAnsi"/>
          <w:sz w:val="22"/>
          <w:szCs w:val="22"/>
        </w:rPr>
        <w:t>growth rate constant (K</w:t>
      </w:r>
      <w:r w:rsidR="002407C4" w:rsidRPr="36174FAD">
        <w:rPr>
          <w:rFonts w:asciiTheme="minorHAnsi" w:hAnsiTheme="minorHAnsi"/>
          <w:sz w:val="22"/>
          <w:szCs w:val="22"/>
          <w:vertAlign w:val="subscript"/>
        </w:rPr>
        <w:t>L</w:t>
      </w:r>
      <w:r w:rsidR="002407C4" w:rsidRPr="36174FAD">
        <w:rPr>
          <w:rFonts w:asciiTheme="minorHAnsi" w:hAnsiTheme="minorHAnsi"/>
          <w:sz w:val="22"/>
          <w:szCs w:val="22"/>
        </w:rPr>
        <w:t xml:space="preserve">) and </w:t>
      </w:r>
      <w:r w:rsidR="00C71E06" w:rsidRPr="36174FAD">
        <w:rPr>
          <w:rFonts w:asciiTheme="minorHAnsi" w:hAnsiTheme="minorHAnsi"/>
          <w:sz w:val="22"/>
          <w:szCs w:val="22"/>
        </w:rPr>
        <w:t>drug-resistance rate constant (</w:t>
      </w:r>
      <w:r w:rsidR="00C71E06" w:rsidRPr="36174FAD">
        <w:rPr>
          <w:rFonts w:asciiTheme="minorHAnsi" w:hAnsiTheme="minorHAnsi" w:cstheme="minorBidi"/>
          <w:sz w:val="22"/>
          <w:szCs w:val="22"/>
        </w:rPr>
        <w:t>λ</w:t>
      </w:r>
      <w:r w:rsidR="00C71E06" w:rsidRPr="36174FAD">
        <w:rPr>
          <w:rFonts w:asciiTheme="minorHAnsi" w:hAnsiTheme="minorHAnsi"/>
          <w:sz w:val="22"/>
          <w:szCs w:val="22"/>
        </w:rPr>
        <w:t xml:space="preserve">) parameters. </w:t>
      </w:r>
      <w:r w:rsidR="0047573A" w:rsidRPr="36174FAD">
        <w:rPr>
          <w:rFonts w:asciiTheme="minorHAnsi" w:hAnsiTheme="minorHAnsi"/>
          <w:sz w:val="22"/>
          <w:szCs w:val="22"/>
        </w:rPr>
        <w:t xml:space="preserve">Treatment </w:t>
      </w:r>
      <w:r w:rsidR="008B1AD1" w:rsidRPr="36174FAD">
        <w:rPr>
          <w:rFonts w:asciiTheme="minorHAnsi" w:hAnsiTheme="minorHAnsi"/>
          <w:sz w:val="22"/>
          <w:szCs w:val="22"/>
        </w:rPr>
        <w:t xml:space="preserve">and baseline tumor size were tested as covariates </w:t>
      </w:r>
      <w:r w:rsidR="006E6EC4" w:rsidRPr="36174FAD">
        <w:rPr>
          <w:rFonts w:asciiTheme="minorHAnsi" w:hAnsiTheme="minorHAnsi"/>
          <w:sz w:val="22"/>
          <w:szCs w:val="22"/>
        </w:rPr>
        <w:t xml:space="preserve">at </w:t>
      </w:r>
      <w:r w:rsidR="006E6EC4" w:rsidRPr="36174FAD">
        <w:rPr>
          <w:rFonts w:asciiTheme="minorHAnsi" w:hAnsiTheme="minorHAnsi" w:cstheme="minorBidi"/>
          <w:sz w:val="22"/>
          <w:szCs w:val="22"/>
        </w:rPr>
        <w:t>α</w:t>
      </w:r>
      <w:r w:rsidR="006E6EC4" w:rsidRPr="36174FAD">
        <w:rPr>
          <w:rFonts w:asciiTheme="minorHAnsi" w:hAnsiTheme="minorHAnsi"/>
          <w:sz w:val="22"/>
          <w:szCs w:val="22"/>
        </w:rPr>
        <w:t xml:space="preserve">=0.05 for forward inclusion and </w:t>
      </w:r>
      <w:r w:rsidR="006E6EC4" w:rsidRPr="36174FAD">
        <w:rPr>
          <w:rFonts w:asciiTheme="minorHAnsi" w:hAnsiTheme="minorHAnsi" w:cstheme="minorBidi"/>
          <w:sz w:val="22"/>
          <w:szCs w:val="22"/>
        </w:rPr>
        <w:t>α</w:t>
      </w:r>
      <w:r w:rsidR="006E6EC4" w:rsidRPr="36174FAD">
        <w:rPr>
          <w:rFonts w:asciiTheme="minorHAnsi" w:hAnsiTheme="minorHAnsi"/>
          <w:sz w:val="22"/>
          <w:szCs w:val="22"/>
        </w:rPr>
        <w:t>=0.001 for backward elimination.</w:t>
      </w:r>
    </w:p>
    <w:p w14:paraId="62E022EA" w14:textId="00594B3E" w:rsidR="00973D99" w:rsidRPr="002D4B76" w:rsidRDefault="00C942EF" w:rsidP="00990777">
      <w:pPr>
        <w:pStyle w:val="NoSpacing"/>
        <w:spacing w:after="240" w:line="480" w:lineRule="auto"/>
        <w:rPr>
          <w:rFonts w:cs="Times New Roman"/>
        </w:rPr>
      </w:pPr>
      <w:r w:rsidRPr="4248AF8E">
        <w:rPr>
          <w:rFonts w:cs="Times New Roman"/>
          <w:b/>
          <w:bCs/>
        </w:rPr>
        <w:t>Results</w:t>
      </w:r>
      <w:r w:rsidR="00B358AB" w:rsidRPr="4248AF8E">
        <w:rPr>
          <w:rFonts w:cs="Times New Roman"/>
          <w:b/>
          <w:bCs/>
        </w:rPr>
        <w:t xml:space="preserve">: </w:t>
      </w:r>
      <w:r w:rsidR="00D41157">
        <w:t xml:space="preserve">A total of 1839 patients with baseline tumor measurements were included. </w:t>
      </w:r>
      <w:r w:rsidR="005C2C18" w:rsidRPr="4248AF8E">
        <w:rPr>
          <w:rFonts w:cs="Times New Roman"/>
        </w:rPr>
        <w:t xml:space="preserve">The final model included </w:t>
      </w:r>
      <w:r w:rsidR="007742DC" w:rsidRPr="4248AF8E">
        <w:rPr>
          <w:rFonts w:cs="Times New Roman"/>
        </w:rPr>
        <w:t>the effect of treatment on all 3 parameters and baseline tumor</w:t>
      </w:r>
      <w:r w:rsidR="00070FFE" w:rsidRPr="4248AF8E">
        <w:rPr>
          <w:rFonts w:cs="Times New Roman"/>
        </w:rPr>
        <w:t xml:space="preserve"> on </w:t>
      </w:r>
      <w:proofErr w:type="spellStart"/>
      <w:r w:rsidR="00070FFE">
        <w:t>K</w:t>
      </w:r>
      <w:r w:rsidR="00070FFE" w:rsidRPr="4248AF8E">
        <w:rPr>
          <w:vertAlign w:val="subscript"/>
        </w:rPr>
        <w:t>D</w:t>
      </w:r>
      <w:proofErr w:type="spellEnd"/>
      <w:r w:rsidR="00A15FF6">
        <w:t xml:space="preserve">. Relative to sunitinib (reference), </w:t>
      </w:r>
      <w:r w:rsidR="004E7CBE">
        <w:t>interferon-</w:t>
      </w:r>
      <w:r w:rsidR="004E7CBE" w:rsidRPr="4248AF8E">
        <w:t>α</w:t>
      </w:r>
      <w:r w:rsidR="004E7CBE">
        <w:t xml:space="preserve"> exhibited 35.5% higher </w:t>
      </w:r>
      <w:proofErr w:type="spellStart"/>
      <w:r w:rsidR="004E7CBE">
        <w:t>K</w:t>
      </w:r>
      <w:r w:rsidR="004E7CBE" w:rsidRPr="4248AF8E">
        <w:rPr>
          <w:vertAlign w:val="subscript"/>
        </w:rPr>
        <w:t>D</w:t>
      </w:r>
      <w:proofErr w:type="spellEnd"/>
      <w:r w:rsidR="004E7CBE">
        <w:t>, 9% lower K</w:t>
      </w:r>
      <w:r w:rsidR="004E7CBE" w:rsidRPr="4248AF8E">
        <w:rPr>
          <w:vertAlign w:val="subscript"/>
        </w:rPr>
        <w:t xml:space="preserve">L </w:t>
      </w:r>
      <w:r w:rsidR="004E7CBE" w:rsidRPr="4248AF8E">
        <w:rPr>
          <w:rFonts w:cs="Times New Roman"/>
        </w:rPr>
        <w:t xml:space="preserve">and 18% higher </w:t>
      </w:r>
      <w:r w:rsidR="004E7CBE" w:rsidRPr="4248AF8E">
        <w:t>λ</w:t>
      </w:r>
      <w:r w:rsidR="00A21BBF" w:rsidRPr="4248AF8E">
        <w:t xml:space="preserve">, consistent with the fast decrease in tumor size and </w:t>
      </w:r>
      <w:r w:rsidR="00EA50A9">
        <w:t>shorter</w:t>
      </w:r>
      <w:r w:rsidR="00A21BBF" w:rsidRPr="4248AF8E">
        <w:t xml:space="preserve"> durability of response</w:t>
      </w:r>
      <w:r w:rsidR="007C2CAC" w:rsidRPr="4248AF8E">
        <w:t xml:space="preserve"> observed</w:t>
      </w:r>
      <w:r w:rsidR="00A21BBF" w:rsidRPr="4248AF8E">
        <w:t xml:space="preserve">. Other </w:t>
      </w:r>
      <w:proofErr w:type="spellStart"/>
      <w:r w:rsidR="00A21BBF" w:rsidRPr="4248AF8E">
        <w:t>TKIs</w:t>
      </w:r>
      <w:proofErr w:type="spellEnd"/>
      <w:r w:rsidR="00A21BBF" w:rsidRPr="4248AF8E">
        <w:t xml:space="preserve"> sorafenib and </w:t>
      </w:r>
      <w:r w:rsidR="00A21BBF" w:rsidRPr="4248AF8E">
        <w:lastRenderedPageBreak/>
        <w:t xml:space="preserve">axitinib </w:t>
      </w:r>
      <w:r w:rsidR="005169BC" w:rsidRPr="4248AF8E">
        <w:t xml:space="preserve">had generally similar </w:t>
      </w:r>
      <w:proofErr w:type="spellStart"/>
      <w:r w:rsidR="005169BC">
        <w:t>K</w:t>
      </w:r>
      <w:r w:rsidR="005169BC" w:rsidRPr="4248AF8E">
        <w:rPr>
          <w:vertAlign w:val="subscript"/>
        </w:rPr>
        <w:t>D</w:t>
      </w:r>
      <w:proofErr w:type="spellEnd"/>
      <w:r w:rsidR="005169BC">
        <w:t>, K</w:t>
      </w:r>
      <w:r w:rsidR="005169BC" w:rsidRPr="4248AF8E">
        <w:rPr>
          <w:vertAlign w:val="subscript"/>
        </w:rPr>
        <w:t xml:space="preserve">L </w:t>
      </w:r>
      <w:r w:rsidR="005169BC">
        <w:t xml:space="preserve">and </w:t>
      </w:r>
      <w:r w:rsidR="005169BC" w:rsidRPr="4248AF8E">
        <w:t>λ</w:t>
      </w:r>
      <w:r w:rsidR="005169BC">
        <w:t xml:space="preserve">. </w:t>
      </w:r>
      <w:r w:rsidR="002D4B76">
        <w:t xml:space="preserve">For avelumab + axitinib, </w:t>
      </w:r>
      <w:proofErr w:type="spellStart"/>
      <w:r w:rsidR="002D4B76">
        <w:t>K</w:t>
      </w:r>
      <w:r w:rsidR="002D4B76" w:rsidRPr="4248AF8E">
        <w:rPr>
          <w:vertAlign w:val="subscript"/>
        </w:rPr>
        <w:t>D</w:t>
      </w:r>
      <w:proofErr w:type="spellEnd"/>
      <w:r w:rsidR="002D4B76" w:rsidRPr="4248AF8E">
        <w:rPr>
          <w:vertAlign w:val="subscript"/>
        </w:rPr>
        <w:t xml:space="preserve"> </w:t>
      </w:r>
      <w:r w:rsidR="002D4B76">
        <w:t xml:space="preserve">was </w:t>
      </w:r>
      <w:r w:rsidR="006F5E35">
        <w:t>7.7% lower while K</w:t>
      </w:r>
      <w:r w:rsidR="006F5E35" w:rsidRPr="4248AF8E">
        <w:rPr>
          <w:vertAlign w:val="subscript"/>
        </w:rPr>
        <w:t xml:space="preserve">L </w:t>
      </w:r>
      <w:r w:rsidR="00947085">
        <w:rPr>
          <w:rFonts w:cs="Times New Roman"/>
        </w:rPr>
        <w:t xml:space="preserve">and </w:t>
      </w:r>
      <w:r w:rsidR="00947085" w:rsidRPr="4248AF8E">
        <w:t>λ</w:t>
      </w:r>
      <w:r w:rsidR="00947085">
        <w:t xml:space="preserve"> were</w:t>
      </w:r>
      <w:r w:rsidR="006F5E35" w:rsidRPr="4248AF8E">
        <w:rPr>
          <w:rFonts w:cs="Times New Roman"/>
        </w:rPr>
        <w:t xml:space="preserve"> 9.2% </w:t>
      </w:r>
      <w:r w:rsidR="00947085">
        <w:rPr>
          <w:rFonts w:cs="Times New Roman"/>
        </w:rPr>
        <w:t xml:space="preserve">and 6.2% </w:t>
      </w:r>
      <w:r w:rsidR="006F5E35" w:rsidRPr="4248AF8E">
        <w:rPr>
          <w:rFonts w:cs="Times New Roman"/>
        </w:rPr>
        <w:t>higher</w:t>
      </w:r>
      <w:r w:rsidR="00947085">
        <w:rPr>
          <w:rFonts w:cs="Times New Roman"/>
        </w:rPr>
        <w:t xml:space="preserve">, with derived </w:t>
      </w:r>
      <w:proofErr w:type="spellStart"/>
      <w:r w:rsidR="00947085">
        <w:rPr>
          <w:rFonts w:cs="Times New Roman"/>
        </w:rPr>
        <w:t>TGI</w:t>
      </w:r>
      <w:proofErr w:type="spellEnd"/>
      <w:r w:rsidR="00947085">
        <w:rPr>
          <w:rFonts w:cs="Times New Roman"/>
        </w:rPr>
        <w:t xml:space="preserve"> metrics suggesting </w:t>
      </w:r>
      <w:r w:rsidR="00882C56" w:rsidRPr="4248AF8E">
        <w:rPr>
          <w:rFonts w:cs="Times New Roman"/>
        </w:rPr>
        <w:t xml:space="preserve">gradual decrease in tumor </w:t>
      </w:r>
      <w:r w:rsidR="00A44415">
        <w:rPr>
          <w:rFonts w:cs="Times New Roman"/>
        </w:rPr>
        <w:t xml:space="preserve">size </w:t>
      </w:r>
      <w:r w:rsidR="00A556DE">
        <w:rPr>
          <w:rFonts w:cs="Times New Roman"/>
        </w:rPr>
        <w:t>and longer durability</w:t>
      </w:r>
      <w:r w:rsidR="00882C56" w:rsidRPr="4248AF8E">
        <w:rPr>
          <w:rFonts w:cs="Times New Roman"/>
        </w:rPr>
        <w:t xml:space="preserve">. </w:t>
      </w:r>
    </w:p>
    <w:p w14:paraId="3DEAC067" w14:textId="09A6222B" w:rsidR="009138E4" w:rsidRPr="00FF4712" w:rsidRDefault="00C942EF" w:rsidP="004B28D7">
      <w:pPr>
        <w:pStyle w:val="NoSpacing"/>
        <w:spacing w:line="480" w:lineRule="auto"/>
        <w:rPr>
          <w:rFonts w:cs="Times New Roman"/>
        </w:rPr>
      </w:pPr>
      <w:r w:rsidRPr="4248AF8E">
        <w:rPr>
          <w:rFonts w:cs="Times New Roman"/>
          <w:b/>
          <w:bCs/>
        </w:rPr>
        <w:t>Conclusion</w:t>
      </w:r>
      <w:r w:rsidR="00B358AB" w:rsidRPr="4248AF8E">
        <w:rPr>
          <w:rFonts w:cs="Times New Roman"/>
          <w:b/>
          <w:bCs/>
        </w:rPr>
        <w:t xml:space="preserve">: </w:t>
      </w:r>
      <w:r w:rsidR="00ED22F2">
        <w:t>The tumor kinetic</w:t>
      </w:r>
      <w:r w:rsidR="6E9E251F">
        <w:t>s</w:t>
      </w:r>
      <w:r w:rsidR="00ED22F2">
        <w:t xml:space="preserve"> from </w:t>
      </w:r>
      <w:r w:rsidR="00CB3265">
        <w:t>first-</w:t>
      </w:r>
      <w:r w:rsidR="00ED22F2">
        <w:t xml:space="preserve">line patients with RCC were well characterized </w:t>
      </w:r>
      <w:r w:rsidR="00FA6A66">
        <w:t>and reflected the different</w:t>
      </w:r>
      <w:r w:rsidR="00346DB7">
        <w:t xml:space="preserve"> </w:t>
      </w:r>
      <w:r w:rsidR="00FA6A66">
        <w:t>treatment</w:t>
      </w:r>
      <w:r w:rsidR="007A3566">
        <w:t xml:space="preserve"> modalities</w:t>
      </w:r>
      <w:r w:rsidR="00ED22F2">
        <w:t xml:space="preserve">. </w:t>
      </w:r>
    </w:p>
    <w:p w14:paraId="0A1765EF" w14:textId="77777777" w:rsidR="0052591A" w:rsidRPr="00FF4712" w:rsidRDefault="0052591A" w:rsidP="00C942EF">
      <w:pPr>
        <w:pStyle w:val="NoSpacing"/>
        <w:rPr>
          <w:rFonts w:cs="Times New Roman"/>
        </w:rPr>
      </w:pPr>
    </w:p>
    <w:p w14:paraId="4BD6661C" w14:textId="77777777" w:rsidR="0093388A" w:rsidRPr="00FF4712" w:rsidRDefault="0093388A" w:rsidP="00C942EF">
      <w:pPr>
        <w:pStyle w:val="NoSpacing"/>
        <w:rPr>
          <w:rFonts w:cs="Arial"/>
        </w:rPr>
      </w:pPr>
    </w:p>
    <w:p w14:paraId="18F2CA45" w14:textId="1AD00F03" w:rsidR="0093388A" w:rsidRDefault="0093388A" w:rsidP="00C942EF">
      <w:pPr>
        <w:pStyle w:val="NoSpacing"/>
        <w:rPr>
          <w:rFonts w:cs="Arial"/>
        </w:rPr>
      </w:pPr>
      <w:r w:rsidRPr="00FF4712">
        <w:rPr>
          <w:rFonts w:cs="Arial"/>
          <w:b/>
        </w:rPr>
        <w:t>Keywords</w:t>
      </w:r>
      <w:r w:rsidR="000634DB" w:rsidRPr="00FF4712">
        <w:rPr>
          <w:rFonts w:cs="Arial"/>
        </w:rPr>
        <w:t xml:space="preserve"> – </w:t>
      </w:r>
      <w:r w:rsidR="0053511E">
        <w:rPr>
          <w:rFonts w:cs="Arial"/>
        </w:rPr>
        <w:t>RCC, immunotherapy, tumor modeling</w:t>
      </w:r>
    </w:p>
    <w:p w14:paraId="4DBEBDCD" w14:textId="29844414" w:rsidR="009E2238" w:rsidRDefault="009E2238" w:rsidP="00C942EF">
      <w:pPr>
        <w:pStyle w:val="NoSpacing"/>
        <w:rPr>
          <w:rFonts w:cs="Arial"/>
        </w:rPr>
      </w:pPr>
    </w:p>
    <w:p w14:paraId="6ECA2C1D" w14:textId="2390B9C9" w:rsidR="0C647201" w:rsidRDefault="0C647201" w:rsidP="0C647201">
      <w:pPr>
        <w:pStyle w:val="NoSpacing"/>
        <w:rPr>
          <w:rFonts w:cs="Arial"/>
        </w:rPr>
      </w:pPr>
    </w:p>
    <w:sectPr w:rsidR="0C64720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, Swan" w:date="2020-08-03T09:36:00Z" w:initials="LS">
    <w:p w14:paraId="2597698A" w14:textId="0AABFD13" w:rsidR="00BF6D6D" w:rsidRDefault="00432D2B">
      <w:pPr>
        <w:pStyle w:val="CommentText"/>
      </w:pPr>
      <w:r>
        <w:rPr>
          <w:rStyle w:val="CommentReference"/>
        </w:rPr>
        <w:annotationRef/>
      </w:r>
      <w:r w:rsidR="00BF6D6D">
        <w:t>Abstract guidelines</w:t>
      </w:r>
      <w:r w:rsidR="00BF6D6D" w:rsidRPr="00432D2B">
        <w:t xml:space="preserve"> </w:t>
      </w:r>
      <w:hyperlink r:id="rId1" w:history="1">
        <w:r w:rsidR="00BF6D6D">
          <w:rPr>
            <w:rStyle w:val="Hyperlink"/>
          </w:rPr>
          <w:t>https://www.ascpt.org/Portals/28/docs/Annual%20Meetings/2021%20Annual%20Meeting/Call%20for%20submissions/2021%20Abstract%20Submission%20Guidelines_Final.pdf?ver=2020-07-22-084914-373</w:t>
        </w:r>
      </w:hyperlink>
    </w:p>
    <w:p w14:paraId="2709634E" w14:textId="6BC12F25" w:rsidR="00432D2B" w:rsidRDefault="00432D2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09634E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5C1E4C6" w16cex:dateUtc="2020-08-21T1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9634E" w16cid:durableId="22D259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D905" w14:textId="77777777" w:rsidR="00704B52" w:rsidRDefault="00704B52" w:rsidP="006F2039">
      <w:r>
        <w:separator/>
      </w:r>
    </w:p>
  </w:endnote>
  <w:endnote w:type="continuationSeparator" w:id="0">
    <w:p w14:paraId="3028084E" w14:textId="77777777" w:rsidR="00704B52" w:rsidRDefault="00704B52" w:rsidP="006F2039">
      <w:r>
        <w:continuationSeparator/>
      </w:r>
    </w:p>
  </w:endnote>
  <w:endnote w:type="continuationNotice" w:id="1">
    <w:p w14:paraId="6BF583D9" w14:textId="77777777" w:rsidR="00620E91" w:rsidRDefault="00620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54DEB" w14:textId="77777777" w:rsidR="00704B52" w:rsidRDefault="00704B52" w:rsidP="006F2039">
      <w:r>
        <w:separator/>
      </w:r>
    </w:p>
  </w:footnote>
  <w:footnote w:type="continuationSeparator" w:id="0">
    <w:p w14:paraId="58E308C2" w14:textId="77777777" w:rsidR="00704B52" w:rsidRDefault="00704B52" w:rsidP="006F2039">
      <w:r>
        <w:continuationSeparator/>
      </w:r>
    </w:p>
  </w:footnote>
  <w:footnote w:type="continuationNotice" w:id="1">
    <w:p w14:paraId="134844CC" w14:textId="77777777" w:rsidR="00620E91" w:rsidRDefault="00620E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48835" w14:textId="59AE368E" w:rsidR="006F2039" w:rsidRPr="006F2039" w:rsidRDefault="00201470" w:rsidP="006F2039">
    <w:pPr>
      <w:pStyle w:val="Head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RCC </w:t>
    </w:r>
    <w:proofErr w:type="spellStart"/>
    <w:r>
      <w:rPr>
        <w:rFonts w:asciiTheme="minorHAnsi" w:hAnsiTheme="minorHAnsi"/>
        <w:sz w:val="22"/>
        <w:szCs w:val="22"/>
      </w:rPr>
      <w:t>TGI</w:t>
    </w:r>
    <w:proofErr w:type="spellEnd"/>
    <w:r>
      <w:rPr>
        <w:rFonts w:asciiTheme="minorHAnsi" w:hAnsiTheme="minorHAnsi"/>
        <w:sz w:val="22"/>
        <w:szCs w:val="22"/>
      </w:rPr>
      <w:t xml:space="preserve"> Modeling</w:t>
    </w:r>
    <w:r w:rsidR="006F2039" w:rsidRPr="006F2039">
      <w:rPr>
        <w:rFonts w:asciiTheme="minorHAnsi" w:hAnsiTheme="minorHAnsi"/>
        <w:sz w:val="22"/>
        <w:szCs w:val="22"/>
      </w:rPr>
      <w:t xml:space="preserve"> – Draft   </w:t>
    </w:r>
    <w:r w:rsidR="006F2039" w:rsidRPr="006F2039">
      <w:rPr>
        <w:rFonts w:asciiTheme="minorHAnsi" w:hAnsiTheme="minorHAnsi"/>
        <w:sz w:val="22"/>
        <w:szCs w:val="22"/>
      </w:rPr>
      <w:tab/>
    </w:r>
    <w:r w:rsidR="006F2039">
      <w:rPr>
        <w:rFonts w:asciiTheme="minorHAnsi" w:hAnsiTheme="minorHAnsi"/>
        <w:sz w:val="22"/>
        <w:szCs w:val="22"/>
      </w:rPr>
      <w:t xml:space="preserve">                                                                        </w:t>
    </w:r>
    <w:r w:rsidR="004B1E61">
      <w:rPr>
        <w:rFonts w:asciiTheme="minorHAnsi" w:hAnsiTheme="minorHAnsi"/>
        <w:sz w:val="22"/>
        <w:szCs w:val="22"/>
      </w:rPr>
      <w:t xml:space="preserve"> </w:t>
    </w:r>
    <w:r w:rsidR="00E24926">
      <w:rPr>
        <w:rFonts w:asciiTheme="minorHAnsi" w:hAnsiTheme="minorHAnsi"/>
        <w:sz w:val="22"/>
        <w:szCs w:val="22"/>
      </w:rPr>
      <w:t xml:space="preserve">                                  09 Sep</w:t>
    </w:r>
    <w:r w:rsidR="00790967">
      <w:rPr>
        <w:rFonts w:asciiTheme="minorHAnsi" w:hAnsiTheme="minorHAnsi"/>
        <w:sz w:val="22"/>
        <w:szCs w:val="22"/>
      </w:rPr>
      <w:t xml:space="preserve"> 2020</w:t>
    </w:r>
  </w:p>
  <w:p w14:paraId="5C099BE6" w14:textId="26CC3C3C" w:rsidR="006F2039" w:rsidRPr="006F2039" w:rsidRDefault="00E5285A" w:rsidP="006F2039">
    <w:pPr>
      <w:pStyle w:val="Header"/>
      <w:rPr>
        <w:rFonts w:asciiTheme="minorHAnsi" w:hAnsiTheme="minorHAnsi"/>
        <w:sz w:val="22"/>
        <w:szCs w:val="22"/>
      </w:rPr>
    </w:pPr>
    <w:proofErr w:type="spellStart"/>
    <w:r>
      <w:rPr>
        <w:rFonts w:asciiTheme="minorHAnsi" w:hAnsiTheme="minorHAnsi"/>
        <w:sz w:val="22"/>
        <w:szCs w:val="22"/>
      </w:rPr>
      <w:t>ASCPT</w:t>
    </w:r>
    <w:proofErr w:type="spellEnd"/>
    <w:r w:rsidR="006F2039" w:rsidRPr="006F2039">
      <w:rPr>
        <w:rFonts w:asciiTheme="minorHAnsi" w:hAnsiTheme="minorHAnsi"/>
        <w:sz w:val="22"/>
        <w:szCs w:val="22"/>
      </w:rPr>
      <w:t xml:space="preserve"> </w:t>
    </w:r>
    <w:r w:rsidR="00A54D80">
      <w:rPr>
        <w:rFonts w:asciiTheme="minorHAnsi" w:hAnsiTheme="minorHAnsi"/>
        <w:sz w:val="22"/>
        <w:szCs w:val="22"/>
      </w:rPr>
      <w:t xml:space="preserve">Abstract Submission Deadline: </w:t>
    </w:r>
    <w:r>
      <w:rPr>
        <w:rFonts w:asciiTheme="minorHAnsi" w:hAnsiTheme="minorHAnsi"/>
        <w:sz w:val="22"/>
        <w:szCs w:val="22"/>
      </w:rPr>
      <w:t>10 Sep 2020</w:t>
    </w:r>
    <w:r w:rsidR="00A54D80">
      <w:rPr>
        <w:rFonts w:asciiTheme="minorHAnsi" w:hAnsi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409E"/>
    <w:multiLevelType w:val="hybridMultilevel"/>
    <w:tmpl w:val="50E2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, Swan">
    <w15:presenceInfo w15:providerId="AD" w15:userId="S::LINS47@pfizer.com::5fe75814-bf56-4c2f-a2bd-09af55194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AA"/>
    <w:rsid w:val="0000788B"/>
    <w:rsid w:val="00012D46"/>
    <w:rsid w:val="000256FF"/>
    <w:rsid w:val="00030D44"/>
    <w:rsid w:val="00047B1F"/>
    <w:rsid w:val="0005058D"/>
    <w:rsid w:val="00052766"/>
    <w:rsid w:val="00062B5B"/>
    <w:rsid w:val="000634DB"/>
    <w:rsid w:val="00070FFE"/>
    <w:rsid w:val="00073A9C"/>
    <w:rsid w:val="0008120F"/>
    <w:rsid w:val="00093A18"/>
    <w:rsid w:val="000A09BA"/>
    <w:rsid w:val="000A19FF"/>
    <w:rsid w:val="000C5E7F"/>
    <w:rsid w:val="000D1CE5"/>
    <w:rsid w:val="000D252B"/>
    <w:rsid w:val="000D274A"/>
    <w:rsid w:val="000D6053"/>
    <w:rsid w:val="000D7610"/>
    <w:rsid w:val="000E1E36"/>
    <w:rsid w:val="000F6F78"/>
    <w:rsid w:val="001009ED"/>
    <w:rsid w:val="00103604"/>
    <w:rsid w:val="0010394A"/>
    <w:rsid w:val="00117E34"/>
    <w:rsid w:val="00123A7B"/>
    <w:rsid w:val="0012682F"/>
    <w:rsid w:val="00137BBB"/>
    <w:rsid w:val="00140034"/>
    <w:rsid w:val="00147F1C"/>
    <w:rsid w:val="00151BD9"/>
    <w:rsid w:val="00152F07"/>
    <w:rsid w:val="00157EA6"/>
    <w:rsid w:val="00190E4D"/>
    <w:rsid w:val="00196C49"/>
    <w:rsid w:val="001C0427"/>
    <w:rsid w:val="001C37B7"/>
    <w:rsid w:val="001C6FFF"/>
    <w:rsid w:val="001E7509"/>
    <w:rsid w:val="001F175C"/>
    <w:rsid w:val="001F4605"/>
    <w:rsid w:val="00200795"/>
    <w:rsid w:val="00201470"/>
    <w:rsid w:val="00205B5C"/>
    <w:rsid w:val="00211AF4"/>
    <w:rsid w:val="00214B2C"/>
    <w:rsid w:val="00226F40"/>
    <w:rsid w:val="0022720B"/>
    <w:rsid w:val="002407C4"/>
    <w:rsid w:val="002464F0"/>
    <w:rsid w:val="002552B9"/>
    <w:rsid w:val="00270301"/>
    <w:rsid w:val="002743A3"/>
    <w:rsid w:val="00274B15"/>
    <w:rsid w:val="00291EFF"/>
    <w:rsid w:val="002B0961"/>
    <w:rsid w:val="002B7ADA"/>
    <w:rsid w:val="002D252F"/>
    <w:rsid w:val="002D4B76"/>
    <w:rsid w:val="002E6E86"/>
    <w:rsid w:val="002F26BB"/>
    <w:rsid w:val="00303A29"/>
    <w:rsid w:val="003105E3"/>
    <w:rsid w:val="003224F4"/>
    <w:rsid w:val="00346DB7"/>
    <w:rsid w:val="00370293"/>
    <w:rsid w:val="00391B73"/>
    <w:rsid w:val="003B49FD"/>
    <w:rsid w:val="003B6B3F"/>
    <w:rsid w:val="003C278F"/>
    <w:rsid w:val="003E780A"/>
    <w:rsid w:val="003F08A1"/>
    <w:rsid w:val="003F7D68"/>
    <w:rsid w:val="00401EE3"/>
    <w:rsid w:val="004066F3"/>
    <w:rsid w:val="00430ED0"/>
    <w:rsid w:val="00432D2B"/>
    <w:rsid w:val="00445853"/>
    <w:rsid w:val="0045026A"/>
    <w:rsid w:val="00462E35"/>
    <w:rsid w:val="004633D9"/>
    <w:rsid w:val="00464BB6"/>
    <w:rsid w:val="00466B2A"/>
    <w:rsid w:val="00470DB2"/>
    <w:rsid w:val="0047179B"/>
    <w:rsid w:val="0047573A"/>
    <w:rsid w:val="00482FDB"/>
    <w:rsid w:val="004872BD"/>
    <w:rsid w:val="00491A20"/>
    <w:rsid w:val="00492BB8"/>
    <w:rsid w:val="004956FB"/>
    <w:rsid w:val="004B1E61"/>
    <w:rsid w:val="004B28D7"/>
    <w:rsid w:val="004C2ECE"/>
    <w:rsid w:val="004D3D44"/>
    <w:rsid w:val="004E7CBE"/>
    <w:rsid w:val="004F1609"/>
    <w:rsid w:val="005169BC"/>
    <w:rsid w:val="0052591A"/>
    <w:rsid w:val="0053511E"/>
    <w:rsid w:val="00540633"/>
    <w:rsid w:val="00541C09"/>
    <w:rsid w:val="0054304F"/>
    <w:rsid w:val="005454DF"/>
    <w:rsid w:val="0056126A"/>
    <w:rsid w:val="0057306D"/>
    <w:rsid w:val="00574B3F"/>
    <w:rsid w:val="00574DF7"/>
    <w:rsid w:val="005A316C"/>
    <w:rsid w:val="005A377A"/>
    <w:rsid w:val="005B2FD1"/>
    <w:rsid w:val="005C0645"/>
    <w:rsid w:val="005C2C18"/>
    <w:rsid w:val="005F18AF"/>
    <w:rsid w:val="005F2E99"/>
    <w:rsid w:val="005F4ED5"/>
    <w:rsid w:val="006017A6"/>
    <w:rsid w:val="0060215A"/>
    <w:rsid w:val="0060239B"/>
    <w:rsid w:val="00604FAB"/>
    <w:rsid w:val="00617276"/>
    <w:rsid w:val="00620E91"/>
    <w:rsid w:val="006356A0"/>
    <w:rsid w:val="00636D83"/>
    <w:rsid w:val="006414C5"/>
    <w:rsid w:val="00641CEA"/>
    <w:rsid w:val="0065601D"/>
    <w:rsid w:val="0066310B"/>
    <w:rsid w:val="00663162"/>
    <w:rsid w:val="00693B8C"/>
    <w:rsid w:val="00696EA2"/>
    <w:rsid w:val="006A1AA6"/>
    <w:rsid w:val="006B4F0D"/>
    <w:rsid w:val="006C2A7B"/>
    <w:rsid w:val="006C4313"/>
    <w:rsid w:val="006E4C0E"/>
    <w:rsid w:val="006E6EC4"/>
    <w:rsid w:val="006E7B2C"/>
    <w:rsid w:val="006F2039"/>
    <w:rsid w:val="006F5E35"/>
    <w:rsid w:val="00700997"/>
    <w:rsid w:val="0070416F"/>
    <w:rsid w:val="00704B52"/>
    <w:rsid w:val="00732065"/>
    <w:rsid w:val="00753681"/>
    <w:rsid w:val="00771DD6"/>
    <w:rsid w:val="007742DC"/>
    <w:rsid w:val="00775DCB"/>
    <w:rsid w:val="00790967"/>
    <w:rsid w:val="00793807"/>
    <w:rsid w:val="00797092"/>
    <w:rsid w:val="007977B2"/>
    <w:rsid w:val="007A020F"/>
    <w:rsid w:val="007A3566"/>
    <w:rsid w:val="007A35B5"/>
    <w:rsid w:val="007A3ADB"/>
    <w:rsid w:val="007B414A"/>
    <w:rsid w:val="007C2CAC"/>
    <w:rsid w:val="007E0B41"/>
    <w:rsid w:val="007E3253"/>
    <w:rsid w:val="007E715D"/>
    <w:rsid w:val="007F0BEC"/>
    <w:rsid w:val="007F2D8D"/>
    <w:rsid w:val="0082376D"/>
    <w:rsid w:val="0082595C"/>
    <w:rsid w:val="00840A5E"/>
    <w:rsid w:val="008476BB"/>
    <w:rsid w:val="008505AE"/>
    <w:rsid w:val="00853C5C"/>
    <w:rsid w:val="00857EC1"/>
    <w:rsid w:val="008638F6"/>
    <w:rsid w:val="00870A4F"/>
    <w:rsid w:val="00882C56"/>
    <w:rsid w:val="00882D89"/>
    <w:rsid w:val="00890178"/>
    <w:rsid w:val="008A626D"/>
    <w:rsid w:val="008B1AD1"/>
    <w:rsid w:val="008B4667"/>
    <w:rsid w:val="008D7D1D"/>
    <w:rsid w:val="008E1471"/>
    <w:rsid w:val="008E1E97"/>
    <w:rsid w:val="009138E4"/>
    <w:rsid w:val="0091538D"/>
    <w:rsid w:val="00926DE4"/>
    <w:rsid w:val="0093388A"/>
    <w:rsid w:val="00940761"/>
    <w:rsid w:val="00947085"/>
    <w:rsid w:val="00951E4D"/>
    <w:rsid w:val="00973D99"/>
    <w:rsid w:val="009832ED"/>
    <w:rsid w:val="00987098"/>
    <w:rsid w:val="00990777"/>
    <w:rsid w:val="009A08AF"/>
    <w:rsid w:val="009A4CBB"/>
    <w:rsid w:val="009A6E8E"/>
    <w:rsid w:val="009A6F65"/>
    <w:rsid w:val="009D1629"/>
    <w:rsid w:val="009E2238"/>
    <w:rsid w:val="009E331B"/>
    <w:rsid w:val="009F597E"/>
    <w:rsid w:val="00A03C7F"/>
    <w:rsid w:val="00A15FF6"/>
    <w:rsid w:val="00A16AE4"/>
    <w:rsid w:val="00A20E25"/>
    <w:rsid w:val="00A21BBF"/>
    <w:rsid w:val="00A24218"/>
    <w:rsid w:val="00A262A4"/>
    <w:rsid w:val="00A44415"/>
    <w:rsid w:val="00A47C41"/>
    <w:rsid w:val="00A54D80"/>
    <w:rsid w:val="00A556DE"/>
    <w:rsid w:val="00A71324"/>
    <w:rsid w:val="00A73F52"/>
    <w:rsid w:val="00A94E1C"/>
    <w:rsid w:val="00A96D05"/>
    <w:rsid w:val="00AA2046"/>
    <w:rsid w:val="00AA4862"/>
    <w:rsid w:val="00AB02C8"/>
    <w:rsid w:val="00AB63E6"/>
    <w:rsid w:val="00AB6D9F"/>
    <w:rsid w:val="00AD306B"/>
    <w:rsid w:val="00AE400C"/>
    <w:rsid w:val="00AE4A50"/>
    <w:rsid w:val="00AF3A9F"/>
    <w:rsid w:val="00B210C8"/>
    <w:rsid w:val="00B215EA"/>
    <w:rsid w:val="00B22DFD"/>
    <w:rsid w:val="00B358AB"/>
    <w:rsid w:val="00B40121"/>
    <w:rsid w:val="00B5372F"/>
    <w:rsid w:val="00B6528F"/>
    <w:rsid w:val="00B66632"/>
    <w:rsid w:val="00BA5460"/>
    <w:rsid w:val="00BA7181"/>
    <w:rsid w:val="00BA7F14"/>
    <w:rsid w:val="00BF6374"/>
    <w:rsid w:val="00BF6A2B"/>
    <w:rsid w:val="00BF6D6D"/>
    <w:rsid w:val="00BF7B66"/>
    <w:rsid w:val="00C058E3"/>
    <w:rsid w:val="00C0620C"/>
    <w:rsid w:val="00C10119"/>
    <w:rsid w:val="00C22C2F"/>
    <w:rsid w:val="00C275D1"/>
    <w:rsid w:val="00C3256C"/>
    <w:rsid w:val="00C376BD"/>
    <w:rsid w:val="00C43E09"/>
    <w:rsid w:val="00C54F50"/>
    <w:rsid w:val="00C55A99"/>
    <w:rsid w:val="00C71E06"/>
    <w:rsid w:val="00C750BF"/>
    <w:rsid w:val="00C777B6"/>
    <w:rsid w:val="00C8238E"/>
    <w:rsid w:val="00C82624"/>
    <w:rsid w:val="00C942EF"/>
    <w:rsid w:val="00C96D96"/>
    <w:rsid w:val="00CA43E3"/>
    <w:rsid w:val="00CA5802"/>
    <w:rsid w:val="00CB3265"/>
    <w:rsid w:val="00CE1FC5"/>
    <w:rsid w:val="00CF3A89"/>
    <w:rsid w:val="00D11763"/>
    <w:rsid w:val="00D246D6"/>
    <w:rsid w:val="00D41157"/>
    <w:rsid w:val="00D70321"/>
    <w:rsid w:val="00D7126B"/>
    <w:rsid w:val="00D71F58"/>
    <w:rsid w:val="00D87917"/>
    <w:rsid w:val="00D9713D"/>
    <w:rsid w:val="00D97A0E"/>
    <w:rsid w:val="00DB008C"/>
    <w:rsid w:val="00DC59CB"/>
    <w:rsid w:val="00DD517B"/>
    <w:rsid w:val="00DD7B98"/>
    <w:rsid w:val="00DE6813"/>
    <w:rsid w:val="00DF27EC"/>
    <w:rsid w:val="00E04B4E"/>
    <w:rsid w:val="00E11DC2"/>
    <w:rsid w:val="00E24926"/>
    <w:rsid w:val="00E51FF2"/>
    <w:rsid w:val="00E5285A"/>
    <w:rsid w:val="00E66310"/>
    <w:rsid w:val="00E71EE7"/>
    <w:rsid w:val="00E75C17"/>
    <w:rsid w:val="00E80A66"/>
    <w:rsid w:val="00E902F5"/>
    <w:rsid w:val="00EA0485"/>
    <w:rsid w:val="00EA50A9"/>
    <w:rsid w:val="00EA579C"/>
    <w:rsid w:val="00EB7114"/>
    <w:rsid w:val="00EC4C3C"/>
    <w:rsid w:val="00ED22F2"/>
    <w:rsid w:val="00ED6A45"/>
    <w:rsid w:val="00EE2581"/>
    <w:rsid w:val="00EF7470"/>
    <w:rsid w:val="00EF7804"/>
    <w:rsid w:val="00F15D1C"/>
    <w:rsid w:val="00F329AE"/>
    <w:rsid w:val="00F4562D"/>
    <w:rsid w:val="00F54386"/>
    <w:rsid w:val="00F670D3"/>
    <w:rsid w:val="00F766AA"/>
    <w:rsid w:val="00F90593"/>
    <w:rsid w:val="00F9619D"/>
    <w:rsid w:val="00FA5B4B"/>
    <w:rsid w:val="00FA6A66"/>
    <w:rsid w:val="00FA71FD"/>
    <w:rsid w:val="00FA7E07"/>
    <w:rsid w:val="00FB2FCD"/>
    <w:rsid w:val="00FD2B9C"/>
    <w:rsid w:val="00FF43C4"/>
    <w:rsid w:val="00FF4712"/>
    <w:rsid w:val="022B8A60"/>
    <w:rsid w:val="06445BDF"/>
    <w:rsid w:val="07ABB6A0"/>
    <w:rsid w:val="080EFE0F"/>
    <w:rsid w:val="0982B040"/>
    <w:rsid w:val="0A48F11E"/>
    <w:rsid w:val="0C647201"/>
    <w:rsid w:val="0D65083E"/>
    <w:rsid w:val="1AF9A294"/>
    <w:rsid w:val="21893300"/>
    <w:rsid w:val="22A088FB"/>
    <w:rsid w:val="22BA6D38"/>
    <w:rsid w:val="28F0A1E2"/>
    <w:rsid w:val="2CB1EA17"/>
    <w:rsid w:val="2E97B30B"/>
    <w:rsid w:val="2EF7BD13"/>
    <w:rsid w:val="359093AB"/>
    <w:rsid w:val="35985C1F"/>
    <w:rsid w:val="36174FAD"/>
    <w:rsid w:val="362D13A1"/>
    <w:rsid w:val="4194E88E"/>
    <w:rsid w:val="4248AF8E"/>
    <w:rsid w:val="45988D88"/>
    <w:rsid w:val="4C95DD88"/>
    <w:rsid w:val="4CC1C9B3"/>
    <w:rsid w:val="4E6317D8"/>
    <w:rsid w:val="4F6D7277"/>
    <w:rsid w:val="51F4C9CC"/>
    <w:rsid w:val="57C54B06"/>
    <w:rsid w:val="5AB8DBF2"/>
    <w:rsid w:val="62E5B951"/>
    <w:rsid w:val="6310CA31"/>
    <w:rsid w:val="69CD2F26"/>
    <w:rsid w:val="6A6C4796"/>
    <w:rsid w:val="6B219223"/>
    <w:rsid w:val="6DB90010"/>
    <w:rsid w:val="6E9E251F"/>
    <w:rsid w:val="72BDB2F2"/>
    <w:rsid w:val="7609E88A"/>
    <w:rsid w:val="799E9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CDC4D"/>
  <w15:docId w15:val="{4EA9ADD0-49AD-4B13-9A50-1E8267FD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6AA"/>
    <w:pPr>
      <w:spacing w:after="0" w:line="240" w:lineRule="auto"/>
    </w:pPr>
  </w:style>
  <w:style w:type="paragraph" w:customStyle="1" w:styleId="Paragraph">
    <w:name w:val="Paragraph"/>
    <w:link w:val="ParagraphChar"/>
    <w:rsid w:val="00732065"/>
    <w:pPr>
      <w:spacing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732065"/>
    <w:rPr>
      <w:rFonts w:ascii="Times New Roman" w:eastAsiaTheme="minorEastAsia" w:hAnsi="Times New Roman" w:cs="Times New Roman"/>
      <w:sz w:val="24"/>
      <w:szCs w:val="24"/>
    </w:rPr>
  </w:style>
  <w:style w:type="paragraph" w:customStyle="1" w:styleId="FigureFootnote">
    <w:name w:val="Figure Footnote"/>
    <w:next w:val="Paragraph"/>
    <w:rsid w:val="009138E4"/>
    <w:pPr>
      <w:spacing w:after="24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TableText12">
    <w:name w:val="TableText 12"/>
    <w:basedOn w:val="DefaultParagraphFont"/>
    <w:rsid w:val="009138E4"/>
    <w:rPr>
      <w:rFonts w:ascii="Times New Roman" w:hAnsi="Times New Roman"/>
      <w:sz w:val="24"/>
    </w:rPr>
  </w:style>
  <w:style w:type="paragraph" w:customStyle="1" w:styleId="TableTextColHead">
    <w:name w:val="TableText Col Head"/>
    <w:rsid w:val="009138E4"/>
    <w:pPr>
      <w:spacing w:after="0" w:line="240" w:lineRule="auto"/>
      <w:jc w:val="center"/>
    </w:pPr>
    <w:rPr>
      <w:rFonts w:ascii="Times New Roman" w:eastAsiaTheme="minorEastAsia" w:hAnsi="Times New Roman" w:cs="Times New Roman"/>
      <w:b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B2FD1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94A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94A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4A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5368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58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03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2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039"/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2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unhideWhenUsed/>
    <w:rsid w:val="00AD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917"/>
    <w:pPr>
      <w:overflowPunct/>
      <w:autoSpaceDE/>
      <w:autoSpaceDN/>
      <w:adjustRightInd/>
      <w:ind w:left="720"/>
      <w:textAlignment w:val="auto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scpt.org/Portals/28/docs/Annual%20Meetings/2021%20Annual%20Meeting/Call%20for%20submissions/2021%20Abstract%20Submission%20Guidelines_Final.pdf?ver=2020-07-22-084914-373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01F91E9FB4840B22D7AA5A9E274EF" ma:contentTypeVersion="13" ma:contentTypeDescription="Create a new document." ma:contentTypeScope="" ma:versionID="b48574d896a604007331f3f074a8de71">
  <xsd:schema xmlns:xsd="http://www.w3.org/2001/XMLSchema" xmlns:xs="http://www.w3.org/2001/XMLSchema" xmlns:p="http://schemas.microsoft.com/office/2006/metadata/properties" xmlns:ns3="301dcfab-a986-4e4e-b8fb-d27175236fd7" xmlns:ns4="367bc466-74e3-4a76-a8e3-4434779e7b92" targetNamespace="http://schemas.microsoft.com/office/2006/metadata/properties" ma:root="true" ma:fieldsID="72748cfcdd9d5d85e9c19e8f9ebba142" ns3:_="" ns4:_="">
    <xsd:import namespace="301dcfab-a986-4e4e-b8fb-d27175236fd7"/>
    <xsd:import namespace="367bc466-74e3-4a76-a8e3-4434779e7b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dcfab-a986-4e4e-b8fb-d27175236f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bc466-74e3-4a76-a8e3-4434779e7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3064C-9473-4056-A92D-0A6A96E5BA86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48E31BFB-D777-4FBF-A732-CC2CE14F8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0256C-04FB-4F07-8BC6-6508FD168529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367bc466-74e3-4a76-a8e3-4434779e7b92"/>
    <ds:schemaRef ds:uri="301dcfab-a986-4e4e-b8fb-d27175236fd7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5451A2D-AF36-430C-B0AB-2D6DDF07B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dcfab-a986-4e4e-b8fb-d27175236fd7"/>
    <ds:schemaRef ds:uri="367bc466-74e3-4a76-a8e3-4434779e7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2000</Characters>
  <Application>Microsoft Office Word</Application>
  <DocSecurity>0</DocSecurity>
  <Lines>16</Lines>
  <Paragraphs>4</Paragraphs>
  <ScaleCrop>false</ScaleCrop>
  <Company>Pfizer Inc</Company>
  <LinksUpToDate>false</LinksUpToDate>
  <CharactersWithSpaces>2346</CharactersWithSpaces>
  <SharedDoc>false</SharedDoc>
  <HLinks>
    <vt:vector size="6" baseType="variant">
      <vt:variant>
        <vt:i4>8257612</vt:i4>
      </vt:variant>
      <vt:variant>
        <vt:i4>0</vt:i4>
      </vt:variant>
      <vt:variant>
        <vt:i4>0</vt:i4>
      </vt:variant>
      <vt:variant>
        <vt:i4>5</vt:i4>
      </vt:variant>
      <vt:variant>
        <vt:lpwstr>https://www.ascpt.org/Portals/28/docs/Annual Meetings/2021 Annual Meeting/Call for submissions/2021 Abstract Submission Guidelines_Final.pdf?ver=2020-07-22-084914-373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Joseph</dc:creator>
  <cp:keywords/>
  <cp:lastModifiedBy>Swan</cp:lastModifiedBy>
  <cp:revision>9</cp:revision>
  <dcterms:created xsi:type="dcterms:W3CDTF">2020-09-01T14:56:00Z</dcterms:created>
  <dcterms:modified xsi:type="dcterms:W3CDTF">2020-09-09T19:49:00Z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0x0101003B401F91E9FB4840B22D7AA5A9E274EF</vt:lpwstr>
  </property>
</Properties>
</file>