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NOMBRE DEL PROYECTO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SENTINEL — Smart Financial ERP &amp; Business Intelligence: Sistema Inteligente de Gestión Empresarial con Arquitectura de Microservicios para la Detección de Fraude Tributario y Predicción de Demanda basado en Comprobantes de Pago Electrónicos</w:t>
      </w:r>
    </w:p>
    <w:p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PLANTEAMIENTO DEL PROBLEMA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micro y pequeñas empresas (MYPES) peruanas representan más del 96% del tejido empresarial nacional y son responsables de aproximadamente el 60% del empleo formal según datos del INEI (2023). Sin embargo, la gran mayoría opera sus procesos financieros de forma reactiva y fragmentada: emiten comprobantes electrónicos hacia la SUNAT de forma obligatoria, pero los datos contenidos en esos comprobantes —miles de XMLs que registran cada venta, compra y operación— jamás son aprovechados como fuente de inteligencia de negocio.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problema se manifiesta en tres dimensiones críticas:</w:t>
      </w:r>
    </w:p>
    <w:p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Riesgo tributario no detectado:</w:t>
      </w:r>
      <w:r>
        <w:rPr>
          <w:rFonts w:ascii="Arial" w:hAnsi="Arial" w:cs="Arial"/>
        </w:rPr>
        <w:t xml:space="preserve"> las empresas receptoras de facturas carecen de mecanismos automáticos para verificar si un proveedor está clasificado como Sujeto Sin Capacidad Operativa (SSCO) por la SUNAT, exponiéndolas a contingencias tributarias y multas.</w:t>
      </w:r>
    </w:p>
    <w:p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Quiebre de stock y sobreinventario:</w:t>
      </w:r>
      <w:r>
        <w:rPr>
          <w:rFonts w:ascii="Arial" w:hAnsi="Arial" w:cs="Arial"/>
        </w:rPr>
        <w:t xml:space="preserve"> al no analizar el historial de facturación, las empresas no pueden predecir la demanda de los próximos ciclos, generando pérdidas por ventas no concretadas o capital inmovilizado en inventario excedente.</w:t>
      </w:r>
    </w:p>
    <w:p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Abandono silencioso de clientes B2B:</w:t>
      </w:r>
      <w:r>
        <w:rPr>
          <w:rFonts w:ascii="Arial" w:hAnsi="Arial" w:cs="Arial"/>
        </w:rPr>
        <w:t xml:space="preserve"> la empresa no detecta cuando un cliente habitual deja de comprar, perdiendo ingresos recurrentes sin que el equipo comercial tome acción preventiva.</w:t>
      </w:r>
    </w:p>
    <w:p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EVIDENCIA DEL PROBLEMA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evidencia cuantitativa valida la urgencia del problema:</w:t>
      </w:r>
    </w:p>
    <w:p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Solo el 28.4% de MYPES peruanas usa algún software de gestión (INEI, Encuesta MYPES 2022), representando una brecha tecnológica con mercado potencial de más de 1.5 millones de empresas.</w:t>
      </w:r>
    </w:p>
    <w:p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La SUNAT reportó más de 3,200 empresas SSCO activas en 2023; más del 15% de MYPES han recibido observaciones por gastos con proveedores de riesgo (SUNAT, 2023).</w:t>
      </w:r>
    </w:p>
    <w:p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Entre el 4% y 8% de ventas potenciales se pierden por quiebre de stock en MYPES comerciales peruanas (CCL, Reporte Retail 2023). La predicción de demanda puede recuperar entre 3% y 6% de ventas perdidas anualmente.</w:t>
      </w:r>
    </w:p>
    <w:p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El 40% de clientes B2B que dejan de comprar no comunican su decisión y son detectados solo cuando el ciclo de facturación ya cesó (Estudio SAP Latinoamérica, 2022). Un sistema de scoring puede reducir el churn entre 15% y 25%.</w:t>
      </w:r>
    </w:p>
    <w:p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USUARIOS INVOLUCRADOS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Gerente / Dueño MYPE:</w:t>
      </w:r>
      <w:r>
        <w:rPr>
          <w:rFonts w:ascii="Arial" w:hAnsi="Arial" w:cs="Arial"/>
        </w:rPr>
        <w:t xml:space="preserve"> usuario estratégico que visualiza el dashboard ejecutivo con KPIs financieros, alertas de fraude y predicciones de demanda para toma de decisiones críticas de negocio.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Contador / Administrador:</w:t>
      </w:r>
      <w:r>
        <w:rPr>
          <w:rFonts w:ascii="Arial" w:hAnsi="Arial" w:cs="Arial"/>
        </w:rPr>
        <w:t xml:space="preserve"> usuario primario que emite comprobantes, valida proveedores y gestiona el cumplimiento tributario mediante el módulo de facturación con verificación SSCO en tiempo real.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Equipo de ventas:</w:t>
      </w:r>
      <w:r>
        <w:rPr>
          <w:rFonts w:ascii="Arial" w:hAnsi="Arial" w:cs="Arial"/>
        </w:rPr>
        <w:t xml:space="preserve"> recibe alertas de retención y recomendaciones B2B. Accede al panel de scoring de clientes con alertas de churn y sugerencias de cross-selling.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Responsable de compras:</w:t>
      </w:r>
      <w:r>
        <w:rPr>
          <w:rFonts w:ascii="Arial" w:hAnsi="Arial" w:cs="Arial"/>
        </w:rPr>
        <w:t xml:space="preserve"> recibe órdenes de compra sugeridas basadas en predicción de demanda; accede al módulo de supply chain con alertas de reabastecimiento automatizadas.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SUNAT:</w:t>
      </w:r>
      <w:r>
        <w:rPr>
          <w:rFonts w:ascii="Arial" w:hAnsi="Arial" w:cs="Arial"/>
        </w:rPr>
        <w:t xml:space="preserve"> entidad regulatoria crítica; recibe los comprobantes y expone la API de verificación de proveedores SSCO con la que se integra el sistema.</w:t>
      </w:r>
    </w:p>
    <w:p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5. Propuesta de solución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propone desarrollar SENTINEL, un sistema SaaS web (Angular 19 + Spring Boot + microservicio Python ML) que convierte el flujo de comprobantes electrónicos en el núcleo de un motor de inteligencia artificial con tres capacidades diferenciadas:</w:t>
      </w:r>
    </w:p>
    <w:p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Motor IA #1 — Detección de fraude tributario:</w:t>
      </w:r>
      <w:r>
        <w:rPr>
          <w:rFonts w:ascii="Arial" w:hAnsi="Arial" w:cs="Arial"/>
        </w:rPr>
        <w:t xml:space="preserve"> verificación en tiempo real del RUC del proveedor contra la base SSCO de la SUNAT al registrar una factura, con clasificación ML de riesgo tributario y OCR para recibos de honorarios.</w:t>
      </w:r>
    </w:p>
    <w:p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Motor IA #2 — Predicción de demanda:</w:t>
      </w:r>
      <w:r>
        <w:rPr>
          <w:rFonts w:ascii="Arial" w:hAnsi="Arial" w:cs="Arial"/>
        </w:rPr>
        <w:t xml:space="preserve"> análisis del historial de facturación para predecir demanda por SKU/categoría en horizonte de 30 días con LightGBM, generando órdenes de compra sugeridas automáticamente.</w:t>
      </w:r>
    </w:p>
    <w:p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Motor IA #3 — Scoring de retención B2B:</w:t>
      </w:r>
      <w:r>
        <w:rPr>
          <w:rFonts w:ascii="Arial" w:hAnsi="Arial" w:cs="Arial"/>
        </w:rPr>
        <w:t xml:space="preserve"> scoring diario de cada cliente B2B basado en patrón de facturación histórica, con detección de señales de abandono y recomendaciones de cross-selling explicadas con valores SHAP.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sistema integra facturación electrónica SUNAT (XML UBL 2.1, firma digital, CDR) con un pipeline ETL sobre TimescaleDB y reentrenamiento mensual automatizado de modelos. La explicabilidad SHAP garantiza que el usuario comprenda cada alerta, no como una caja negra sino como una decisión informada.</w:t>
      </w:r>
    </w:p>
    <w:p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6. Alcance de la solución</w:t>
      </w:r>
    </w:p>
    <w:p>
      <w:pPr>
        <w:pStyle w:val="NormalWeb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✓ Incluye: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Módulo Core de Facturación Electrónica: emisión/recepción de facturas, boletas y notas en XML UBL 2.1 con firma digital, envío a SUNAT vía OSE/PSE, recepción de CDR.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Módulo de Auditoría Preventiva y Compliance (Motor IA #1): verificación SSCO en tiempo real, análisis de coherencia del gasto, OCR para honorarios y score de riesgo tributario por proveedor.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Módulo de Supply Chain &amp; Revenue Management (Motor IA #2): predicción de demanda a 30 días por SKU/categoría, órdenes de compra automáticas y dashboard de inventario inteligente.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Módulo de Customer Health &amp; Retention (Motor IA #3): scoring diario B2B, detección de abandono, recomendaciones de cross-selling y panel de ventas con lista de clientes en riesgo.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Dashboard Ejecutivo con KPIs financieros, indicadores de riesgo tributario, predicciones de demanda y estado del pipeline de retención (Chart.js).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Seguridad y cumplimiento Ley 29733: cifrado AES-256, TLS 1.3, autenticación JWT, RBAC estricto y log de auditoría inmutable.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Pipeline CD/IA: ETL de XMLs, ingeniería de características, entrenamiento LightGBM/Random Forest, explicabilidad SHAP y reentrenamiento mensual automatizado.</w:t>
      </w:r>
    </w:p>
    <w:p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Validación piloto en empresa MYPE durante 8 semanas con medición de impacto real y evaluación SUS con usuarios finales.</w:t>
      </w:r>
    </w:p>
    <w:p>
      <w:pPr>
        <w:pStyle w:val="NormalWeb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✘ No incluye:</w:t>
      </w:r>
    </w:p>
    <w:p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Módulo de contabilidad completa (balance general, libro diario) — el sistema se enfoca en inteligencia sobre comprobantes.</w:t>
      </w:r>
    </w:p>
    <w:p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Integración directa con sistemas contables de terceros (CONCAR, SISCONT) — contemplado en hoja de ruta post-EPE vía API documentada.</w:t>
      </w:r>
    </w:p>
    <w:p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Aplicación móvil nativa iOS/Android — el sistema es completamente web responsiva.</w:t>
      </w:r>
    </w:p>
    <w:p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Gestión de planillas, RRHH o control de asistencia.</w:t>
      </w:r>
    </w:p>
    <w:p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Emisión de comprobantes para sectores con regímenes especiales (bancos, seguros, hidrocarburos) — la versión inicial cubre el régimen general y RER.</w:t>
      </w:r>
    </w:p>
    <w:p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7. Valor de la solución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solución permitirá:</w:t>
      </w:r>
    </w:p>
    <w:p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Detectar proveedores SSCO en tiempo real con precisión ≥ 98%, eliminando el riesgo de contingencias tributarias antes de que ocurran.</w:t>
      </w:r>
    </w:p>
    <w:p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Predecir demanda por SKU con F1-score ≥ 82% y MAPE ≤ 18%, recuperando entre 3% y 6% de ventas perdidas por quiebre de stock anualmente.</w:t>
      </w:r>
    </w:p>
    <w:p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Reducir el churn B2B entre 15% y 25% mediante alertas tempranas con AUC-ROC ≥ 0.85 e identificación de los 3 factores explicativos por cliente (SHAP).</w:t>
      </w:r>
    </w:p>
    <w:p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Garantizar cumplimiento de la Ley 29733 y normativa SUNAT desde el origen de la arquitectura (privacy &amp; compliance by design).</w:t>
      </w:r>
    </w:p>
    <w:p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Ofrecer una solución SaaS accesible para más de 1.5 millones de MYPES peruanas — la primera de este tipo en el mercado nacional.</w:t>
      </w:r>
    </w:p>
    <w:p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8. Trazabilidad por competencias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3"/>
        <w:gridCol w:w="2508"/>
        <w:gridCol w:w="358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Línea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Competencia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Cómo lo cumple el proyecto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Gestión TI (CE01)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Gestiona proyectos de tecnologías de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Implementa RBAC estricto, cumplimiento normativo SUNAT y Ley 29733, y log de auditoría inmutable en un sistema SaaS de gestión empresarial para MYPES peruanas.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Ing. de Software (CE02)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Desarrolla soluciones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full-stack profesional: Angular 19 (frontend), Spring Boot 3 con Spring Security (backend REST + JWT + integración SUNAT), microservicios Python/Flask independientes. Código documentado con cobertura de pruebas unitarias.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Infraestructura Tecnológica (CE03)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Gestiona infraestructura tecnológica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Despliega arquitectura de microservicios con Docker + Docker Compose sobre PostgreSQL 15 + TimescaleDB, garantizando portabilidad, ACID compliance para datos tributarios y operación del pipeline ETL diario.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Ciencia de Datos / IA (CE04)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Aplica técnicas de datos e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Entrena y valida tres modelos ML (LightGBM, Random Forest, Gradient Boosting) para clasificación de fraude tributario, regresión de demanda y scoring de churn B2B, con explicabilidad SHAP y pipeline CRISP-DM completo.</w:t>
            </w:r>
          </w:p>
        </w:tc>
      </w:tr>
    </w:tbl>
    <w:p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t>Conclusión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SENTINEL representa la primera solución SaaS del mercado peruano que convierte el flujo obligatorio de comprobantes electrónicos SUNAT en un motor de inteligencia artificial de triple impacto: cumplimiento tributario preventivo, optimización de inventario y retención de clientes B2B.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esta primera fase EPE, el sistema se despliega en una empresa MYPE piloto durante 8 semanas para validar su impacto real en la reducción de contingencias tributarias, la precisión predictiva de los modelos ML y la usabilidad con usuarios finales (puntaje SUS ≥ 75).</w:t>
      </w:r>
    </w:p>
    <w:p>
      <w:pPr>
        <w:pStyle w:val="NormalWeb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esta manera, cada empresa usuaria logra que sus comprobantes electrónicos:</w:t>
      </w:r>
    </w:p>
    <w:p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dejen de ser solo un canal de cumplimiento tributario</w:t>
      </w:r>
    </w:p>
    <w:p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se conviertan en el cerebro financiero de la empresa</w:t>
      </w:r>
    </w:p>
    <w:p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protejan a la empresa de riesgos tributarios en tiempo real</w:t>
      </w:r>
    </w:p>
    <w:p>
      <w:pPr>
        <w:pStyle w:val="NormalWeb"/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/>
      </w:r>
      <w:r>
        <w:rPr>
          <w:rFonts w:ascii="Arial" w:hAnsi="Arial" w:cs="Arial"/>
        </w:rPr>
        <w:t xml:space="preserve"> y brinden inteligencia accionable con explicabilidad SHAP para cada decisión crítica del negocio</w:t>
      </w:r>
    </w:p>
    <w:p>
      <w:pPr>
        <w:rPr>
          <w:rFonts w:ascii="Arial" w:hAnsi="Arial" w:cs="Arial"/>
          <w:sz w:val="24"/>
          <w:szCs w:val="24"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3DDE"/>
    <w:multiLevelType w:val="hybridMultilevel"/>
    <w:tmpl w:val="E5B849B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64584"/>
    <w:multiLevelType w:val="multilevel"/>
    <w:tmpl w:val="2BF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1475A"/>
    <w:multiLevelType w:val="multilevel"/>
    <w:tmpl w:val="1F0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67C25"/>
    <w:multiLevelType w:val="multilevel"/>
    <w:tmpl w:val="F03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50E96"/>
    <w:multiLevelType w:val="multilevel"/>
    <w:tmpl w:val="6A0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A6ABF"/>
    <w:multiLevelType w:val="multilevel"/>
    <w:tmpl w:val="DA2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86E0E"/>
    <w:multiLevelType w:val="multilevel"/>
    <w:tmpl w:val="A17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70822"/>
    <w:multiLevelType w:val="multilevel"/>
    <w:tmpl w:val="843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88795">
    <w:abstractNumId w:val="0"/>
  </w:num>
  <w:num w:numId="2" w16cid:durableId="1855993007">
    <w:abstractNumId w:val="7"/>
  </w:num>
  <w:num w:numId="3" w16cid:durableId="127552662">
    <w:abstractNumId w:val="3"/>
  </w:num>
  <w:num w:numId="4" w16cid:durableId="1093866758">
    <w:abstractNumId w:val="1"/>
  </w:num>
  <w:num w:numId="5" w16cid:durableId="242030777">
    <w:abstractNumId w:val="5"/>
  </w:num>
  <w:num w:numId="6" w16cid:durableId="523978469">
    <w:abstractNumId w:val="4"/>
  </w:num>
  <w:num w:numId="7" w16cid:durableId="293414042">
    <w:abstractNumId w:val="2"/>
  </w:num>
  <w:num w:numId="8" w16cid:durableId="273446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CF"/>
    <w:rsid w:val="0039745C"/>
    <w:rsid w:val="006746E0"/>
    <w:rsid w:val="00FE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7F0DA"/>
  <w15:chartTrackingRefBased/>
  <w15:docId w15:val="{8F1D0366-31F3-4971-A00E-95BA1841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97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4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9745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3974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652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2026-04-21T02:13:00Z</dcterms:created>
  <dcterms:modified xsi:type="dcterms:W3CDTF">2026-04-21T02:29:00Z</dcterms:modified>
</cp:coreProperties>
</file>