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C33E" w14:textId="77777777" w:rsidR="00E53D01" w:rsidRPr="00A81E90" w:rsidRDefault="00E53D01" w:rsidP="00E53D01">
      <w:pPr>
        <w:rPr>
          <w:rFonts w:ascii="Arial" w:hAnsi="Arial" w:cs="Arial"/>
          <w:b/>
        </w:rPr>
      </w:pPr>
      <w:r w:rsidRPr="00A81E90">
        <w:rPr>
          <w:rFonts w:ascii="Arial" w:hAnsi="Arial" w:cs="Arial"/>
          <w:b/>
        </w:rPr>
        <w:t xml:space="preserve">Ataque de </w:t>
      </w:r>
      <w:proofErr w:type="spellStart"/>
      <w:r w:rsidRPr="00A81E90">
        <w:rPr>
          <w:rFonts w:ascii="Arial" w:hAnsi="Arial" w:cs="Arial"/>
          <w:b/>
        </w:rPr>
        <w:t>ransomware</w:t>
      </w:r>
      <w:proofErr w:type="spellEnd"/>
      <w:r w:rsidRPr="00A81E90">
        <w:rPr>
          <w:rFonts w:ascii="Arial" w:hAnsi="Arial" w:cs="Arial"/>
          <w:b/>
        </w:rPr>
        <w:t xml:space="preserve"> do Colonial Pipeline</w:t>
      </w:r>
    </w:p>
    <w:p w14:paraId="7DE756EF" w14:textId="3E5C4D14" w:rsidR="00E53D01" w:rsidRPr="00A81E90" w:rsidRDefault="00E53D01" w:rsidP="00B94AF0">
      <w:pPr>
        <w:jc w:val="both"/>
        <w:rPr>
          <w:rFonts w:ascii="Arial" w:hAnsi="Arial" w:cs="Arial"/>
        </w:rPr>
      </w:pPr>
      <w:r w:rsidRPr="00A81E90">
        <w:rPr>
          <w:rFonts w:ascii="Arial" w:hAnsi="Arial" w:cs="Arial"/>
        </w:rPr>
        <w:t>Em 7 de maio de 2021, Colonial Pipeline, um sistema de oleoduto americano que se origina em Houston, Texas, e carrega gasolina e combustível de aviação principalmente para o Sudeste dos Estados Unidos, sofreu um </w:t>
      </w:r>
      <w:r w:rsidR="00B94AF0" w:rsidRPr="00A81E90">
        <w:rPr>
          <w:rFonts w:ascii="Arial" w:hAnsi="Arial" w:cs="Arial"/>
        </w:rPr>
        <w:t xml:space="preserve">ataque cibernético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 que afligia equipamentos informatizados que gerenciavam o oleoduto. A Colonial Pipeline </w:t>
      </w:r>
      <w:proofErr w:type="spellStart"/>
      <w:r w:rsidRPr="00A81E90">
        <w:rPr>
          <w:rFonts w:ascii="Arial" w:hAnsi="Arial" w:cs="Arial"/>
        </w:rPr>
        <w:t>Company</w:t>
      </w:r>
      <w:proofErr w:type="spellEnd"/>
      <w:r w:rsidRPr="00A81E90">
        <w:rPr>
          <w:rFonts w:ascii="Arial" w:hAnsi="Arial" w:cs="Arial"/>
        </w:rPr>
        <w:t xml:space="preserve"> interrompeu todas as operações do oleoduto para conter o ataque. Supervisionada pelo FBI, a empresa pagou o valor solicitado pelo grupo hacker (75 bitcoin ou US$ 4,4 milhões) em poucas horas; após o recebimento do resgate, uma ferramenta de TI foi fornecida à Colonial Pipeline </w:t>
      </w:r>
      <w:proofErr w:type="spellStart"/>
      <w:r w:rsidRPr="00A81E90">
        <w:rPr>
          <w:rFonts w:ascii="Arial" w:hAnsi="Arial" w:cs="Arial"/>
        </w:rPr>
        <w:t>Company</w:t>
      </w:r>
      <w:proofErr w:type="spellEnd"/>
      <w:r w:rsidRPr="00A81E90">
        <w:rPr>
          <w:rFonts w:ascii="Arial" w:hAnsi="Arial" w:cs="Arial"/>
        </w:rPr>
        <w:t xml:space="preserve"> por </w:t>
      </w:r>
      <w:proofErr w:type="spellStart"/>
      <w:r w:rsidR="00B94AF0" w:rsidRPr="00A81E90">
        <w:rPr>
          <w:rFonts w:ascii="Arial" w:hAnsi="Arial" w:cs="Arial"/>
        </w:rPr>
        <w:t>DarkSide</w:t>
      </w:r>
      <w:proofErr w:type="spellEnd"/>
      <w:r w:rsidRPr="00A81E90">
        <w:rPr>
          <w:rFonts w:ascii="Arial" w:hAnsi="Arial" w:cs="Arial"/>
        </w:rPr>
        <w:t xml:space="preserve"> para restaurar o sistema. No entanto, a ferramenta exigiu um tempo de processamento muito longo para restaurar o sistema ao estado de funcionamento. </w:t>
      </w:r>
    </w:p>
    <w:p w14:paraId="7F521539" w14:textId="2E2FECD8" w:rsidR="00E53D01" w:rsidRPr="00A81E90" w:rsidRDefault="00B94AF0" w:rsidP="00B94AF0">
      <w:pPr>
        <w:jc w:val="both"/>
        <w:rPr>
          <w:rFonts w:ascii="Arial" w:hAnsi="Arial" w:cs="Arial"/>
        </w:rPr>
      </w:pPr>
      <w:r w:rsidRPr="00A81E90">
        <w:rPr>
          <w:rFonts w:ascii="Arial" w:hAnsi="Arial" w:cs="Arial"/>
        </w:rPr>
        <w:t>A</w:t>
      </w:r>
      <w:r w:rsidR="00E53D01" w:rsidRPr="00A81E90">
        <w:rPr>
          <w:rFonts w:ascii="Arial" w:hAnsi="Arial" w:cs="Arial"/>
        </w:rPr>
        <w:t xml:space="preserve"> Administração Federal de Segurança de Transportadoras Rodoviárias emitiu um relatório regional declaração de emergência para 17 estados e Washington, manterem as linhas de abastecimento de combustível abertas em 9 de maio. Foi o maior ataque cibernético a um alvo de infraestrutura petrolífera na história dos Estados Unidos. O FBI e várias fontes da mídia identificaram o grupo criminoso de hackers </w:t>
      </w:r>
      <w:proofErr w:type="spellStart"/>
      <w:r w:rsidRPr="00A81E90">
        <w:rPr>
          <w:rFonts w:ascii="Arial" w:hAnsi="Arial" w:cs="Arial"/>
        </w:rPr>
        <w:t>DarkSide</w:t>
      </w:r>
      <w:proofErr w:type="spellEnd"/>
      <w:r w:rsidRPr="00A81E90">
        <w:rPr>
          <w:rFonts w:ascii="Arial" w:hAnsi="Arial" w:cs="Arial"/>
        </w:rPr>
        <w:t xml:space="preserve"> </w:t>
      </w:r>
      <w:r w:rsidR="00E53D01" w:rsidRPr="00A81E90">
        <w:rPr>
          <w:rFonts w:ascii="Arial" w:hAnsi="Arial" w:cs="Arial"/>
        </w:rPr>
        <w:t>como parte responsável</w:t>
      </w:r>
      <w:r w:rsidRPr="00A81E90">
        <w:rPr>
          <w:rFonts w:ascii="Arial" w:hAnsi="Arial" w:cs="Arial"/>
        </w:rPr>
        <w:t xml:space="preserve">. </w:t>
      </w:r>
      <w:r w:rsidR="00E53D01" w:rsidRPr="00A81E90">
        <w:rPr>
          <w:rFonts w:ascii="Arial" w:hAnsi="Arial" w:cs="Arial"/>
        </w:rPr>
        <w:t>Acredita-se que o mesmo grupo tenha roubado 100 gigabytes de dados dos servidores da empresa um dia antes do ataque de malware.</w:t>
      </w:r>
    </w:p>
    <w:p w14:paraId="65B01A8A" w14:textId="35510D24" w:rsidR="00B94AF0" w:rsidRPr="00A81E90" w:rsidRDefault="009269B8" w:rsidP="00B94AF0">
      <w:pPr>
        <w:jc w:val="both"/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>Tipo de ataque:</w:t>
      </w:r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 (</w:t>
      </w:r>
      <w:proofErr w:type="spellStart"/>
      <w:r w:rsidRPr="00A81E90">
        <w:rPr>
          <w:rFonts w:ascii="Arial" w:hAnsi="Arial" w:cs="Arial"/>
        </w:rPr>
        <w:t>DarkSide</w:t>
      </w:r>
      <w:proofErr w:type="spellEnd"/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group</w:t>
      </w:r>
      <w:proofErr w:type="spellEnd"/>
      <w:r w:rsidRPr="00A81E90">
        <w:rPr>
          <w:rFonts w:ascii="Arial" w:hAnsi="Arial" w:cs="Arial"/>
        </w:rPr>
        <w:t>).</w:t>
      </w:r>
    </w:p>
    <w:p w14:paraId="1F14CFAA" w14:textId="66E2571C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 xml:space="preserve">Vulnerabilidade explorada: </w:t>
      </w:r>
      <w:r w:rsidRPr="00A81E90">
        <w:rPr>
          <w:rFonts w:ascii="Arial" w:hAnsi="Arial" w:cs="Arial"/>
        </w:rPr>
        <w:t>não foi um CVE específico, mas sim uso de credenciais comprometidas em VPN sem MFA (</w:t>
      </w:r>
      <w:proofErr w:type="spellStart"/>
      <w:r w:rsidRPr="00A81E90">
        <w:rPr>
          <w:rFonts w:ascii="Arial" w:hAnsi="Arial" w:cs="Arial"/>
        </w:rPr>
        <w:t>Multi-Factor</w:t>
      </w:r>
      <w:proofErr w:type="spellEnd"/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Authentication</w:t>
      </w:r>
      <w:proofErr w:type="spellEnd"/>
      <w:r w:rsidRPr="00A81E90">
        <w:rPr>
          <w:rFonts w:ascii="Arial" w:hAnsi="Arial" w:cs="Arial"/>
        </w:rPr>
        <w:t>).</w:t>
      </w:r>
    </w:p>
    <w:p w14:paraId="7C6F81CC" w14:textId="1434A969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 xml:space="preserve">Impactos: </w:t>
      </w:r>
      <w:r w:rsidRPr="00A81E90">
        <w:rPr>
          <w:rFonts w:ascii="Arial" w:hAnsi="Arial" w:cs="Arial"/>
        </w:rPr>
        <w:t>a empresa parou o fornecimento de combustível por quase uma semana, gerando escassez e filas em postos de gasolina na costa leste dos EUA. O prejuízo total estimado superou US$ 4,4 milhões pagos de resgate (parte depois recuperada pelo FBI).</w:t>
      </w:r>
    </w:p>
    <w:p w14:paraId="4B4AFC97" w14:textId="4AA95989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 xml:space="preserve">Proteção possível: </w:t>
      </w:r>
      <w:r w:rsidRPr="00A81E90">
        <w:rPr>
          <w:rFonts w:ascii="Arial" w:hAnsi="Arial" w:cs="Arial"/>
        </w:rPr>
        <w:t>uso de MFA (</w:t>
      </w:r>
      <w:proofErr w:type="spellStart"/>
      <w:r w:rsidRPr="00A81E90">
        <w:rPr>
          <w:rFonts w:ascii="Arial" w:hAnsi="Arial" w:cs="Arial"/>
        </w:rPr>
        <w:t>Multi-Factor</w:t>
      </w:r>
      <w:proofErr w:type="spellEnd"/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Authentication</w:t>
      </w:r>
      <w:proofErr w:type="spellEnd"/>
      <w:r w:rsidRPr="00A81E90">
        <w:rPr>
          <w:rFonts w:ascii="Arial" w:hAnsi="Arial" w:cs="Arial"/>
        </w:rPr>
        <w:t>), gestão adequada de credenciais, segmentação de rede e monitoramento avançado contra movimentação lateral.</w:t>
      </w:r>
      <w:r w:rsidRPr="00A81E90">
        <w:rPr>
          <w:rFonts w:ascii="Arial" w:hAnsi="Arial" w:cs="Arial"/>
          <w:noProof/>
        </w:rPr>
        <w:t xml:space="preserve"> </w:t>
      </w:r>
    </w:p>
    <w:p w14:paraId="5CD37588" w14:textId="176B07EA" w:rsidR="00F02683" w:rsidRPr="00A81E90" w:rsidRDefault="00F02683" w:rsidP="00F02683">
      <w:pPr>
        <w:jc w:val="center"/>
        <w:rPr>
          <w:rFonts w:ascii="Arial" w:hAnsi="Arial" w:cs="Arial"/>
        </w:rPr>
      </w:pPr>
      <w:r w:rsidRPr="00A81E90">
        <w:rPr>
          <w:rFonts w:ascii="Arial" w:hAnsi="Arial" w:cs="Arial"/>
          <w:noProof/>
        </w:rPr>
        <w:drawing>
          <wp:inline distT="0" distB="0" distL="0" distR="0" wp14:anchorId="1BC30E0C" wp14:editId="53037BFF">
            <wp:extent cx="4152900" cy="2019300"/>
            <wp:effectExtent l="0" t="0" r="0" b="0"/>
            <wp:docPr id="56269840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93" cy="202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72BC4" w14:textId="77777777" w:rsidR="00F02683" w:rsidRPr="00A81E90" w:rsidRDefault="00F02683" w:rsidP="00F02683">
      <w:pPr>
        <w:rPr>
          <w:rFonts w:ascii="Arial" w:hAnsi="Arial" w:cs="Arial"/>
        </w:rPr>
      </w:pPr>
      <w:bookmarkStart w:id="0" w:name="_GoBack"/>
      <w:r w:rsidRPr="00A81E90">
        <w:rPr>
          <w:rFonts w:ascii="Arial" w:hAnsi="Arial" w:cs="Arial"/>
        </w:rPr>
        <w:lastRenderedPageBreak/>
        <w:t xml:space="preserve">Ataque à cadeia de suprimentos da </w:t>
      </w:r>
      <w:proofErr w:type="spellStart"/>
      <w:r w:rsidRPr="00A81E90">
        <w:rPr>
          <w:rFonts w:ascii="Arial" w:hAnsi="Arial" w:cs="Arial"/>
        </w:rPr>
        <w:t>Kaseya</w:t>
      </w:r>
      <w:proofErr w:type="spellEnd"/>
    </w:p>
    <w:p w14:paraId="5BAD1C53" w14:textId="77777777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</w:rPr>
        <w:t xml:space="preserve">Em julho de 2021, o grupo de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REvil</w:t>
      </w:r>
      <w:proofErr w:type="spellEnd"/>
      <w:r w:rsidRPr="00A81E90">
        <w:rPr>
          <w:rFonts w:ascii="Arial" w:hAnsi="Arial" w:cs="Arial"/>
        </w:rPr>
        <w:t xml:space="preserve"> realizou um dos maiores ataques de cadeia de suprimentos já registrados, explorando uma falha crítica no software </w:t>
      </w:r>
      <w:proofErr w:type="spellStart"/>
      <w:r w:rsidRPr="00A81E90">
        <w:rPr>
          <w:rFonts w:ascii="Arial" w:hAnsi="Arial" w:cs="Arial"/>
        </w:rPr>
        <w:t>Kaseya</w:t>
      </w:r>
      <w:proofErr w:type="spellEnd"/>
      <w:r w:rsidRPr="00A81E90">
        <w:rPr>
          <w:rFonts w:ascii="Arial" w:hAnsi="Arial" w:cs="Arial"/>
        </w:rPr>
        <w:t xml:space="preserve"> VSA. Esse programa era amplamente usado por empresas de TI para gerenciar remotamente redes e computadores de seus clientes. Os atacantes conseguiram explorar uma vulnerabilidade zero-</w:t>
      </w:r>
      <w:proofErr w:type="spellStart"/>
      <w:r w:rsidRPr="00A81E90">
        <w:rPr>
          <w:rFonts w:ascii="Arial" w:hAnsi="Arial" w:cs="Arial"/>
        </w:rPr>
        <w:t>day</w:t>
      </w:r>
      <w:proofErr w:type="spellEnd"/>
      <w:r w:rsidRPr="00A81E90">
        <w:rPr>
          <w:rFonts w:ascii="Arial" w:hAnsi="Arial" w:cs="Arial"/>
        </w:rPr>
        <w:t xml:space="preserve"> no sistema e, a partir dela, distribuíram uma atualização maliciosa que implantava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 diretamente nos computadores administrados pelos provedores de serviços.</w:t>
      </w:r>
    </w:p>
    <w:p w14:paraId="1B247FF6" w14:textId="77777777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</w:rPr>
        <w:t xml:space="preserve">Com isso, o ataque não atingiu apenas a </w:t>
      </w:r>
      <w:proofErr w:type="spellStart"/>
      <w:r w:rsidRPr="00A81E90">
        <w:rPr>
          <w:rFonts w:ascii="Arial" w:hAnsi="Arial" w:cs="Arial"/>
        </w:rPr>
        <w:t>Kaseya</w:t>
      </w:r>
      <w:proofErr w:type="spellEnd"/>
      <w:r w:rsidRPr="00A81E90">
        <w:rPr>
          <w:rFonts w:ascii="Arial" w:hAnsi="Arial" w:cs="Arial"/>
        </w:rPr>
        <w:t xml:space="preserve">, mas também se espalhou para centenas de empresas no mundo todo, incluindo supermercados, escolas, órgãos públicos e outras organizações que dependiam de prestadores de serviços de TI. Estima-se que mais de 1.000 empresas clientes tenham sido impactadas. Os criminosos exigiram um resgate coletivo de cerca de US$ 70 milhões para liberar todas as máquinas afetadas, tornando o caso um dos maiores incidentes de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 em larga escala já registrados.</w:t>
      </w:r>
    </w:p>
    <w:p w14:paraId="624DB1BE" w14:textId="77777777" w:rsidR="00F02683" w:rsidRPr="00A81E90" w:rsidRDefault="00F02683" w:rsidP="00F02683">
      <w:pPr>
        <w:rPr>
          <w:rFonts w:ascii="Arial" w:hAnsi="Arial" w:cs="Arial"/>
        </w:rPr>
      </w:pPr>
      <w:r w:rsidRPr="00A81E90">
        <w:rPr>
          <w:rFonts w:ascii="Arial" w:hAnsi="Arial" w:cs="Arial"/>
        </w:rPr>
        <w:t xml:space="preserve">O impacto foi tão grande que a </w:t>
      </w:r>
      <w:proofErr w:type="spellStart"/>
      <w:r w:rsidRPr="00A81E90">
        <w:rPr>
          <w:rFonts w:ascii="Arial" w:hAnsi="Arial" w:cs="Arial"/>
        </w:rPr>
        <w:t>Kaseya</w:t>
      </w:r>
      <w:proofErr w:type="spellEnd"/>
      <w:r w:rsidRPr="00A81E90">
        <w:rPr>
          <w:rFonts w:ascii="Arial" w:hAnsi="Arial" w:cs="Arial"/>
        </w:rPr>
        <w:t xml:space="preserve"> precisou desligar seus servidores VSA para conter a propagação, enquanto especialistas em cibersegurança e agências governamentais trabalhavam para mitigar os danos. O ataque destacou a vulnerabilidade de depender de softwares de gerenciamento centralizado e chamou atenção para os riscos de ataques à cadeia de suprimentos, onde comprometer um único fornecedor pode abrir caminho para atingir milhares de organizações ao mesmo tempo.</w:t>
      </w:r>
    </w:p>
    <w:p w14:paraId="0CD9787C" w14:textId="32B563E6" w:rsidR="00F02683" w:rsidRPr="00A81E90" w:rsidRDefault="009269B8" w:rsidP="00F02683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>Tipo de ataque:</w:t>
      </w:r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Supply</w:t>
      </w:r>
      <w:proofErr w:type="spellEnd"/>
      <w:r w:rsidRPr="00A81E90">
        <w:rPr>
          <w:rFonts w:ascii="Arial" w:hAnsi="Arial" w:cs="Arial"/>
        </w:rPr>
        <w:t xml:space="preserve"> Chain </w:t>
      </w:r>
      <w:proofErr w:type="spellStart"/>
      <w:r w:rsidRPr="00A81E90">
        <w:rPr>
          <w:rFonts w:ascii="Arial" w:hAnsi="Arial" w:cs="Arial"/>
        </w:rPr>
        <w:t>Attack</w:t>
      </w:r>
      <w:proofErr w:type="spellEnd"/>
      <w:r w:rsidRPr="00A81E90">
        <w:rPr>
          <w:rFonts w:ascii="Arial" w:hAnsi="Arial" w:cs="Arial"/>
        </w:rPr>
        <w:t xml:space="preserve"> com </w:t>
      </w:r>
      <w:proofErr w:type="spellStart"/>
      <w:r w:rsidRPr="00A81E90">
        <w:rPr>
          <w:rFonts w:ascii="Arial" w:hAnsi="Arial" w:cs="Arial"/>
        </w:rPr>
        <w:t>ransomware</w:t>
      </w:r>
      <w:proofErr w:type="spellEnd"/>
      <w:r w:rsidRPr="00A81E90">
        <w:rPr>
          <w:rFonts w:ascii="Arial" w:hAnsi="Arial" w:cs="Arial"/>
        </w:rPr>
        <w:t xml:space="preserve"> (</w:t>
      </w:r>
      <w:proofErr w:type="spellStart"/>
      <w:r w:rsidRPr="00A81E90">
        <w:rPr>
          <w:rFonts w:ascii="Arial" w:hAnsi="Arial" w:cs="Arial"/>
        </w:rPr>
        <w:t>REvil</w:t>
      </w:r>
      <w:proofErr w:type="spellEnd"/>
      <w:r w:rsidRPr="00A81E90">
        <w:rPr>
          <w:rFonts w:ascii="Arial" w:hAnsi="Arial" w:cs="Arial"/>
        </w:rPr>
        <w:t xml:space="preserve"> </w:t>
      </w:r>
      <w:proofErr w:type="spellStart"/>
      <w:r w:rsidRPr="00A81E90">
        <w:rPr>
          <w:rFonts w:ascii="Arial" w:hAnsi="Arial" w:cs="Arial"/>
        </w:rPr>
        <w:t>group</w:t>
      </w:r>
      <w:proofErr w:type="spellEnd"/>
      <w:r w:rsidRPr="00A81E90">
        <w:rPr>
          <w:rFonts w:ascii="Arial" w:hAnsi="Arial" w:cs="Arial"/>
        </w:rPr>
        <w:t>).</w:t>
      </w:r>
    </w:p>
    <w:p w14:paraId="67F9EEB1" w14:textId="632C5214" w:rsidR="009269B8" w:rsidRPr="00A81E90" w:rsidRDefault="009269B8" w:rsidP="009269B8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>Vulnerabilidade explorada:</w:t>
      </w:r>
      <w:r w:rsidRPr="00A81E90">
        <w:rPr>
          <w:rFonts w:ascii="Arial" w:hAnsi="Arial" w:cs="Arial"/>
        </w:rPr>
        <w:t xml:space="preserve"> falha de zero-</w:t>
      </w:r>
      <w:proofErr w:type="spellStart"/>
      <w:r w:rsidRPr="00A81E90">
        <w:rPr>
          <w:rFonts w:ascii="Arial" w:hAnsi="Arial" w:cs="Arial"/>
        </w:rPr>
        <w:t>day</w:t>
      </w:r>
      <w:proofErr w:type="spellEnd"/>
      <w:r w:rsidRPr="00A81E90">
        <w:rPr>
          <w:rFonts w:ascii="Arial" w:hAnsi="Arial" w:cs="Arial"/>
        </w:rPr>
        <w:t xml:space="preserve"> na </w:t>
      </w:r>
      <w:proofErr w:type="spellStart"/>
      <w:r w:rsidRPr="00A81E90">
        <w:rPr>
          <w:rFonts w:ascii="Arial" w:hAnsi="Arial" w:cs="Arial"/>
        </w:rPr>
        <w:t>Kaseya</w:t>
      </w:r>
      <w:proofErr w:type="spellEnd"/>
      <w:r w:rsidRPr="00A81E90">
        <w:rPr>
          <w:rFonts w:ascii="Arial" w:hAnsi="Arial" w:cs="Arial"/>
        </w:rPr>
        <w:t xml:space="preserve"> VSA (CVE-2021-30116).</w:t>
      </w:r>
    </w:p>
    <w:p w14:paraId="7A46DA7B" w14:textId="1C6F22F8" w:rsidR="009269B8" w:rsidRPr="00A81E90" w:rsidRDefault="009269B8" w:rsidP="009269B8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>Impactos:</w:t>
      </w:r>
      <w:r w:rsidRPr="00A81E90">
        <w:rPr>
          <w:rFonts w:ascii="Arial" w:hAnsi="Arial" w:cs="Arial"/>
        </w:rPr>
        <w:t xml:space="preserve"> bloqueio em massa de sistemas de clientes, pedidos de resgate totalizando até US$ 70 milhões; afetou redes de supermercados, escolas, órgãos governamentais e empresas de TI.</w:t>
      </w:r>
    </w:p>
    <w:p w14:paraId="0B38AD41" w14:textId="12FCE7AE" w:rsidR="009269B8" w:rsidRPr="00A81E90" w:rsidRDefault="009269B8" w:rsidP="009269B8">
      <w:pPr>
        <w:rPr>
          <w:rFonts w:ascii="Arial" w:hAnsi="Arial" w:cs="Arial"/>
        </w:rPr>
      </w:pPr>
      <w:r w:rsidRPr="00A81E90">
        <w:rPr>
          <w:rFonts w:ascii="Arial" w:hAnsi="Arial" w:cs="Arial"/>
          <w:b/>
          <w:bCs/>
        </w:rPr>
        <w:t>Proteção possível:</w:t>
      </w:r>
      <w:r w:rsidRPr="00A81E90">
        <w:rPr>
          <w:rFonts w:ascii="Arial" w:hAnsi="Arial" w:cs="Arial"/>
        </w:rPr>
        <w:t xml:space="preserve"> aplicar Zero Trust, monitorar cadeias de suprimentos de software, limitar permissões de atualizações automáticas, além de usar </w:t>
      </w:r>
      <w:proofErr w:type="spellStart"/>
      <w:r w:rsidRPr="00A81E90">
        <w:rPr>
          <w:rFonts w:ascii="Arial" w:hAnsi="Arial" w:cs="Arial"/>
        </w:rPr>
        <w:t>patching</w:t>
      </w:r>
      <w:proofErr w:type="spellEnd"/>
      <w:r w:rsidRPr="00A81E90">
        <w:rPr>
          <w:rFonts w:ascii="Arial" w:hAnsi="Arial" w:cs="Arial"/>
        </w:rPr>
        <w:t xml:space="preserve"> rápido e segmentação de sistemas críticos.</w:t>
      </w:r>
    </w:p>
    <w:bookmarkEnd w:id="0"/>
    <w:p w14:paraId="75EE98C0" w14:textId="2EE1E9F4" w:rsidR="009269B8" w:rsidRPr="00A81E90" w:rsidRDefault="009269B8" w:rsidP="009269B8">
      <w:pPr>
        <w:jc w:val="center"/>
        <w:rPr>
          <w:rFonts w:ascii="Arial" w:hAnsi="Arial" w:cs="Arial"/>
          <w:sz w:val="36"/>
          <w:szCs w:val="36"/>
        </w:rPr>
      </w:pPr>
      <w:r w:rsidRPr="00A81E90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371C12D" wp14:editId="67A34B7A">
            <wp:extent cx="3143250" cy="1473200"/>
            <wp:effectExtent l="0" t="0" r="0" b="0"/>
            <wp:docPr id="7112907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48" cy="1482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13E73" w14:textId="77777777" w:rsidR="00A81E90" w:rsidRPr="00A81E90" w:rsidRDefault="00A81E90" w:rsidP="00A81E90">
      <w:pPr>
        <w:rPr>
          <w:rFonts w:ascii="Arial" w:hAnsi="Arial" w:cs="Arial"/>
          <w:b/>
          <w:i/>
        </w:rPr>
      </w:pPr>
      <w:r w:rsidRPr="00A81E90">
        <w:rPr>
          <w:rFonts w:ascii="Arial" w:hAnsi="Arial" w:cs="Arial"/>
          <w:b/>
          <w:i/>
        </w:rPr>
        <w:lastRenderedPageBreak/>
        <w:t>INTEGRANTES</w:t>
      </w:r>
    </w:p>
    <w:p w14:paraId="585F67CC" w14:textId="436B00FA" w:rsidR="00A81E90" w:rsidRPr="00A81E90" w:rsidRDefault="00A81E90" w:rsidP="00A81E90">
      <w:pPr>
        <w:rPr>
          <w:rFonts w:ascii="Arial" w:hAnsi="Arial" w:cs="Arial"/>
        </w:rPr>
      </w:pPr>
      <w:r w:rsidRPr="00A81E90">
        <w:rPr>
          <w:rFonts w:ascii="Arial" w:hAnsi="Arial" w:cs="Arial"/>
        </w:rPr>
        <w:t>Rodolfo Regis de Souza – RA 825113514</w:t>
      </w:r>
    </w:p>
    <w:p w14:paraId="5F1DD42D" w14:textId="77777777" w:rsidR="00A81E90" w:rsidRPr="00A81E90" w:rsidRDefault="00A81E90" w:rsidP="00A81E90">
      <w:pPr>
        <w:rPr>
          <w:rFonts w:ascii="Arial" w:hAnsi="Arial" w:cs="Arial"/>
        </w:rPr>
      </w:pPr>
      <w:r w:rsidRPr="00A81E90">
        <w:rPr>
          <w:rFonts w:ascii="Arial" w:hAnsi="Arial" w:cs="Arial"/>
        </w:rPr>
        <w:t xml:space="preserve">Sergio </w:t>
      </w:r>
      <w:proofErr w:type="spellStart"/>
      <w:r w:rsidRPr="00A81E90">
        <w:rPr>
          <w:rFonts w:ascii="Arial" w:hAnsi="Arial" w:cs="Arial"/>
        </w:rPr>
        <w:t>Rycbzak</w:t>
      </w:r>
      <w:proofErr w:type="spellEnd"/>
      <w:r w:rsidRPr="00A81E90">
        <w:rPr>
          <w:rFonts w:ascii="Arial" w:hAnsi="Arial" w:cs="Arial"/>
        </w:rPr>
        <w:t xml:space="preserve"> Junior – RA 825154823</w:t>
      </w:r>
    </w:p>
    <w:p w14:paraId="16619EBD" w14:textId="77777777" w:rsidR="00A81E90" w:rsidRPr="00A81E90" w:rsidRDefault="00A81E90" w:rsidP="00A81E90">
      <w:pPr>
        <w:rPr>
          <w:rFonts w:ascii="Arial" w:hAnsi="Arial" w:cs="Arial"/>
        </w:rPr>
      </w:pPr>
      <w:r w:rsidRPr="00A81E90">
        <w:rPr>
          <w:rFonts w:ascii="Arial" w:hAnsi="Arial" w:cs="Arial"/>
        </w:rPr>
        <w:t>Pietro Oliveira Silva – RA 825113483</w:t>
      </w:r>
    </w:p>
    <w:p w14:paraId="3A136AB7" w14:textId="77777777" w:rsidR="00A81E90" w:rsidRPr="00A81E90" w:rsidRDefault="00A81E90" w:rsidP="00A81E90">
      <w:pPr>
        <w:rPr>
          <w:rFonts w:ascii="Arial" w:hAnsi="Arial" w:cs="Arial"/>
        </w:rPr>
      </w:pPr>
      <w:r w:rsidRPr="00A81E90">
        <w:rPr>
          <w:rFonts w:ascii="Arial" w:hAnsi="Arial" w:cs="Arial"/>
        </w:rPr>
        <w:t>Gabriel Souza Santos – RA 825113168</w:t>
      </w:r>
    </w:p>
    <w:p w14:paraId="35855A09" w14:textId="77777777" w:rsidR="00F02683" w:rsidRDefault="00F02683" w:rsidP="00F02683"/>
    <w:p w14:paraId="0303FE10" w14:textId="6CED8FE4" w:rsidR="00F02683" w:rsidRDefault="00F02683" w:rsidP="00F02683"/>
    <w:p w14:paraId="4F2268EF" w14:textId="77777777" w:rsidR="00F02683" w:rsidRDefault="00F02683" w:rsidP="00F02683"/>
    <w:p w14:paraId="5693AD27" w14:textId="77777777" w:rsidR="00F02683" w:rsidRDefault="00F02683" w:rsidP="00F02683"/>
    <w:p w14:paraId="4B9C15A3" w14:textId="77777777" w:rsidR="00F02683" w:rsidRDefault="00F02683" w:rsidP="00F02683"/>
    <w:p w14:paraId="47560E8C" w14:textId="77777777" w:rsidR="00F02683" w:rsidRDefault="00F02683" w:rsidP="00F02683"/>
    <w:p w14:paraId="6F85D025" w14:textId="51CAF690" w:rsidR="00F02683" w:rsidRDefault="00F02683" w:rsidP="00F02683"/>
    <w:p w14:paraId="3B1346E6" w14:textId="77777777" w:rsidR="00F02683" w:rsidRPr="00F02683" w:rsidRDefault="00F02683" w:rsidP="00F02683"/>
    <w:p w14:paraId="6667DD7B" w14:textId="744AFBDE" w:rsidR="008E1BCB" w:rsidRDefault="008E1BCB"/>
    <w:sectPr w:rsidR="008E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1"/>
    <w:rsid w:val="000A6C92"/>
    <w:rsid w:val="00560954"/>
    <w:rsid w:val="008E1BCB"/>
    <w:rsid w:val="009269B8"/>
    <w:rsid w:val="00A55108"/>
    <w:rsid w:val="00A81E90"/>
    <w:rsid w:val="00B94AF0"/>
    <w:rsid w:val="00CA101E"/>
    <w:rsid w:val="00E53D01"/>
    <w:rsid w:val="00F0268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FCCA"/>
  <w15:chartTrackingRefBased/>
  <w15:docId w15:val="{D8D66C29-CBA5-4ABB-A7B4-C7661AC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3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D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D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D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D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D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D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D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D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3D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Rodolfo Regis de Souza</cp:lastModifiedBy>
  <cp:revision>2</cp:revision>
  <dcterms:created xsi:type="dcterms:W3CDTF">2025-09-15T22:31:00Z</dcterms:created>
  <dcterms:modified xsi:type="dcterms:W3CDTF">2025-09-15T22:31:00Z</dcterms:modified>
</cp:coreProperties>
</file>