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A3D6E"/>
          <w:sz w:val="40"/>
          <w:szCs w:val="40"/>
        </w:rPr>
        <w:t xml:space="preserve">Handoff — Captura de Click IDs para Conversões de Oportunidade</w:t>
      </w:r>
    </w:p>
    <w:p>
      <w:pPr>
        <w:pBdr>
          <w:bottom w:val="single" w:color="E5E7EB" w:sz="6" w:space="8"/>
        </w:pBdr>
        <w:spacing w:after="400"/>
      </w:pP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Solicitante: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time de Mídia Paga</w:t>
      </w:r>
      <w:r>
        <w:rPr>
          <w:rFonts w:ascii="Arial" w:cs="Arial" w:eastAsia="Arial" w:hAnsi="Arial"/>
          <w:color w:val="9CA3AF"/>
          <w:sz w:val="20"/>
          <w:szCs w:val="20"/>
        </w:rPr>
        <w:t xml:space="preserve">     ·    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Destinatários: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Admin Salesforce + Time da Landing Page</w:t>
      </w:r>
      <w:r>
        <w:rPr>
          <w:rFonts w:ascii="Arial" w:cs="Arial" w:eastAsia="Arial" w:hAnsi="Arial"/>
          <w:color w:val="9CA3AF"/>
          <w:sz w:val="20"/>
          <w:szCs w:val="20"/>
        </w:rPr>
        <w:t xml:space="preserve">     ·     </w:t>
      </w: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Data: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2026-05-19</w:t>
      </w:r>
    </w:p>
    <w:p>
      <w:pPr>
        <w:pBdr>
          <w:bottom w:val="single" w:color="2566B0" w:sz="12" w:space="6"/>
        </w:pBdr>
        <w:spacing w:after="280" w:before="520"/>
      </w:pPr>
      <w:r>
        <w:rPr>
          <w:rFonts w:ascii="Arial" w:cs="Arial" w:eastAsia="Arial" w:hAnsi="Arial"/>
          <w:b/>
          <w:bCs/>
          <w:color w:val="1A3D6E"/>
          <w:sz w:val="28"/>
          <w:szCs w:val="28"/>
        </w:rPr>
        <w:t xml:space="preserve">Contexto</w:t>
      </w:r>
    </w:p>
    <w:p>
      <w:pPr>
        <w:spacing w:after="1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área de mídia paga está implementando uma melhoria de mensuração: as campanhas de Meta Ads e Google Ads passarão a otimizar para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oportunidade real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(cadastro que vira Oportunidade no Salesforce), e não para cadastro bruto na landing page.</w:t>
      </w:r>
    </w:p>
    <w:p>
      <w:pPr>
        <w:spacing w:after="1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Para isso, o identificador do clique no anúncio (</w:t>
      </w: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click ID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) precisa viajar da landing page até o registro de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Opportunity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no Salesforce. Hoje esse dado chega apenas parcialmente: a URL completa de entrada é gravada no campo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UrlUtm__c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mas esse campo é do tipo URL (limite de 255 caracteres) e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trunca o gclid no meio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tornando-o inutilizável para a importação de conversão no Google Ads.</w:t>
      </w:r>
    </w:p>
    <w:p>
      <w:pPr>
        <w:spacing w:after="1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solução são campos dedicados no Salesforce, alimentados pelo formulário da LP.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 que o time de mídia já fez: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uma tag no Google Tag Manager captura os click IDs (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gclid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gbraid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wbraid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fbclid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) e os cookies do Meta (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_fbc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_fbp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) e os grava num cookie first-party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caveo_attribution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no domínio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.caveo.com.br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válido por 90 dias.</w:t>
      </w:r>
    </w:p>
    <w:p>
      <w:pPr>
        <w:spacing w:after="1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Este documento descreve as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duas tarefas pendentes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pBdr>
          <w:bottom w:val="single" w:color="2566B0" w:sz="12" w:space="6"/>
        </w:pBdr>
        <w:spacing w:after="280" w:before="520"/>
      </w:pPr>
      <w:r>
        <w:rPr>
          <w:rFonts w:ascii="Arial" w:cs="Arial" w:eastAsia="Arial" w:hAnsi="Arial"/>
          <w:b/>
          <w:bCs/>
          <w:color w:val="1A3D6E"/>
          <w:sz w:val="28"/>
          <w:szCs w:val="28"/>
        </w:rPr>
        <w:t xml:space="preserve">Tarefa 1 — Admin Salesforce: criar 8 campos no objeto Opportunity</w:t>
      </w:r>
    </w:p>
    <w:p>
      <w:pPr>
        <w:spacing w:after="1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 Setup → Object Manager →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Opportunity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→ Fields &amp; Relationships, criar: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1726"/>
        <w:gridCol w:w="2400"/>
      </w:tblGrid>
      <w:tr>
        <w:tc>
          <w:tcPr>
            <w:tcW w:type="dxa" w:w="2700"/>
            <w:tcBorders>
              <w:top w:val="single" w:color="8DB8D8" w:sz="4"/>
              <w:left w:val="single" w:color="8DB8D8" w:sz="4"/>
              <w:bottom w:val="single" w:color="8DB8D8" w:sz="4"/>
              <w:right w:val="single" w:color="8DB8D8" w:sz="4"/>
            </w:tcBorders>
            <w:shd w:fill="C5DC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D6E"/>
                <w:sz w:val="22"/>
                <w:szCs w:val="22"/>
              </w:rPr>
              <w:t xml:space="preserve">Label sugerida</w:t>
            </w:r>
          </w:p>
        </w:tc>
        <w:tc>
          <w:tcPr>
            <w:tcW w:type="dxa" w:w="2200"/>
            <w:tcBorders>
              <w:top w:val="single" w:color="8DB8D8" w:sz="4"/>
              <w:left w:val="single" w:color="8DB8D8" w:sz="4"/>
              <w:bottom w:val="single" w:color="8DB8D8" w:sz="4"/>
              <w:right w:val="single" w:color="8DB8D8" w:sz="4"/>
            </w:tcBorders>
            <w:shd w:fill="C5DC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D6E"/>
                <w:sz w:val="22"/>
                <w:szCs w:val="22"/>
              </w:rPr>
              <w:t xml:space="preserve">API Name</w:t>
            </w:r>
          </w:p>
        </w:tc>
        <w:tc>
          <w:tcPr>
            <w:tcW w:type="dxa" w:w="1726"/>
            <w:tcBorders>
              <w:top w:val="single" w:color="8DB8D8" w:sz="4"/>
              <w:left w:val="single" w:color="8DB8D8" w:sz="4"/>
              <w:bottom w:val="single" w:color="8DB8D8" w:sz="4"/>
              <w:right w:val="single" w:color="8DB8D8" w:sz="4"/>
            </w:tcBorders>
            <w:shd w:fill="C5DC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D6E"/>
                <w:sz w:val="22"/>
                <w:szCs w:val="22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8DB8D8" w:sz="4"/>
              <w:left w:val="single" w:color="8DB8D8" w:sz="4"/>
              <w:bottom w:val="single" w:color="8DB8D8" w:sz="4"/>
              <w:right w:val="single" w:color="8DB8D8" w:sz="4"/>
            </w:tcBorders>
            <w:shd w:fill="C5DC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D6E"/>
                <w:sz w:val="22"/>
                <w:szCs w:val="22"/>
              </w:rPr>
              <w:t xml:space="preserve">Tamanho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Google Click ID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gclid__c</w:t>
            </w:r>
          </w:p>
        </w:tc>
        <w:tc>
          <w:tcPr>
            <w:tcW w:type="dxa" w:w="17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255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Google GBRAID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gbraid__c</w:t>
            </w:r>
          </w:p>
        </w:tc>
        <w:tc>
          <w:tcPr>
            <w:tcW w:type="dxa" w:w="17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255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Google WBRAID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wbraid__c</w:t>
            </w:r>
          </w:p>
        </w:tc>
        <w:tc>
          <w:tcPr>
            <w:tcW w:type="dxa" w:w="17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255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Meta Click ID (fbclid)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fbclid__c</w:t>
            </w:r>
          </w:p>
        </w:tc>
        <w:tc>
          <w:tcPr>
            <w:tcW w:type="dxa" w:w="17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255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Meta _fbc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fbc__c</w:t>
            </w:r>
          </w:p>
        </w:tc>
        <w:tc>
          <w:tcPr>
            <w:tcW w:type="dxa" w:w="17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255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Meta _fbp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fbp__c</w:t>
            </w:r>
          </w:p>
        </w:tc>
        <w:tc>
          <w:tcPr>
            <w:tcW w:type="dxa" w:w="17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255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Consentimento Marketing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Consentimento_Marketing__c</w:t>
            </w:r>
          </w:p>
        </w:tc>
        <w:tc>
          <w:tcPr>
            <w:tcW w:type="dxa" w:w="17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Checkbox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Data de Envio do Formulário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Data_Envio_Formulario__c</w:t>
            </w:r>
          </w:p>
        </w:tc>
        <w:tc>
          <w:tcPr>
            <w:tcW w:type="dxa" w:w="17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Date/Time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200"/>
      </w:pPr>
    </w:p>
    <w:p>
      <w:pPr>
        <w:spacing w:after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Observações: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Os campos precisam ficar editáveis para o perfil/integração que cria as Opportunities a partir da landing page.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Data_Envio_Formulario__c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é recomendado, porém opcional — se não for preenchido, o processo posterior usará o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CreatedDate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da Opportunity.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Não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reaproveitar o campo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UrlUtm__c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ele continua truncando o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gclid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pBdr>
          <w:bottom w:val="single" w:color="2566B0" w:sz="12" w:space="6"/>
        </w:pBdr>
        <w:spacing w:after="280" w:before="520"/>
      </w:pPr>
      <w:r>
        <w:rPr>
          <w:rFonts w:ascii="Arial" w:cs="Arial" w:eastAsia="Arial" w:hAnsi="Arial"/>
          <w:b/>
          <w:bCs/>
          <w:color w:val="1A3D6E"/>
          <w:sz w:val="28"/>
          <w:szCs w:val="28"/>
        </w:rPr>
        <w:t xml:space="preserve">Tarefa 2 — Time da Landing Page: enviar os valores ao Salesforce</w:t>
      </w:r>
    </w:p>
    <w:p>
      <w:pPr>
        <w:spacing w:after="1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envio do formulário das LPs (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lp.caveo.com.br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lp2.caveo.com.br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) que cria a Opportunity, incluir 6 valores lidos do cookie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caveo_attribution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além do consentimento e do timestamp.</w:t>
      </w:r>
    </w:p>
    <w:p>
      <w:pPr>
        <w:spacing w:after="180" w:before="320"/>
      </w:pPr>
      <w:r>
        <w:rPr>
          <w:rFonts w:ascii="Arial" w:cs="Arial" w:eastAsia="Arial" w:hAnsi="Arial"/>
          <w:b/>
          <w:bCs/>
          <w:color w:val="2566B0"/>
          <w:sz w:val="24"/>
          <w:szCs w:val="24"/>
        </w:rPr>
        <w:t xml:space="preserve">Estrutura do cookie caveo_attribution</w:t>
      </w:r>
    </w:p>
    <w:p>
      <w:pPr>
        <w:spacing w:after="1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Conteúdo: JSON URL-encoded. Exemplo decodificado: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4F4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"gclid": "Cj0KCQjw...",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"gbraid": "0AAAAA9l07ll...",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"wbraid": 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"fbclid": "IwAR3x...",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"fbc": "fb.1.1716130000000.IwAR3x...",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"fbp": "fb.1.1716130000000.1098765432",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"ts": "2026-05-19T18:40:48.000Z"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1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Qualquer chave pode vir vazia — tráfego do Google não traz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fbclid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; tráfego do Meta não traz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gclid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 Enviar o valor mesmo quando vazio.</w:t>
      </w:r>
    </w:p>
    <w:p>
      <w:pPr>
        <w:spacing w:after="180" w:before="320"/>
      </w:pPr>
      <w:r>
        <w:rPr>
          <w:rFonts w:ascii="Arial" w:cs="Arial" w:eastAsia="Arial" w:hAnsi="Arial"/>
          <w:b/>
          <w:bCs/>
          <w:color w:val="2566B0"/>
          <w:sz w:val="24"/>
          <w:szCs w:val="24"/>
        </w:rPr>
        <w:t xml:space="preserve">Como ler o cookie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4F4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function getCaveoAttribution()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var m = document.cookie.match(/(?:^|;)\s*caveo_attribution\s*=\s*([^;]+)/);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if (!m) return {};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try { return JSON.parse(decodeURIComponent(m[1]));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catch (e) { return {};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180" w:before="320"/>
      </w:pPr>
      <w:r>
        <w:rPr>
          <w:rFonts w:ascii="Arial" w:cs="Arial" w:eastAsia="Arial" w:hAnsi="Arial"/>
          <w:b/>
          <w:bCs/>
          <w:color w:val="2566B0"/>
          <w:sz w:val="24"/>
          <w:szCs w:val="24"/>
        </w:rPr>
        <w:t xml:space="preserve">Mapeamento cookie → campo Salesforce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DB8D8" w:sz="4"/>
              <w:left w:val="single" w:color="8DB8D8" w:sz="4"/>
              <w:bottom w:val="single" w:color="8DB8D8" w:sz="4"/>
              <w:right w:val="single" w:color="8DB8D8" w:sz="4"/>
            </w:tcBorders>
            <w:shd w:fill="C5DC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D6E"/>
                <w:sz w:val="22"/>
                <w:szCs w:val="22"/>
              </w:rPr>
              <w:t xml:space="preserve">Origem (cookie)</w:t>
            </w:r>
          </w:p>
        </w:tc>
        <w:tc>
          <w:tcPr>
            <w:tcW w:type="dxa" w:w="4513"/>
            <w:tcBorders>
              <w:top w:val="single" w:color="8DB8D8" w:sz="4"/>
              <w:left w:val="single" w:color="8DB8D8" w:sz="4"/>
              <w:bottom w:val="single" w:color="8DB8D8" w:sz="4"/>
              <w:right w:val="single" w:color="8DB8D8" w:sz="4"/>
            </w:tcBorders>
            <w:shd w:fill="C5DC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D6E"/>
                <w:sz w:val="22"/>
                <w:szCs w:val="22"/>
              </w:rPr>
              <w:t xml:space="preserve">Campo Salesforce</w:t>
            </w:r>
          </w:p>
        </w:tc>
      </w:tr>
      <w:tr>
        <w:tc>
          <w:tcPr>
            <w:tcW w:type="dxa" w:w="451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gclid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(cookie)</w:t>
            </w:r>
          </w:p>
        </w:tc>
        <w:tc>
          <w:tcPr>
            <w:tcW w:type="dxa" w:w="451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gclid__c</w:t>
            </w:r>
          </w:p>
        </w:tc>
      </w:tr>
      <w:tr>
        <w:tc>
          <w:tcPr>
            <w:tcW w:type="dxa" w:w="451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gbraid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(cookie)</w:t>
            </w:r>
          </w:p>
        </w:tc>
        <w:tc>
          <w:tcPr>
            <w:tcW w:type="dxa" w:w="451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gbraid__c</w:t>
            </w:r>
          </w:p>
        </w:tc>
      </w:tr>
      <w:tr>
        <w:tc>
          <w:tcPr>
            <w:tcW w:type="dxa" w:w="451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wbraid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(cookie)</w:t>
            </w:r>
          </w:p>
        </w:tc>
        <w:tc>
          <w:tcPr>
            <w:tcW w:type="dxa" w:w="451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wbraid__c</w:t>
            </w:r>
          </w:p>
        </w:tc>
      </w:tr>
      <w:tr>
        <w:tc>
          <w:tcPr>
            <w:tcW w:type="dxa" w:w="451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fbclid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(cookie)</w:t>
            </w:r>
          </w:p>
        </w:tc>
        <w:tc>
          <w:tcPr>
            <w:tcW w:type="dxa" w:w="451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fbclid__c</w:t>
            </w:r>
          </w:p>
        </w:tc>
      </w:tr>
      <w:tr>
        <w:tc>
          <w:tcPr>
            <w:tcW w:type="dxa" w:w="451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fbc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(cookie)</w:t>
            </w:r>
          </w:p>
        </w:tc>
        <w:tc>
          <w:tcPr>
            <w:tcW w:type="dxa" w:w="451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fbc__c</w:t>
            </w:r>
          </w:p>
        </w:tc>
      </w:tr>
      <w:tr>
        <w:tc>
          <w:tcPr>
            <w:tcW w:type="dxa" w:w="451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fbp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(cookie)</w:t>
            </w:r>
          </w:p>
        </w:tc>
        <w:tc>
          <w:tcPr>
            <w:tcW w:type="dxa" w:w="451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fbp__c</w:t>
            </w:r>
          </w:p>
        </w:tc>
      </w:tr>
      <w:tr>
        <w:tc>
          <w:tcPr>
            <w:tcW w:type="dxa" w:w="451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consentimento do formulário</w:t>
            </w:r>
          </w:p>
        </w:tc>
        <w:tc>
          <w:tcPr>
            <w:tcW w:type="dxa" w:w="451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Consentimento_Marketing__c</w:t>
            </w:r>
          </w:p>
        </w:tc>
      </w:tr>
      <w:tr>
        <w:tc>
          <w:tcPr>
            <w:tcW w:type="dxa" w:w="451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momento do envio do formulário</w:t>
            </w:r>
          </w:p>
        </w:tc>
        <w:tc>
          <w:tcPr>
            <w:tcW w:type="dxa" w:w="451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Data_Envio_Formulario__c</w:t>
            </w:r>
          </w:p>
        </w:tc>
      </w:tr>
    </w:tbl>
    <w:p>
      <w:pPr>
        <w:spacing w:after="200"/>
      </w:pPr>
    </w:p>
    <w:p>
      <w:pPr>
        <w:spacing w:after="180" w:before="320"/>
      </w:pPr>
      <w:r>
        <w:rPr>
          <w:rFonts w:ascii="Arial" w:cs="Arial" w:eastAsia="Arial" w:hAnsi="Arial"/>
          <w:b/>
          <w:bCs/>
          <w:color w:val="2566B0"/>
          <w:sz w:val="24"/>
          <w:szCs w:val="24"/>
        </w:rPr>
        <w:t xml:space="preserve">Pergunta a responder ao time de mídia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 formulário envia ao Salesforce via POST de formulário tradicional ou via JavaScript/SPA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(React, fetch/AJAX com lista fixa de campos)?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POST tradicional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→ o time de mídia consegue injetar os campos ocultos via GTM. Basta confirmar os atributos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name=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dos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&lt;input&gt;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 que esses campos chegam ao Salesforce.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JavaScript/SPA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→ o time da LP precisa ler o cookie no próprio código (função acima) e incluir os 8 valores no payload enviado ao Salesforce.</w:t>
      </w:r>
    </w:p>
    <w:p>
      <w:pPr>
        <w:pBdr>
          <w:bottom w:val="single" w:color="2566B0" w:sz="12" w:space="6"/>
        </w:pBdr>
        <w:spacing w:after="280" w:before="520"/>
      </w:pPr>
      <w:r>
        <w:rPr>
          <w:rFonts w:ascii="Arial" w:cs="Arial" w:eastAsia="Arial" w:hAnsi="Arial"/>
          <w:b/>
          <w:bCs/>
          <w:color w:val="1A3D6E"/>
          <w:sz w:val="28"/>
          <w:szCs w:val="28"/>
        </w:rPr>
        <w:t xml:space="preserve">Critério de Pronto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Os 8 campos existem no objeto Opportunity.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Ao enviar o formulário numa LP acessada com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?gclid=TESTE123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na URL, a Opportunity criada tem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gclid__c = TESTE123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 tráfego real do Google, </w:t>
      </w: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gclid__c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grava o valor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completo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(≥70–100 caracteres), sem truncamento.</w:t>
      </w:r>
    </w:p>
    <w:p>
      <w:pPr>
        <w:spacing w:after="2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2026-05-19T19:52:43.240Z</dcterms:created>
  <dcterms:modified xsi:type="dcterms:W3CDTF">2026-05-19T19:52:43.241Z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