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749" w:rsidRDefault="00C32749" w:rsidP="005D2AB8">
      <w:pPr>
        <w:pStyle w:val="Heading1"/>
        <w:rPr>
          <w:lang w:val="ro-RO"/>
        </w:rPr>
      </w:pPr>
      <w:bookmarkStart w:id="0" w:name="_Toc255879988"/>
      <w:bookmarkStart w:id="1" w:name="_Toc255889041"/>
      <w:bookmarkStart w:id="2" w:name="_Toc255889195"/>
      <w:bookmarkStart w:id="3" w:name="_Toc294604992"/>
      <w:r>
        <w:rPr>
          <w:lang w:val="ro-RO"/>
        </w:rPr>
        <w:t>Testing and Validation</w:t>
      </w:r>
      <w:bookmarkEnd w:id="0"/>
      <w:bookmarkEnd w:id="1"/>
      <w:bookmarkEnd w:id="2"/>
      <w:bookmarkEnd w:id="3"/>
    </w:p>
    <w:p w:rsidR="00C32749" w:rsidRPr="00AC7756" w:rsidRDefault="00AD7EE9" w:rsidP="005D2AB8">
      <w:pPr>
        <w:pStyle w:val="Heading3"/>
        <w:rPr>
          <w:lang w:val="ro-RO"/>
        </w:rPr>
      </w:pPr>
      <w:r>
        <w:rPr>
          <w:lang w:val="ro-RO"/>
        </w:rPr>
        <w:t xml:space="preserve">SVM </w:t>
      </w:r>
      <w:r w:rsidR="00C32749" w:rsidRPr="00AC7756">
        <w:rPr>
          <w:lang w:val="ro-RO"/>
        </w:rPr>
        <w:t>Training Error – Precision and Recal</w:t>
      </w:r>
    </w:p>
    <w:p w:rsidR="00C32749" w:rsidRPr="00AC7756" w:rsidRDefault="00C32749" w:rsidP="00C32749">
      <w:pPr>
        <w:jc w:val="both"/>
        <w:rPr>
          <w:lang w:val="ro-RO"/>
        </w:rPr>
      </w:pPr>
    </w:p>
    <w:p w:rsidR="00C32749" w:rsidRPr="00AC7756" w:rsidRDefault="005E56C9" w:rsidP="00782D2F">
      <w:pPr>
        <w:ind w:firstLine="720"/>
        <w:jc w:val="both"/>
        <w:rPr>
          <w:color w:val="000000"/>
          <w:shd w:val="clear" w:color="auto" w:fill="FFFFFF"/>
        </w:rPr>
      </w:pPr>
      <w:r>
        <w:rPr>
          <w:color w:val="000000"/>
          <w:shd w:val="clear" w:color="auto" w:fill="FFFFFF"/>
        </w:rPr>
        <w:t>As explained in [12], in</w:t>
      </w:r>
      <w:r w:rsidR="00C32749" w:rsidRPr="00AC7756">
        <w:rPr>
          <w:color w:val="000000"/>
          <w:shd w:val="clear" w:color="auto" w:fill="FFFFFF"/>
        </w:rPr>
        <w:t xml:space="preserve"> classification tasks, the terms</w:t>
      </w:r>
      <w:r w:rsidR="00C32749" w:rsidRPr="00AC7756">
        <w:rPr>
          <w:rStyle w:val="apple-converted-space"/>
          <w:color w:val="000000"/>
          <w:shd w:val="clear" w:color="auto" w:fill="FFFFFF"/>
        </w:rPr>
        <w:t> </w:t>
      </w:r>
      <w:r w:rsidR="00C32749" w:rsidRPr="00AC7756">
        <w:rPr>
          <w:b/>
          <w:bCs/>
          <w:color w:val="000000"/>
          <w:shd w:val="clear" w:color="auto" w:fill="FFFFFF"/>
        </w:rPr>
        <w:t>true positives</w:t>
      </w:r>
      <w:r w:rsidR="00C32749" w:rsidRPr="00AC7756">
        <w:rPr>
          <w:color w:val="000000"/>
          <w:shd w:val="clear" w:color="auto" w:fill="FFFFFF"/>
        </w:rPr>
        <w:t>,</w:t>
      </w:r>
      <w:r w:rsidR="00C32749" w:rsidRPr="00AC7756">
        <w:rPr>
          <w:rStyle w:val="apple-converted-space"/>
          <w:color w:val="000000"/>
          <w:shd w:val="clear" w:color="auto" w:fill="FFFFFF"/>
        </w:rPr>
        <w:t> </w:t>
      </w:r>
      <w:r w:rsidR="00C32749" w:rsidRPr="00AC7756">
        <w:rPr>
          <w:b/>
          <w:bCs/>
          <w:color w:val="000000"/>
          <w:shd w:val="clear" w:color="auto" w:fill="FFFFFF"/>
        </w:rPr>
        <w:t>true negatives</w:t>
      </w:r>
      <w:r w:rsidR="00C32749" w:rsidRPr="00AC7756">
        <w:rPr>
          <w:color w:val="000000"/>
          <w:shd w:val="clear" w:color="auto" w:fill="FFFFFF"/>
        </w:rPr>
        <w:t>,</w:t>
      </w:r>
      <w:r w:rsidR="00C32749" w:rsidRPr="00AC7756">
        <w:rPr>
          <w:rStyle w:val="apple-converted-space"/>
          <w:color w:val="000000"/>
          <w:shd w:val="clear" w:color="auto" w:fill="FFFFFF"/>
        </w:rPr>
        <w:t> </w:t>
      </w:r>
      <w:r w:rsidR="00C32749" w:rsidRPr="00AC7756">
        <w:rPr>
          <w:b/>
          <w:bCs/>
          <w:color w:val="000000"/>
          <w:shd w:val="clear" w:color="auto" w:fill="FFFFFF"/>
        </w:rPr>
        <w:t>false positives</w:t>
      </w:r>
      <w:r w:rsidR="00C32749" w:rsidRPr="00AC7756">
        <w:rPr>
          <w:color w:val="000000"/>
          <w:shd w:val="clear" w:color="auto" w:fill="FFFFFF"/>
        </w:rPr>
        <w:t>, and</w:t>
      </w:r>
      <w:r w:rsidR="00C32749" w:rsidRPr="00AC7756">
        <w:rPr>
          <w:rStyle w:val="apple-converted-space"/>
          <w:color w:val="000000"/>
          <w:shd w:val="clear" w:color="auto" w:fill="FFFFFF"/>
        </w:rPr>
        <w:t> </w:t>
      </w:r>
      <w:r w:rsidR="00C32749" w:rsidRPr="00AC7756">
        <w:rPr>
          <w:b/>
          <w:bCs/>
          <w:color w:val="000000"/>
          <w:shd w:val="clear" w:color="auto" w:fill="FFFFFF"/>
        </w:rPr>
        <w:t>false negatives</w:t>
      </w:r>
      <w:r w:rsidR="00C32749" w:rsidRPr="00AC7756">
        <w:rPr>
          <w:color w:val="000000"/>
          <w:shd w:val="clear" w:color="auto" w:fill="FFFFFF"/>
        </w:rPr>
        <w:t xml:space="preserve"> compare the results of the classifier under test</w:t>
      </w:r>
      <w:r w:rsidR="005B57E5">
        <w:rPr>
          <w:color w:val="000000"/>
          <w:shd w:val="clear" w:color="auto" w:fill="FFFFFF"/>
        </w:rPr>
        <w:t xml:space="preserve"> with the actual ground truth</w:t>
      </w:r>
      <w:r w:rsidR="00C32749" w:rsidRPr="00AC7756">
        <w:rPr>
          <w:color w:val="000000"/>
          <w:shd w:val="clear" w:color="auto" w:fill="FFFFFF"/>
        </w:rPr>
        <w:t>. The terms</w:t>
      </w:r>
      <w:r w:rsidR="00C32749" w:rsidRPr="00AC7756">
        <w:rPr>
          <w:rStyle w:val="apple-converted-space"/>
          <w:color w:val="000000"/>
          <w:shd w:val="clear" w:color="auto" w:fill="FFFFFF"/>
        </w:rPr>
        <w:t> </w:t>
      </w:r>
      <w:r w:rsidR="00C32749" w:rsidRPr="00AC7756">
        <w:rPr>
          <w:i/>
          <w:iCs/>
          <w:color w:val="000000"/>
          <w:shd w:val="clear" w:color="auto" w:fill="FFFFFF"/>
        </w:rPr>
        <w:t>positive</w:t>
      </w:r>
      <w:r w:rsidR="00C32749" w:rsidRPr="00AC7756">
        <w:rPr>
          <w:rStyle w:val="apple-converted-space"/>
          <w:color w:val="000000"/>
          <w:shd w:val="clear" w:color="auto" w:fill="FFFFFF"/>
        </w:rPr>
        <w:t> </w:t>
      </w:r>
      <w:r w:rsidR="00C32749" w:rsidRPr="00AC7756">
        <w:rPr>
          <w:color w:val="000000"/>
          <w:shd w:val="clear" w:color="auto" w:fill="FFFFFF"/>
        </w:rPr>
        <w:t>and</w:t>
      </w:r>
      <w:r w:rsidR="00C32749" w:rsidRPr="00AC7756">
        <w:rPr>
          <w:rStyle w:val="apple-converted-space"/>
          <w:color w:val="000000"/>
          <w:shd w:val="clear" w:color="auto" w:fill="FFFFFF"/>
        </w:rPr>
        <w:t> </w:t>
      </w:r>
      <w:r w:rsidR="00C32749" w:rsidRPr="00AC7756">
        <w:rPr>
          <w:i/>
          <w:iCs/>
          <w:color w:val="000000"/>
          <w:shd w:val="clear" w:color="auto" w:fill="FFFFFF"/>
        </w:rPr>
        <w:t>negative</w:t>
      </w:r>
      <w:r w:rsidR="00C32749" w:rsidRPr="00AC7756">
        <w:rPr>
          <w:rStyle w:val="apple-converted-space"/>
          <w:color w:val="000000"/>
          <w:shd w:val="clear" w:color="auto" w:fill="FFFFFF"/>
        </w:rPr>
        <w:t> </w:t>
      </w:r>
      <w:r w:rsidR="00C32749">
        <w:rPr>
          <w:color w:val="000000"/>
          <w:shd w:val="clear" w:color="auto" w:fill="FFFFFF"/>
        </w:rPr>
        <w:t xml:space="preserve">refer </w:t>
      </w:r>
      <w:r w:rsidR="00C32749" w:rsidRPr="00AC7756">
        <w:rPr>
          <w:color w:val="000000"/>
          <w:shd w:val="clear" w:color="auto" w:fill="FFFFFF"/>
        </w:rPr>
        <w:t>to the classifier's prediction (sometimes known as the</w:t>
      </w:r>
      <w:r w:rsidR="00C32749" w:rsidRPr="00AC7756">
        <w:rPr>
          <w:rStyle w:val="apple-converted-space"/>
          <w:color w:val="000000"/>
          <w:shd w:val="clear" w:color="auto" w:fill="FFFFFF"/>
        </w:rPr>
        <w:t> </w:t>
      </w:r>
      <w:r w:rsidR="00C32749" w:rsidRPr="00AC7756">
        <w:rPr>
          <w:i/>
          <w:iCs/>
          <w:color w:val="000000"/>
          <w:shd w:val="clear" w:color="auto" w:fill="FFFFFF"/>
        </w:rPr>
        <w:t>observation</w:t>
      </w:r>
      <w:r w:rsidR="00C32749" w:rsidRPr="00AC7756">
        <w:rPr>
          <w:color w:val="000000"/>
          <w:shd w:val="clear" w:color="auto" w:fill="FFFFFF"/>
        </w:rPr>
        <w:t>), and the terms</w:t>
      </w:r>
      <w:r w:rsidR="00C32749" w:rsidRPr="00AC7756">
        <w:rPr>
          <w:rStyle w:val="apple-converted-space"/>
          <w:color w:val="000000"/>
          <w:shd w:val="clear" w:color="auto" w:fill="FFFFFF"/>
        </w:rPr>
        <w:t> </w:t>
      </w:r>
      <w:r w:rsidR="00C32749" w:rsidRPr="00AC7756">
        <w:rPr>
          <w:i/>
          <w:iCs/>
          <w:color w:val="000000"/>
          <w:shd w:val="clear" w:color="auto" w:fill="FFFFFF"/>
        </w:rPr>
        <w:t>true</w:t>
      </w:r>
      <w:r w:rsidR="00C32749" w:rsidRPr="00AC7756">
        <w:rPr>
          <w:rStyle w:val="apple-converted-space"/>
          <w:color w:val="000000"/>
          <w:shd w:val="clear" w:color="auto" w:fill="FFFFFF"/>
        </w:rPr>
        <w:t> </w:t>
      </w:r>
      <w:r w:rsidR="00C32749" w:rsidRPr="00AC7756">
        <w:rPr>
          <w:color w:val="000000"/>
          <w:shd w:val="clear" w:color="auto" w:fill="FFFFFF"/>
        </w:rPr>
        <w:t>and</w:t>
      </w:r>
      <w:r w:rsidR="00C32749" w:rsidRPr="00AC7756">
        <w:rPr>
          <w:rStyle w:val="apple-converted-space"/>
          <w:color w:val="000000"/>
          <w:shd w:val="clear" w:color="auto" w:fill="FFFFFF"/>
        </w:rPr>
        <w:t> </w:t>
      </w:r>
      <w:r w:rsidR="00C32749" w:rsidRPr="00AC7756">
        <w:rPr>
          <w:i/>
          <w:iCs/>
          <w:color w:val="000000"/>
          <w:shd w:val="clear" w:color="auto" w:fill="FFFFFF"/>
        </w:rPr>
        <w:t>false</w:t>
      </w:r>
      <w:r w:rsidR="00C32749" w:rsidRPr="00AC7756">
        <w:rPr>
          <w:rStyle w:val="apple-converted-space"/>
          <w:color w:val="000000"/>
          <w:shd w:val="clear" w:color="auto" w:fill="FFFFFF"/>
        </w:rPr>
        <w:t> </w:t>
      </w:r>
      <w:r w:rsidR="00C32749" w:rsidRPr="00AC7756">
        <w:rPr>
          <w:color w:val="000000"/>
          <w:shd w:val="clear" w:color="auto" w:fill="FFFFFF"/>
        </w:rPr>
        <w:t xml:space="preserve">refer to whether that prediction corresponds </w:t>
      </w:r>
      <w:r w:rsidR="005B57E5">
        <w:rPr>
          <w:color w:val="000000"/>
          <w:shd w:val="clear" w:color="auto" w:fill="FFFFFF"/>
        </w:rPr>
        <w:t xml:space="preserve">is conforming to the ground truth </w:t>
      </w:r>
      <w:r w:rsidR="00C32749" w:rsidRPr="00AC7756">
        <w:rPr>
          <w:color w:val="000000"/>
          <w:shd w:val="clear" w:color="auto" w:fill="FFFFFF"/>
        </w:rPr>
        <w:t>(sometimes known as the</w:t>
      </w:r>
      <w:r w:rsidR="00C32749" w:rsidRPr="00AC7756">
        <w:rPr>
          <w:rStyle w:val="apple-converted-space"/>
          <w:color w:val="000000"/>
          <w:shd w:val="clear" w:color="auto" w:fill="FFFFFF"/>
        </w:rPr>
        <w:t> </w:t>
      </w:r>
      <w:r w:rsidR="00C32749" w:rsidRPr="00AC7756">
        <w:rPr>
          <w:i/>
          <w:iCs/>
          <w:color w:val="000000"/>
          <w:shd w:val="clear" w:color="auto" w:fill="FFFFFF"/>
        </w:rPr>
        <w:t>expectation</w:t>
      </w:r>
      <w:r w:rsidR="00C32749" w:rsidRPr="00AC7756">
        <w:rPr>
          <w:color w:val="000000"/>
          <w:shd w:val="clear" w:color="auto" w:fill="FFFFFF"/>
        </w:rPr>
        <w:t>). This is illustrated by the table below:</w:t>
      </w:r>
    </w:p>
    <w:p w:rsidR="00C32749" w:rsidRDefault="00C32749" w:rsidP="00C32749">
      <w:pPr>
        <w:rPr>
          <w:rFonts w:ascii="Arial" w:hAnsi="Arial" w:cs="Arial"/>
          <w:color w:val="000000"/>
          <w:sz w:val="20"/>
          <w:szCs w:val="20"/>
          <w:shd w:val="clear" w:color="auto" w:fill="FFFFFF"/>
        </w:rPr>
      </w:pPr>
    </w:p>
    <w:p w:rsidR="00C32749" w:rsidRDefault="00C32749" w:rsidP="00C32749">
      <w:pPr>
        <w:jc w:val="center"/>
        <w:rPr>
          <w:lang w:val="ro-RO"/>
        </w:rPr>
      </w:pPr>
      <w:r>
        <w:rPr>
          <w:noProof/>
          <w:lang w:eastAsia="en-US"/>
        </w:rPr>
        <w:drawing>
          <wp:inline distT="0" distB="0" distL="0" distR="0" wp14:anchorId="1B1929EB" wp14:editId="2F69E4C1">
            <wp:extent cx="2434441" cy="1230817"/>
            <wp:effectExtent l="0" t="0" r="4445" b="7620"/>
            <wp:docPr id="1" name="Picture 1" descr="E:\Academic\Licence\lic_doc\pics\chapter 6\precision_re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6\precision_rec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035" cy="1238195"/>
                    </a:xfrm>
                    <a:prstGeom prst="rect">
                      <a:avLst/>
                    </a:prstGeom>
                    <a:noFill/>
                    <a:ln>
                      <a:noFill/>
                    </a:ln>
                  </pic:spPr>
                </pic:pic>
              </a:graphicData>
            </a:graphic>
          </wp:inline>
        </w:drawing>
      </w:r>
    </w:p>
    <w:p w:rsidR="00C32749" w:rsidRDefault="00D429D3" w:rsidP="00C32749">
      <w:pPr>
        <w:jc w:val="center"/>
        <w:rPr>
          <w:lang w:val="ro-RO"/>
        </w:rPr>
      </w:pPr>
      <w:r>
        <w:rPr>
          <w:lang w:val="ro-RO"/>
        </w:rPr>
        <w:t xml:space="preserve">Figure 6..., Source: [6], </w:t>
      </w:r>
    </w:p>
    <w:p w:rsidR="00D429D3" w:rsidRPr="005E56C9" w:rsidRDefault="00D429D3" w:rsidP="005E56C9">
      <w:pPr>
        <w:rPr>
          <w:lang w:val="ro-RO"/>
        </w:rPr>
      </w:pPr>
    </w:p>
    <w:p w:rsidR="007073AA" w:rsidRDefault="00C32749" w:rsidP="007073AA">
      <w:pPr>
        <w:shd w:val="clear" w:color="auto" w:fill="FFFFFF"/>
        <w:spacing w:before="96" w:after="120" w:line="285" w:lineRule="atLeast"/>
        <w:rPr>
          <w:rFonts w:eastAsia="Times New Roman"/>
          <w:color w:val="000000"/>
          <w:lang w:eastAsia="en-US"/>
        </w:rPr>
      </w:pPr>
      <w:r w:rsidRPr="00C32749">
        <w:rPr>
          <w:rFonts w:eastAsia="Times New Roman"/>
          <w:color w:val="000000"/>
          <w:lang w:eastAsia="en-US"/>
        </w:rPr>
        <w:t>Precision and recall are then defined as:</w:t>
      </w:r>
    </w:p>
    <w:p w:rsidR="00D41B23" w:rsidRDefault="00D41B23" w:rsidP="007073AA">
      <w:pPr>
        <w:shd w:val="clear" w:color="auto" w:fill="FFFFFF"/>
        <w:spacing w:before="96" w:after="120" w:line="285" w:lineRule="atLeast"/>
        <w:rPr>
          <w:rFonts w:eastAsia="Times New Roman"/>
          <w:color w:val="000000"/>
          <w:lang w:eastAsia="en-US"/>
        </w:rPr>
      </w:pPr>
    </w:p>
    <w:p w:rsidR="007073AA" w:rsidRPr="007073AA" w:rsidRDefault="00C32749" w:rsidP="007073AA">
      <w:pPr>
        <w:shd w:val="clear" w:color="auto" w:fill="FFFFFF"/>
        <w:spacing w:before="96" w:after="120" w:line="285" w:lineRule="atLeast"/>
        <w:jc w:val="center"/>
        <w:rPr>
          <w:rFonts w:eastAsia="Times New Roman"/>
          <w:i/>
          <w:color w:val="000000"/>
          <w:sz w:val="32"/>
          <w:lang w:eastAsia="en-US"/>
        </w:rPr>
      </w:pPr>
      <m:oMath>
        <m:r>
          <w:rPr>
            <w:rFonts w:ascii="Cambria Math" w:eastAsia="Times New Roman" w:hAnsi="Cambria Math"/>
            <w:color w:val="000000"/>
            <w:sz w:val="32"/>
            <w:lang w:eastAsia="en-US"/>
          </w:rPr>
          <m:t>Precision=</m:t>
        </m:r>
        <m:f>
          <m:fPr>
            <m:ctrlPr>
              <w:rPr>
                <w:rFonts w:ascii="Cambria Math" w:eastAsia="Times New Roman" w:hAnsi="Cambria Math"/>
                <w:i/>
                <w:color w:val="000000"/>
                <w:sz w:val="32"/>
                <w:lang w:eastAsia="en-US"/>
              </w:rPr>
            </m:ctrlPr>
          </m:fPr>
          <m:num>
            <m:r>
              <w:rPr>
                <w:rFonts w:ascii="Cambria Math" w:eastAsia="Times New Roman" w:hAnsi="Cambria Math"/>
                <w:color w:val="000000"/>
                <w:sz w:val="32"/>
                <w:lang w:eastAsia="en-US"/>
              </w:rPr>
              <m:t>tp</m:t>
            </m:r>
          </m:num>
          <m:den>
            <m:r>
              <w:rPr>
                <w:rFonts w:ascii="Cambria Math" w:eastAsia="Times New Roman" w:hAnsi="Cambria Math"/>
                <w:color w:val="000000"/>
                <w:sz w:val="32"/>
                <w:lang w:eastAsia="en-US"/>
              </w:rPr>
              <m:t>tp+fp</m:t>
            </m:r>
          </m:den>
        </m:f>
      </m:oMath>
      <w:r w:rsidR="007073AA" w:rsidRPr="007073AA">
        <w:rPr>
          <w:rFonts w:eastAsia="Times New Roman"/>
          <w:color w:val="000000"/>
          <w:sz w:val="32"/>
          <w:lang w:eastAsia="en-US"/>
        </w:rPr>
        <w:t>,</w:t>
      </w:r>
      <w:r w:rsidR="007073AA">
        <w:rPr>
          <w:rFonts w:eastAsia="Times New Roman"/>
          <w:color w:val="000000"/>
          <w:sz w:val="32"/>
          <w:lang w:eastAsia="en-US"/>
        </w:rPr>
        <w:t xml:space="preserve">    </w:t>
      </w:r>
      <w:r w:rsidR="007073AA" w:rsidRPr="007073AA">
        <w:rPr>
          <w:rFonts w:eastAsia="Times New Roman"/>
          <w:color w:val="000000"/>
          <w:sz w:val="32"/>
          <w:lang w:eastAsia="en-US"/>
        </w:rPr>
        <w:t xml:space="preserve"> </w:t>
      </w:r>
      <m:oMath>
        <m:r>
          <w:rPr>
            <w:rFonts w:ascii="Cambria Math" w:eastAsia="Times New Roman" w:hAnsi="Cambria Math"/>
            <w:color w:val="000000"/>
            <w:sz w:val="32"/>
            <w:lang w:eastAsia="en-US"/>
          </w:rPr>
          <m:t>Recal=</m:t>
        </m:r>
        <m:f>
          <m:fPr>
            <m:ctrlPr>
              <w:rPr>
                <w:rFonts w:ascii="Cambria Math" w:eastAsia="Times New Roman" w:hAnsi="Cambria Math"/>
                <w:i/>
                <w:color w:val="000000"/>
                <w:sz w:val="32"/>
                <w:lang w:eastAsia="en-US"/>
              </w:rPr>
            </m:ctrlPr>
          </m:fPr>
          <m:num>
            <m:r>
              <w:rPr>
                <w:rFonts w:ascii="Cambria Math" w:eastAsia="Times New Roman" w:hAnsi="Cambria Math"/>
                <w:color w:val="000000"/>
                <w:sz w:val="32"/>
                <w:lang w:eastAsia="en-US"/>
              </w:rPr>
              <m:t>tp</m:t>
            </m:r>
          </m:num>
          <m:den>
            <m:r>
              <w:rPr>
                <w:rFonts w:ascii="Cambria Math" w:eastAsia="Times New Roman" w:hAnsi="Cambria Math"/>
                <w:color w:val="000000"/>
                <w:sz w:val="32"/>
                <w:lang w:eastAsia="en-US"/>
              </w:rPr>
              <m:t>tp+fn</m:t>
            </m:r>
          </m:den>
        </m:f>
      </m:oMath>
    </w:p>
    <w:p w:rsidR="00CA482E" w:rsidRPr="007073AA" w:rsidRDefault="00CA482E" w:rsidP="007073AA">
      <w:pPr>
        <w:shd w:val="clear" w:color="auto" w:fill="FFFFFF"/>
        <w:spacing w:before="96" w:after="120" w:line="285" w:lineRule="atLeast"/>
        <w:rPr>
          <w:rFonts w:eastAsia="Times New Roman"/>
          <w:color w:val="000000"/>
          <w:lang w:eastAsia="en-US"/>
        </w:rPr>
      </w:pPr>
    </w:p>
    <w:p w:rsidR="00AD7EE9" w:rsidRDefault="00E903B2" w:rsidP="005714F1">
      <w:pPr>
        <w:ind w:firstLine="720"/>
        <w:rPr>
          <w:lang w:val="ro-RO"/>
        </w:rPr>
      </w:pPr>
      <w:r>
        <w:rPr>
          <w:lang w:val="ro-RO"/>
        </w:rPr>
        <w:t xml:space="preserve">The video which we worked with was 40 minutes long, </w:t>
      </w:r>
      <w:r w:rsidR="005D2AB8">
        <w:rPr>
          <w:lang w:val="ro-RO"/>
        </w:rPr>
        <w:t>on</w:t>
      </w:r>
      <w:r>
        <w:rPr>
          <w:lang w:val="ro-RO"/>
        </w:rPr>
        <w:t xml:space="preserve"> which we have performed</w:t>
      </w:r>
      <w:r w:rsidR="005D2AB8">
        <w:rPr>
          <w:lang w:val="ro-RO"/>
        </w:rPr>
        <w:t xml:space="preserve"> different runs of</w:t>
      </w:r>
      <w:r>
        <w:rPr>
          <w:lang w:val="ro-RO"/>
        </w:rPr>
        <w:t xml:space="preserve"> the training set aquisition</w:t>
      </w:r>
      <w:r w:rsidR="005D2AB8">
        <w:rPr>
          <w:lang w:val="ro-RO"/>
        </w:rPr>
        <w:t xml:space="preserve"> process</w:t>
      </w:r>
      <w:r>
        <w:rPr>
          <w:lang w:val="ro-RO"/>
        </w:rPr>
        <w:t xml:space="preserve"> whithin the first</w:t>
      </w:r>
      <w:r w:rsidR="00DA53FB">
        <w:rPr>
          <w:lang w:val="ro-RO"/>
        </w:rPr>
        <w:t xml:space="preserve"> 15</w:t>
      </w:r>
      <w:r w:rsidR="003406F6">
        <w:rPr>
          <w:lang w:val="ro-RO"/>
        </w:rPr>
        <w:t xml:space="preserve"> minutes</w:t>
      </w:r>
      <w:r w:rsidR="005D2AB8">
        <w:rPr>
          <w:lang w:val="ro-RO"/>
        </w:rPr>
        <w:t>, varying the region of interest thus aquiring training images of different poses and size</w:t>
      </w:r>
      <w:r w:rsidR="003406F6">
        <w:rPr>
          <w:lang w:val="ro-RO"/>
        </w:rPr>
        <w:t>. Within these 15</w:t>
      </w:r>
      <w:r>
        <w:rPr>
          <w:lang w:val="ro-RO"/>
        </w:rPr>
        <w:t xml:space="preserve"> minutes we managed to store appromatelly </w:t>
      </w:r>
      <w:r w:rsidR="00A823D8">
        <w:rPr>
          <w:lang w:val="ro-RO"/>
        </w:rPr>
        <w:t>10</w:t>
      </w:r>
      <w:r>
        <w:rPr>
          <w:lang w:val="ro-RO"/>
        </w:rPr>
        <w:t>00 positive samples</w:t>
      </w:r>
      <w:r w:rsidR="005D2AB8">
        <w:rPr>
          <w:lang w:val="ro-RO"/>
        </w:rPr>
        <w:t xml:space="preserve"> and 4 times as many negative exmamples</w:t>
      </w:r>
      <w:r>
        <w:rPr>
          <w:lang w:val="ro-RO"/>
        </w:rPr>
        <w:t xml:space="preserve">. </w:t>
      </w:r>
      <w:r w:rsidR="005B57E5">
        <w:rPr>
          <w:lang w:val="ro-RO"/>
        </w:rPr>
        <w:t>For</w:t>
      </w:r>
      <w:r w:rsidR="003932C9" w:rsidRPr="005E56C9">
        <w:rPr>
          <w:lang w:val="ro-RO"/>
        </w:rPr>
        <w:t xml:space="preserve"> our classifier training we have </w:t>
      </w:r>
      <w:r w:rsidR="005D2AB8">
        <w:rPr>
          <w:lang w:val="ro-RO"/>
        </w:rPr>
        <w:t xml:space="preserve">varied the number of positive and negative examples around </w:t>
      </w:r>
      <w:r w:rsidR="005B57E5">
        <w:rPr>
          <w:lang w:val="ro-RO"/>
        </w:rPr>
        <w:t>1000</w:t>
      </w:r>
      <w:r w:rsidR="005D2AB8">
        <w:rPr>
          <w:lang w:val="ro-RO"/>
        </w:rPr>
        <w:t xml:space="preserve"> or less</w:t>
      </w:r>
      <w:r w:rsidR="00787794">
        <w:rPr>
          <w:lang w:val="ro-RO"/>
        </w:rPr>
        <w:t xml:space="preserve"> for</w:t>
      </w:r>
      <w:r w:rsidR="005D2AB8">
        <w:rPr>
          <w:lang w:val="ro-RO"/>
        </w:rPr>
        <w:t xml:space="preserve"> each</w:t>
      </w:r>
      <w:r w:rsidR="00507227">
        <w:rPr>
          <w:lang w:val="ro-RO"/>
        </w:rPr>
        <w:t xml:space="preserve"> different runs</w:t>
      </w:r>
      <w:r w:rsidR="00295E2D">
        <w:rPr>
          <w:lang w:val="ro-RO"/>
        </w:rPr>
        <w:t xml:space="preserve">. </w:t>
      </w:r>
      <w:r w:rsidR="005B57E5">
        <w:rPr>
          <w:lang w:val="ro-RO"/>
        </w:rPr>
        <w:t xml:space="preserve">The next table shows the svm training </w:t>
      </w:r>
      <w:r w:rsidR="00DA53FB">
        <w:rPr>
          <w:lang w:val="ro-RO"/>
        </w:rPr>
        <w:t xml:space="preserve"> properties and </w:t>
      </w:r>
      <w:r w:rsidR="005B57E5">
        <w:rPr>
          <w:lang w:val="ro-RO"/>
        </w:rPr>
        <w:t>results</w:t>
      </w:r>
      <w:r w:rsidR="00507227">
        <w:rPr>
          <w:lang w:val="ro-RO"/>
        </w:rPr>
        <w:t xml:space="preserve"> for the best svm which we obtained and working with</w:t>
      </w:r>
      <w:r w:rsidR="005B57E5">
        <w:rPr>
          <w:lang w:val="ro-RO"/>
        </w:rPr>
        <w:t>:</w:t>
      </w:r>
      <w:r>
        <w:rPr>
          <w:lang w:val="ro-RO"/>
        </w:rPr>
        <w:t xml:space="preserve"> </w:t>
      </w:r>
    </w:p>
    <w:p w:rsidR="00AD7EE9" w:rsidRPr="00A823D8" w:rsidRDefault="00AD7EE9" w:rsidP="00AD7EE9">
      <w:pPr>
        <w:pBdr>
          <w:bar w:val="single" w:sz="4" w:color="auto"/>
        </w:pBdr>
        <w:rPr>
          <w:b/>
          <w:lang w:val="ro-RO"/>
        </w:rPr>
      </w:pPr>
    </w:p>
    <w:tbl>
      <w:tblPr>
        <w:tblStyle w:val="MediumGrid1-Accent1"/>
        <w:tblW w:w="0" w:type="auto"/>
        <w:tblLook w:val="04A0" w:firstRow="1" w:lastRow="0" w:firstColumn="1" w:lastColumn="0" w:noHBand="0" w:noVBand="1"/>
      </w:tblPr>
      <w:tblGrid>
        <w:gridCol w:w="4427"/>
        <w:gridCol w:w="4429"/>
      </w:tblGrid>
      <w:tr w:rsidR="00DA53FB" w:rsidRPr="00A823D8" w:rsidTr="00E16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rsidR="00DA53FB" w:rsidRPr="00782D2F" w:rsidRDefault="00AD7EE9" w:rsidP="00AD7EE9">
            <w:pPr>
              <w:pBdr>
                <w:bar w:val="single" w:sz="4" w:color="auto"/>
              </w:pBdr>
              <w:rPr>
                <w:b w:val="0"/>
                <w:lang w:val="ro-RO"/>
              </w:rPr>
            </w:pPr>
            <w:r w:rsidRPr="00782D2F">
              <w:rPr>
                <w:b w:val="0"/>
                <w:lang w:val="ro-RO"/>
              </w:rPr>
              <w:t>Positive Training Samples</w:t>
            </w:r>
          </w:p>
        </w:tc>
        <w:tc>
          <w:tcPr>
            <w:tcW w:w="4429" w:type="dxa"/>
          </w:tcPr>
          <w:p w:rsidR="00DA53FB" w:rsidRPr="00782D2F" w:rsidRDefault="00A0460B" w:rsidP="00AD7EE9">
            <w:pPr>
              <w:pBdr>
                <w:bar w:val="single" w:sz="4" w:color="auto"/>
              </w:pBdr>
              <w:cnfStyle w:val="100000000000" w:firstRow="1" w:lastRow="0" w:firstColumn="0" w:lastColumn="0" w:oddVBand="0" w:evenVBand="0" w:oddHBand="0" w:evenHBand="0" w:firstRowFirstColumn="0" w:firstRowLastColumn="0" w:lastRowFirstColumn="0" w:lastRowLastColumn="0"/>
              <w:rPr>
                <w:b w:val="0"/>
                <w:lang w:val="ro-RO"/>
              </w:rPr>
            </w:pPr>
            <w:r w:rsidRPr="00782D2F">
              <w:rPr>
                <w:b w:val="0"/>
                <w:lang w:val="ro-RO"/>
              </w:rPr>
              <w:t>999</w:t>
            </w:r>
          </w:p>
        </w:tc>
      </w:tr>
      <w:tr w:rsidR="00AD7EE9" w:rsidRPr="00A823D8" w:rsidTr="00E16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rsidR="00AD7EE9" w:rsidRPr="00782D2F" w:rsidRDefault="00AD7EE9" w:rsidP="00AD7EE9">
            <w:pPr>
              <w:pBdr>
                <w:bar w:val="single" w:sz="4" w:color="auto"/>
              </w:pBdr>
              <w:rPr>
                <w:b w:val="0"/>
                <w:lang w:val="ro-RO"/>
              </w:rPr>
            </w:pPr>
            <w:r w:rsidRPr="00782D2F">
              <w:rPr>
                <w:b w:val="0"/>
                <w:lang w:val="ro-RO"/>
              </w:rPr>
              <w:t>Negative Training Samples</w:t>
            </w:r>
          </w:p>
        </w:tc>
        <w:tc>
          <w:tcPr>
            <w:tcW w:w="4429" w:type="dxa"/>
          </w:tcPr>
          <w:p w:rsidR="00AD7EE9" w:rsidRPr="00782D2F" w:rsidRDefault="00A0460B" w:rsidP="00AD7EE9">
            <w:pPr>
              <w:pBdr>
                <w:bar w:val="single" w:sz="4" w:color="auto"/>
              </w:pBdr>
              <w:cnfStyle w:val="000000100000" w:firstRow="0" w:lastRow="0" w:firstColumn="0" w:lastColumn="0" w:oddVBand="0" w:evenVBand="0" w:oddHBand="1" w:evenHBand="0" w:firstRowFirstColumn="0" w:firstRowLastColumn="0" w:lastRowFirstColumn="0" w:lastRowLastColumn="0"/>
              <w:rPr>
                <w:lang w:val="ro-RO"/>
              </w:rPr>
            </w:pPr>
            <w:r w:rsidRPr="00782D2F">
              <w:rPr>
                <w:lang w:val="ro-RO"/>
              </w:rPr>
              <w:t>999</w:t>
            </w:r>
          </w:p>
        </w:tc>
      </w:tr>
      <w:tr w:rsidR="00DA53FB" w:rsidRPr="00A823D8" w:rsidTr="00E16318">
        <w:tc>
          <w:tcPr>
            <w:cnfStyle w:val="001000000000" w:firstRow="0" w:lastRow="0" w:firstColumn="1" w:lastColumn="0" w:oddVBand="0" w:evenVBand="0" w:oddHBand="0" w:evenHBand="0" w:firstRowFirstColumn="0" w:firstRowLastColumn="0" w:lastRowFirstColumn="0" w:lastRowLastColumn="0"/>
            <w:tcW w:w="4427" w:type="dxa"/>
          </w:tcPr>
          <w:p w:rsidR="00DA53FB" w:rsidRPr="00782D2F" w:rsidRDefault="00AD7EE9" w:rsidP="00AD7EE9">
            <w:pPr>
              <w:pBdr>
                <w:bar w:val="single" w:sz="4" w:color="auto"/>
              </w:pBdr>
              <w:rPr>
                <w:b w:val="0"/>
                <w:lang w:val="ro-RO"/>
              </w:rPr>
            </w:pPr>
            <w:r w:rsidRPr="00782D2F">
              <w:rPr>
                <w:b w:val="0"/>
                <w:lang w:val="ro-RO"/>
              </w:rPr>
              <w:t>Support Vectors</w:t>
            </w:r>
          </w:p>
        </w:tc>
        <w:tc>
          <w:tcPr>
            <w:tcW w:w="4429" w:type="dxa"/>
          </w:tcPr>
          <w:p w:rsidR="00DA53FB" w:rsidRPr="00782D2F" w:rsidRDefault="0084000A" w:rsidP="00AD7EE9">
            <w:pPr>
              <w:pBdr>
                <w:bar w:val="single" w:sz="4" w:color="auto"/>
              </w:pBdr>
              <w:cnfStyle w:val="000000000000" w:firstRow="0" w:lastRow="0" w:firstColumn="0" w:lastColumn="0" w:oddVBand="0" w:evenVBand="0" w:oddHBand="0" w:evenHBand="0" w:firstRowFirstColumn="0" w:firstRowLastColumn="0" w:lastRowFirstColumn="0" w:lastRowLastColumn="0"/>
              <w:rPr>
                <w:lang w:val="ro-RO"/>
              </w:rPr>
            </w:pPr>
            <w:r w:rsidRPr="00782D2F">
              <w:rPr>
                <w:lang w:val="ro-RO"/>
              </w:rPr>
              <w:t>863</w:t>
            </w:r>
          </w:p>
        </w:tc>
      </w:tr>
      <w:tr w:rsidR="00DA53FB" w:rsidRPr="00A823D8" w:rsidTr="00E16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rsidR="00DA53FB" w:rsidRPr="00782D2F" w:rsidRDefault="00AD7EE9" w:rsidP="00AD7EE9">
            <w:pPr>
              <w:pBdr>
                <w:bar w:val="single" w:sz="4" w:color="auto"/>
              </w:pBdr>
              <w:rPr>
                <w:b w:val="0"/>
                <w:lang w:val="ro-RO"/>
              </w:rPr>
            </w:pPr>
            <w:r w:rsidRPr="00782D2F">
              <w:rPr>
                <w:b w:val="0"/>
                <w:lang w:val="ro-RO"/>
              </w:rPr>
              <w:t>Precision</w:t>
            </w:r>
          </w:p>
        </w:tc>
        <w:tc>
          <w:tcPr>
            <w:tcW w:w="4429" w:type="dxa"/>
          </w:tcPr>
          <w:p w:rsidR="00DA53FB" w:rsidRPr="00782D2F" w:rsidRDefault="0084000A" w:rsidP="00AD7EE9">
            <w:pPr>
              <w:pBdr>
                <w:bar w:val="single" w:sz="4" w:color="auto"/>
              </w:pBdr>
              <w:cnfStyle w:val="000000100000" w:firstRow="0" w:lastRow="0" w:firstColumn="0" w:lastColumn="0" w:oddVBand="0" w:evenVBand="0" w:oddHBand="1" w:evenHBand="0" w:firstRowFirstColumn="0" w:firstRowLastColumn="0" w:lastRowFirstColumn="0" w:lastRowLastColumn="0"/>
              <w:rPr>
                <w:lang w:val="ro-RO"/>
              </w:rPr>
            </w:pPr>
            <w:r w:rsidRPr="00782D2F">
              <w:rPr>
                <w:lang w:val="ro-RO"/>
              </w:rPr>
              <w:t>98.51%</w:t>
            </w:r>
          </w:p>
        </w:tc>
      </w:tr>
      <w:tr w:rsidR="00DA53FB" w:rsidRPr="00A823D8" w:rsidTr="00E16318">
        <w:tc>
          <w:tcPr>
            <w:cnfStyle w:val="001000000000" w:firstRow="0" w:lastRow="0" w:firstColumn="1" w:lastColumn="0" w:oddVBand="0" w:evenVBand="0" w:oddHBand="0" w:evenHBand="0" w:firstRowFirstColumn="0" w:firstRowLastColumn="0" w:lastRowFirstColumn="0" w:lastRowLastColumn="0"/>
            <w:tcW w:w="4427" w:type="dxa"/>
          </w:tcPr>
          <w:p w:rsidR="00DA53FB" w:rsidRPr="00782D2F" w:rsidRDefault="00AD7EE9" w:rsidP="00AD7EE9">
            <w:pPr>
              <w:pBdr>
                <w:bar w:val="single" w:sz="4" w:color="auto"/>
              </w:pBdr>
              <w:rPr>
                <w:b w:val="0"/>
                <w:lang w:val="ro-RO"/>
              </w:rPr>
            </w:pPr>
            <w:r w:rsidRPr="00782D2F">
              <w:rPr>
                <w:b w:val="0"/>
                <w:lang w:val="ro-RO"/>
              </w:rPr>
              <w:t>Recal</w:t>
            </w:r>
          </w:p>
        </w:tc>
        <w:tc>
          <w:tcPr>
            <w:tcW w:w="4429" w:type="dxa"/>
          </w:tcPr>
          <w:p w:rsidR="00DA53FB" w:rsidRPr="00782D2F" w:rsidRDefault="0084000A" w:rsidP="0084000A">
            <w:pPr>
              <w:pBdr>
                <w:bar w:val="single" w:sz="4" w:color="auto"/>
              </w:pBdr>
              <w:cnfStyle w:val="000000000000" w:firstRow="0" w:lastRow="0" w:firstColumn="0" w:lastColumn="0" w:oddVBand="0" w:evenVBand="0" w:oddHBand="0" w:evenHBand="0" w:firstRowFirstColumn="0" w:firstRowLastColumn="0" w:lastRowFirstColumn="0" w:lastRowLastColumn="0"/>
              <w:rPr>
                <w:lang w:val="ro-RO"/>
              </w:rPr>
            </w:pPr>
            <w:r w:rsidRPr="00782D2F">
              <w:rPr>
                <w:lang w:val="ro-RO"/>
              </w:rPr>
              <w:t>99.20%</w:t>
            </w:r>
          </w:p>
        </w:tc>
      </w:tr>
      <w:tr w:rsidR="00DA53FB" w:rsidRPr="00A823D8" w:rsidTr="00E16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rsidR="00DA53FB" w:rsidRPr="00782D2F" w:rsidRDefault="00AD7EE9" w:rsidP="00AD7EE9">
            <w:pPr>
              <w:pBdr>
                <w:bar w:val="single" w:sz="4" w:color="auto"/>
              </w:pBdr>
              <w:rPr>
                <w:b w:val="0"/>
                <w:lang w:val="ro-RO"/>
              </w:rPr>
            </w:pPr>
            <w:r w:rsidRPr="00782D2F">
              <w:rPr>
                <w:b w:val="0"/>
                <w:lang w:val="ro-RO"/>
              </w:rPr>
              <w:t>Accuracy</w:t>
            </w:r>
          </w:p>
        </w:tc>
        <w:tc>
          <w:tcPr>
            <w:tcW w:w="4429" w:type="dxa"/>
          </w:tcPr>
          <w:p w:rsidR="00A823D8" w:rsidRPr="00782D2F" w:rsidRDefault="0084000A" w:rsidP="00787794">
            <w:pPr>
              <w:pBdr>
                <w:bar w:val="single" w:sz="4" w:color="auto"/>
              </w:pBdr>
              <w:cnfStyle w:val="000000100000" w:firstRow="0" w:lastRow="0" w:firstColumn="0" w:lastColumn="0" w:oddVBand="0" w:evenVBand="0" w:oddHBand="1" w:evenHBand="0" w:firstRowFirstColumn="0" w:firstRowLastColumn="0" w:lastRowFirstColumn="0" w:lastRowLastColumn="0"/>
              <w:rPr>
                <w:lang w:val="ro-RO"/>
              </w:rPr>
            </w:pPr>
            <w:r w:rsidRPr="00782D2F">
              <w:rPr>
                <w:lang w:val="ro-RO"/>
              </w:rPr>
              <w:t>98.85% (1975 cor</w:t>
            </w:r>
            <w:r w:rsidR="00507227" w:rsidRPr="00782D2F">
              <w:rPr>
                <w:lang w:val="ro-RO"/>
              </w:rPr>
              <w:t>rect, 23 incorrect</w:t>
            </w:r>
            <w:r w:rsidR="00D41B23">
              <w:rPr>
                <w:lang w:val="ro-RO"/>
              </w:rPr>
              <w:t>, 1998 total</w:t>
            </w:r>
            <w:r w:rsidR="00507227" w:rsidRPr="00782D2F">
              <w:rPr>
                <w:lang w:val="ro-RO"/>
              </w:rPr>
              <w:t>)</w:t>
            </w:r>
          </w:p>
        </w:tc>
      </w:tr>
    </w:tbl>
    <w:p w:rsidR="00D41B23" w:rsidRDefault="00D41B23" w:rsidP="007073AA">
      <w:pPr>
        <w:pBdr>
          <w:bar w:val="single" w:sz="4" w:color="auto"/>
        </w:pBdr>
        <w:jc w:val="center"/>
        <w:rPr>
          <w:lang w:val="ro-RO"/>
        </w:rPr>
      </w:pPr>
    </w:p>
    <w:p w:rsidR="00912BE2" w:rsidRDefault="007073AA" w:rsidP="007073AA">
      <w:pPr>
        <w:pBdr>
          <w:bar w:val="single" w:sz="4" w:color="auto"/>
        </w:pBdr>
        <w:jc w:val="center"/>
        <w:rPr>
          <w:lang w:val="ro-RO"/>
        </w:rPr>
      </w:pPr>
      <w:r>
        <w:rPr>
          <w:lang w:val="ro-RO"/>
        </w:rPr>
        <w:lastRenderedPageBreak/>
        <w:t xml:space="preserve"> </w:t>
      </w:r>
      <w:r w:rsidR="00912BE2">
        <w:rPr>
          <w:lang w:val="ro-RO"/>
        </w:rPr>
        <w:t>Figure 6... , SVM training results</w:t>
      </w:r>
    </w:p>
    <w:p w:rsidR="00912BE2" w:rsidRDefault="00912BE2" w:rsidP="00E16318">
      <w:pPr>
        <w:pBdr>
          <w:bar w:val="single" w:sz="4" w:color="auto"/>
        </w:pBdr>
        <w:jc w:val="center"/>
        <w:rPr>
          <w:lang w:val="ro-RO"/>
        </w:rPr>
      </w:pPr>
    </w:p>
    <w:p w:rsidR="00912BE2" w:rsidRDefault="00912BE2" w:rsidP="00FD53C9">
      <w:pPr>
        <w:pBdr>
          <w:bar w:val="single" w:sz="4" w:color="auto"/>
        </w:pBdr>
        <w:rPr>
          <w:lang w:val="ro-RO"/>
        </w:rPr>
      </w:pPr>
    </w:p>
    <w:p w:rsidR="005D2AB8" w:rsidRDefault="00FD53C9" w:rsidP="006C4CB5">
      <w:pPr>
        <w:pBdr>
          <w:bar w:val="single" w:sz="4" w:color="auto"/>
        </w:pBdr>
        <w:ind w:firstLine="720"/>
        <w:jc w:val="both"/>
        <w:rPr>
          <w:lang w:val="ro-RO"/>
        </w:rPr>
      </w:pPr>
      <w:r>
        <w:rPr>
          <w:lang w:val="ro-RO"/>
        </w:rPr>
        <w:t xml:space="preserve">Next we tested the classifier on two test sets, which were composed by images </w:t>
      </w:r>
      <w:r w:rsidR="00B3223F">
        <w:rPr>
          <w:lang w:val="ro-RO"/>
        </w:rPr>
        <w:t xml:space="preserve">that </w:t>
      </w:r>
      <w:r>
        <w:rPr>
          <w:lang w:val="ro-RO"/>
        </w:rPr>
        <w:t>were not part of the SVM training process</w:t>
      </w:r>
      <w:r w:rsidR="00B3223F">
        <w:rPr>
          <w:lang w:val="ro-RO"/>
        </w:rPr>
        <w:t xml:space="preserve"> and which were extracted within a different data set extraction process so that the test set </w:t>
      </w:r>
      <w:r w:rsidR="00AC3395">
        <w:rPr>
          <w:lang w:val="ro-RO"/>
        </w:rPr>
        <w:t>could exibit different poses and size then the training set</w:t>
      </w:r>
      <w:r>
        <w:rPr>
          <w:lang w:val="ro-RO"/>
        </w:rPr>
        <w:t>. Th</w:t>
      </w:r>
      <w:r w:rsidR="007C0C3F">
        <w:rPr>
          <w:lang w:val="ro-RO"/>
        </w:rPr>
        <w:t xml:space="preserve">us we had to spare around </w:t>
      </w:r>
      <w:r w:rsidR="00AC3395">
        <w:rPr>
          <w:lang w:val="ro-RO"/>
        </w:rPr>
        <w:t>400</w:t>
      </w:r>
      <w:r>
        <w:rPr>
          <w:lang w:val="ro-RO"/>
        </w:rPr>
        <w:t xml:space="preserve"> positive samples</w:t>
      </w:r>
      <w:r w:rsidR="007C0C3F">
        <w:rPr>
          <w:lang w:val="ro-RO"/>
        </w:rPr>
        <w:t xml:space="preserve"> and have choosen to test 1000 of our available negative samples. </w:t>
      </w:r>
      <w:r w:rsidR="000055F4">
        <w:rPr>
          <w:lang w:val="ro-RO"/>
        </w:rPr>
        <w:t>The accuracy on the positive test set was 94.74% - 378 samples were correctly classified while only 21 were incorreclty classified</w:t>
      </w:r>
      <w:r w:rsidR="00AC3395">
        <w:rPr>
          <w:lang w:val="ro-RO"/>
        </w:rPr>
        <w:t xml:space="preserve"> from a total of 399 positive test samples, thus the precision/recal on this test set was 100% / 94.74%</w:t>
      </w:r>
      <w:r w:rsidR="000055F4">
        <w:rPr>
          <w:lang w:val="ro-RO"/>
        </w:rPr>
        <w:t xml:space="preserve">. </w:t>
      </w:r>
      <w:r w:rsidR="00AC3395">
        <w:rPr>
          <w:lang w:val="ro-RO"/>
        </w:rPr>
        <w:t>Also, out of the 1000 negative test samples 973 were correccly classifier while 27 were missclassified resunting in 97.30% accuracy and the precision/recal was 100% / 97.30%.</w:t>
      </w:r>
      <w:r w:rsidR="00C069DB">
        <w:rPr>
          <w:lang w:val="ro-RO"/>
        </w:rPr>
        <w:t xml:space="preserve"> We were expecting that the result to be this good because our observed scene is simple</w:t>
      </w:r>
      <w:r w:rsidR="006C4CB5">
        <w:rPr>
          <w:lang w:val="ro-RO"/>
        </w:rPr>
        <w:t xml:space="preserve"> and observed from a high viewing poitn</w:t>
      </w:r>
      <w:r w:rsidR="00C069DB">
        <w:rPr>
          <w:lang w:val="ro-RO"/>
        </w:rPr>
        <w:t xml:space="preserve"> </w:t>
      </w:r>
      <w:r w:rsidR="006C4CB5">
        <w:rPr>
          <w:lang w:val="ro-RO"/>
        </w:rPr>
        <w:t xml:space="preserve">and although we tested the classifier on samples extractacted from another region of interest, these samples were not expositing that much variantion in size and pose to other extractions. </w:t>
      </w:r>
    </w:p>
    <w:p w:rsidR="00E903B2" w:rsidRDefault="00AC3395" w:rsidP="006C4CB5">
      <w:pPr>
        <w:pBdr>
          <w:bar w:val="single" w:sz="4" w:color="auto"/>
        </w:pBdr>
        <w:rPr>
          <w:lang w:val="ro-RO"/>
        </w:rPr>
      </w:pPr>
      <w:r>
        <w:rPr>
          <w:lang w:val="ro-RO"/>
        </w:rPr>
        <w:tab/>
      </w:r>
    </w:p>
    <w:p w:rsidR="00E903B2" w:rsidRDefault="00F85F43" w:rsidP="006C4CB5">
      <w:pPr>
        <w:pStyle w:val="Heading3"/>
        <w:rPr>
          <w:lang w:val="ro-RO"/>
        </w:rPr>
      </w:pPr>
      <w:r>
        <w:rPr>
          <w:lang w:val="ro-RO"/>
        </w:rPr>
        <w:t>Tracker Accuracy</w:t>
      </w:r>
      <w:r w:rsidR="00FC6AAF">
        <w:rPr>
          <w:lang w:val="ro-RO"/>
        </w:rPr>
        <w:t xml:space="preserve"> with LBP</w:t>
      </w:r>
    </w:p>
    <w:p w:rsidR="00694FEA" w:rsidRDefault="00694FEA" w:rsidP="00C32749">
      <w:pPr>
        <w:rPr>
          <w:lang w:val="ro-RO"/>
        </w:rPr>
      </w:pPr>
    </w:p>
    <w:p w:rsidR="00E903B2" w:rsidRDefault="00A823D8" w:rsidP="007B6B4B">
      <w:pPr>
        <w:ind w:firstLine="720"/>
        <w:rPr>
          <w:lang w:val="ro-RO"/>
        </w:rPr>
      </w:pPr>
      <w:r>
        <w:rPr>
          <w:lang w:val="ro-RO"/>
        </w:rPr>
        <w:t xml:space="preserve">In such an application is hard to evaluate the tracker in an automatic way as we do not have the ground truth to compare results with for our video. Thus the only method that remains in evaluating the tracker is by human obsersevation by evaluating in the save time the ground truth and the output that the tracker is giving. </w:t>
      </w:r>
      <w:r w:rsidR="00D2216E">
        <w:rPr>
          <w:lang w:val="ro-RO"/>
        </w:rPr>
        <w:t>In t</w:t>
      </w:r>
      <w:r>
        <w:rPr>
          <w:lang w:val="ro-RO"/>
        </w:rPr>
        <w:t xml:space="preserve">he next figure we are showing an approximate comparison of the ground </w:t>
      </w:r>
      <w:r w:rsidR="004477B3">
        <w:rPr>
          <w:lang w:val="ro-RO"/>
        </w:rPr>
        <w:t>with the tracker results at different time steps in the video.</w:t>
      </w:r>
      <w:r w:rsidR="00971750">
        <w:rPr>
          <w:lang w:val="ro-RO"/>
        </w:rPr>
        <w:t xml:space="preserve"> On the horizontal axis is the time flow, and the vertical axis we record the number of vehicles that have passed though the frames </w:t>
      </w:r>
      <w:r w:rsidR="00167FCA">
        <w:rPr>
          <w:lang w:val="ro-RO"/>
        </w:rPr>
        <w:t>as the ground truth and</w:t>
      </w:r>
      <w:r w:rsidR="00D2216E">
        <w:rPr>
          <w:lang w:val="ro-RO"/>
        </w:rPr>
        <w:t xml:space="preserve"> also</w:t>
      </w:r>
      <w:r w:rsidR="00167FCA">
        <w:rPr>
          <w:lang w:val="ro-RO"/>
        </w:rPr>
        <w:t xml:space="preserve"> the tracker estimation</w:t>
      </w:r>
      <w:r w:rsidR="00D2216E">
        <w:rPr>
          <w:lang w:val="ro-RO"/>
        </w:rPr>
        <w:t xml:space="preserve"> for comparison</w:t>
      </w:r>
      <w:r w:rsidR="00167FCA">
        <w:rPr>
          <w:lang w:val="ro-RO"/>
        </w:rPr>
        <w:t>. We hope to estiblish if the tracker underestimates or overestimates the true number of passing vehicles.</w:t>
      </w:r>
    </w:p>
    <w:p w:rsidR="00A823D8" w:rsidRDefault="00D2216E" w:rsidP="004550CD">
      <w:pPr>
        <w:ind w:firstLine="720"/>
        <w:rPr>
          <w:lang w:val="ro-RO"/>
        </w:rPr>
      </w:pPr>
      <w:r>
        <w:rPr>
          <w:lang w:val="ro-RO"/>
        </w:rPr>
        <w:t>From the below</w:t>
      </w:r>
      <w:r w:rsidR="00D80D8A">
        <w:rPr>
          <w:lang w:val="ro-RO"/>
        </w:rPr>
        <w:t xml:space="preserve"> curves</w:t>
      </w:r>
      <w:r w:rsidR="00B713CC">
        <w:rPr>
          <w:lang w:val="ro-RO"/>
        </w:rPr>
        <w:t>, figure ... ,</w:t>
      </w:r>
      <w:r w:rsidR="00D80D8A">
        <w:rPr>
          <w:lang w:val="ro-RO"/>
        </w:rPr>
        <w:t xml:space="preserve"> we notice that the tracker does not overscore the track</w:t>
      </w:r>
      <w:r>
        <w:rPr>
          <w:lang w:val="ro-RO"/>
        </w:rPr>
        <w:t>s</w:t>
      </w:r>
      <w:r w:rsidR="00D80D8A">
        <w:rPr>
          <w:lang w:val="ro-RO"/>
        </w:rPr>
        <w:t>, and its</w:t>
      </w:r>
      <w:r>
        <w:rPr>
          <w:lang w:val="ro-RO"/>
        </w:rPr>
        <w:t xml:space="preserve"> was to be expected</w:t>
      </w:r>
      <w:r w:rsidR="00D80D8A">
        <w:rPr>
          <w:lang w:val="ro-RO"/>
        </w:rPr>
        <w:t xml:space="preserve"> vehicles exibiting unusual positions and collision will not have enough detections in order for it to be properly scored. As it happens low detected vechicles will initiate a tracks but under lack of detections it will be negativelly scored and removed.</w:t>
      </w:r>
    </w:p>
    <w:p w:rsidR="004550CD" w:rsidRDefault="004550CD" w:rsidP="004550CD">
      <w:pPr>
        <w:ind w:firstLine="720"/>
        <w:rPr>
          <w:lang w:val="ro-RO"/>
        </w:rPr>
      </w:pPr>
    </w:p>
    <w:p w:rsidR="004550CD" w:rsidRDefault="004550CD" w:rsidP="004550CD">
      <w:pPr>
        <w:pStyle w:val="Heading3"/>
        <w:rPr>
          <w:lang w:val="ro-RO"/>
        </w:rPr>
      </w:pPr>
      <w:r>
        <w:rPr>
          <w:lang w:val="ro-RO"/>
        </w:rPr>
        <w:t>Tracker Accuracy</w:t>
      </w:r>
      <w:r>
        <w:rPr>
          <w:lang w:val="ro-RO"/>
        </w:rPr>
        <w:t xml:space="preserve"> with NCC</w:t>
      </w:r>
    </w:p>
    <w:p w:rsidR="0078624A" w:rsidRDefault="0078624A" w:rsidP="00C32749">
      <w:pPr>
        <w:rPr>
          <w:lang w:val="ro-RO"/>
        </w:rPr>
      </w:pPr>
    </w:p>
    <w:p w:rsidR="0078624A" w:rsidRDefault="00B713CC" w:rsidP="00714EC6">
      <w:pPr>
        <w:ind w:firstLine="720"/>
        <w:jc w:val="both"/>
        <w:rPr>
          <w:lang w:val="ro-RO"/>
        </w:rPr>
      </w:pPr>
      <w:r>
        <w:rPr>
          <w:lang w:val="ro-RO"/>
        </w:rPr>
        <w:t>The NCC Tracker su</w:t>
      </w:r>
      <w:r w:rsidR="00787794">
        <w:rPr>
          <w:lang w:val="ro-RO"/>
        </w:rPr>
        <w:t xml:space="preserve">ffers the same </w:t>
      </w:r>
      <w:r w:rsidR="00714EC6">
        <w:rPr>
          <w:lang w:val="ro-RO"/>
        </w:rPr>
        <w:t>problems</w:t>
      </w:r>
      <w:r w:rsidR="00787794">
        <w:rPr>
          <w:lang w:val="ro-RO"/>
        </w:rPr>
        <w:t xml:space="preserve"> as the LBP tracker.</w:t>
      </w:r>
      <w:r w:rsidR="00714EC6">
        <w:rPr>
          <w:lang w:val="ro-RO"/>
        </w:rPr>
        <w:t xml:space="preserve"> The NC</w:t>
      </w:r>
      <w:r w:rsidR="00787794">
        <w:rPr>
          <w:lang w:val="ro-RO"/>
        </w:rPr>
        <w:t>C method of deciding if a detection can be merged with a track is too restrictive.</w:t>
      </w:r>
      <w:r w:rsidR="00714EC6" w:rsidRPr="00714EC6">
        <w:rPr>
          <w:lang w:val="ro-RO"/>
        </w:rPr>
        <w:t xml:space="preserve"> </w:t>
      </w:r>
      <w:r w:rsidR="00714EC6">
        <w:rPr>
          <w:lang w:val="ro-RO"/>
        </w:rPr>
        <w:t xml:space="preserve">The NCC matching method is directly related to the robustness of the Detector. </w:t>
      </w:r>
      <w:r w:rsidR="00787794">
        <w:rPr>
          <w:lang w:val="ro-RO"/>
        </w:rPr>
        <w:t>Normaly the Detector will not provide detections in which vehicles are perfectly centered in the detection bounding rectangle, but will vary around the true position of the vehicle.</w:t>
      </w:r>
      <w:r w:rsidR="005B5E0B">
        <w:rPr>
          <w:lang w:val="ro-RO"/>
        </w:rPr>
        <w:t xml:space="preserve"> As it should have been  expected, while NCC produces good results, it </w:t>
      </w:r>
      <w:r w:rsidR="00787794">
        <w:rPr>
          <w:lang w:val="ro-RO"/>
        </w:rPr>
        <w:t>is no</w:t>
      </w:r>
      <w:r w:rsidR="005B5E0B">
        <w:rPr>
          <w:lang w:val="ro-RO"/>
        </w:rPr>
        <w:t>t robust to pose variantion and variations i</w:t>
      </w:r>
      <w:r w:rsidR="00714EC6">
        <w:rPr>
          <w:lang w:val="ro-RO"/>
        </w:rPr>
        <w:t>n detections relative locality to the actual vehicle.</w:t>
      </w:r>
    </w:p>
    <w:p w:rsidR="00F61ADD" w:rsidRDefault="0078624A" w:rsidP="00D2216E">
      <w:pPr>
        <w:jc w:val="center"/>
        <w:rPr>
          <w:lang w:val="ro-RO"/>
        </w:rPr>
      </w:pPr>
      <w:r>
        <w:rPr>
          <w:noProof/>
          <w:lang w:eastAsia="en-US"/>
        </w:rPr>
        <w:lastRenderedPageBreak/>
        <w:drawing>
          <wp:inline distT="0" distB="0" distL="0" distR="0" wp14:anchorId="490A38AD" wp14:editId="282D27D4">
            <wp:extent cx="5510150" cy="3384468"/>
            <wp:effectExtent l="0" t="0" r="14605" b="260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0D8A" w:rsidRDefault="00D2216E" w:rsidP="00D80D8A">
      <w:pPr>
        <w:jc w:val="center"/>
        <w:rPr>
          <w:lang w:val="ro-RO"/>
        </w:rPr>
      </w:pPr>
      <w:r>
        <w:rPr>
          <w:lang w:val="ro-RO"/>
        </w:rPr>
        <w:t>Figure 6... Ground truth – LPB Tracker comparison</w:t>
      </w:r>
    </w:p>
    <w:p w:rsidR="000C614C" w:rsidRDefault="000C614C" w:rsidP="00D80D8A">
      <w:pPr>
        <w:jc w:val="center"/>
        <w:rPr>
          <w:lang w:val="ro-RO"/>
        </w:rPr>
      </w:pPr>
    </w:p>
    <w:p w:rsidR="00CA482E" w:rsidRDefault="00CA482E" w:rsidP="00C32749">
      <w:pPr>
        <w:rPr>
          <w:lang w:val="ro-RO"/>
        </w:rPr>
      </w:pPr>
    </w:p>
    <w:p w:rsidR="000C614C" w:rsidRDefault="00D2216E" w:rsidP="00F61ADD">
      <w:pPr>
        <w:jc w:val="center"/>
        <w:rPr>
          <w:lang w:val="ro-RO"/>
        </w:rPr>
      </w:pPr>
      <w:r>
        <w:rPr>
          <w:noProof/>
          <w:lang w:eastAsia="en-US"/>
        </w:rPr>
        <w:drawing>
          <wp:inline distT="0" distB="0" distL="0" distR="0" wp14:anchorId="24682057" wp14:editId="49AD78CE">
            <wp:extent cx="5486400" cy="3811905"/>
            <wp:effectExtent l="0" t="0" r="19050"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64B3" w:rsidRPr="00E764B3" w:rsidRDefault="00D2216E" w:rsidP="00E764B3">
      <w:pPr>
        <w:rPr>
          <w:lang w:val="ro-RO"/>
        </w:rPr>
      </w:pPr>
      <w:r>
        <w:rPr>
          <w:lang w:val="ro-RO"/>
        </w:rPr>
        <w:tab/>
      </w:r>
      <w:r>
        <w:rPr>
          <w:lang w:val="ro-RO"/>
        </w:rPr>
        <w:tab/>
        <w:t>Figure 6..., Ground Truth – NCC Tracker comparison</w:t>
      </w:r>
    </w:p>
    <w:p w:rsidR="00E764B3" w:rsidRDefault="00E764B3" w:rsidP="00E764B3"/>
    <w:p w:rsidR="00B713CC" w:rsidRDefault="00B713CC" w:rsidP="00C91C55">
      <w:pPr>
        <w:jc w:val="both"/>
      </w:pPr>
      <w:r>
        <w:lastRenderedPageBreak/>
        <w:tab/>
        <w:t xml:space="preserve">In the next table we summarize the performance of the two tracking methods. The GT row stands for the ground truth vehicle count recorded at different time instances. The LBP row contains the number of vehicles that the LBP Tracker has recorded until that time instance. Similarly the NCC row contains at each column position the number of vehicles that it has scored as positive. We can observe that local bit patterns perform a better job than the normalized cross correlation, </w:t>
      </w:r>
      <w:r w:rsidR="00C91C55">
        <w:t>due to its tolerance to local region similarity.</w:t>
      </w:r>
    </w:p>
    <w:p w:rsidR="00B713CC" w:rsidRDefault="00B713CC" w:rsidP="00E764B3"/>
    <w:p w:rsidR="00B713CC" w:rsidRDefault="00B713CC" w:rsidP="00E764B3"/>
    <w:tbl>
      <w:tblPr>
        <w:tblStyle w:val="MediumGrid1-Accent1"/>
        <w:tblW w:w="0" w:type="auto"/>
        <w:tblLayout w:type="fixed"/>
        <w:tblLook w:val="04A0" w:firstRow="1" w:lastRow="0" w:firstColumn="1" w:lastColumn="0" w:noHBand="0" w:noVBand="1"/>
      </w:tblPr>
      <w:tblGrid>
        <w:gridCol w:w="918"/>
        <w:gridCol w:w="900"/>
        <w:gridCol w:w="810"/>
        <w:gridCol w:w="900"/>
        <w:gridCol w:w="810"/>
        <w:gridCol w:w="738"/>
        <w:gridCol w:w="945"/>
        <w:gridCol w:w="945"/>
        <w:gridCol w:w="882"/>
        <w:gridCol w:w="1008"/>
      </w:tblGrid>
      <w:tr w:rsidR="00E764B3" w:rsidTr="00266DF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18" w:type="dxa"/>
          </w:tcPr>
          <w:p w:rsidR="00B713CC" w:rsidRDefault="00E764B3" w:rsidP="00266DF1">
            <w:r>
              <w:t>GT</w:t>
            </w:r>
          </w:p>
        </w:tc>
        <w:tc>
          <w:tcPr>
            <w:tcW w:w="900"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15</w:t>
            </w:r>
          </w:p>
        </w:tc>
        <w:tc>
          <w:tcPr>
            <w:tcW w:w="810"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21</w:t>
            </w:r>
          </w:p>
        </w:tc>
        <w:tc>
          <w:tcPr>
            <w:tcW w:w="900"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45</w:t>
            </w:r>
          </w:p>
        </w:tc>
        <w:tc>
          <w:tcPr>
            <w:tcW w:w="810"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63</w:t>
            </w:r>
          </w:p>
        </w:tc>
        <w:tc>
          <w:tcPr>
            <w:tcW w:w="738"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100</w:t>
            </w:r>
          </w:p>
        </w:tc>
        <w:tc>
          <w:tcPr>
            <w:tcW w:w="945"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178</w:t>
            </w:r>
          </w:p>
        </w:tc>
        <w:tc>
          <w:tcPr>
            <w:tcW w:w="945"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250</w:t>
            </w:r>
          </w:p>
        </w:tc>
        <w:tc>
          <w:tcPr>
            <w:tcW w:w="882"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300</w:t>
            </w:r>
          </w:p>
        </w:tc>
        <w:tc>
          <w:tcPr>
            <w:tcW w:w="1008" w:type="dxa"/>
          </w:tcPr>
          <w:p w:rsidR="00E764B3" w:rsidRDefault="00E764B3" w:rsidP="00266DF1">
            <w:pPr>
              <w:cnfStyle w:val="100000000000" w:firstRow="1" w:lastRow="0" w:firstColumn="0" w:lastColumn="0" w:oddVBand="0" w:evenVBand="0" w:oddHBand="0" w:evenHBand="0" w:firstRowFirstColumn="0" w:firstRowLastColumn="0" w:lastRowFirstColumn="0" w:lastRowLastColumn="0"/>
            </w:pPr>
            <w:r>
              <w:t>348</w:t>
            </w:r>
          </w:p>
        </w:tc>
      </w:tr>
      <w:tr w:rsidR="00E764B3" w:rsidTr="00266DF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18" w:type="dxa"/>
          </w:tcPr>
          <w:p w:rsidR="00E764B3" w:rsidRDefault="00E764B3" w:rsidP="00266DF1">
            <w:r>
              <w:t>LBP</w:t>
            </w:r>
            <w:r w:rsidR="00B713CC">
              <w:t xml:space="preserve"> </w:t>
            </w:r>
          </w:p>
        </w:tc>
        <w:tc>
          <w:tcPr>
            <w:tcW w:w="90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13</w:t>
            </w:r>
          </w:p>
        </w:tc>
        <w:tc>
          <w:tcPr>
            <w:tcW w:w="81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19</w:t>
            </w:r>
          </w:p>
        </w:tc>
        <w:tc>
          <w:tcPr>
            <w:tcW w:w="90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42</w:t>
            </w:r>
          </w:p>
        </w:tc>
        <w:tc>
          <w:tcPr>
            <w:tcW w:w="81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58</w:t>
            </w:r>
          </w:p>
        </w:tc>
        <w:tc>
          <w:tcPr>
            <w:tcW w:w="738"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94</w:t>
            </w:r>
          </w:p>
        </w:tc>
        <w:tc>
          <w:tcPr>
            <w:tcW w:w="945"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167</w:t>
            </w:r>
          </w:p>
        </w:tc>
        <w:tc>
          <w:tcPr>
            <w:tcW w:w="945"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238</w:t>
            </w:r>
          </w:p>
        </w:tc>
        <w:tc>
          <w:tcPr>
            <w:tcW w:w="882"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284</w:t>
            </w:r>
          </w:p>
        </w:tc>
        <w:tc>
          <w:tcPr>
            <w:tcW w:w="1008"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326</w:t>
            </w:r>
          </w:p>
        </w:tc>
      </w:tr>
      <w:tr w:rsidR="00E764B3" w:rsidTr="00266DF1">
        <w:trPr>
          <w:trHeight w:val="358"/>
        </w:trPr>
        <w:tc>
          <w:tcPr>
            <w:cnfStyle w:val="001000000000" w:firstRow="0" w:lastRow="0" w:firstColumn="1" w:lastColumn="0" w:oddVBand="0" w:evenVBand="0" w:oddHBand="0" w:evenHBand="0" w:firstRowFirstColumn="0" w:firstRowLastColumn="0" w:lastRowFirstColumn="0" w:lastRowLastColumn="0"/>
            <w:tcW w:w="918" w:type="dxa"/>
          </w:tcPr>
          <w:p w:rsidR="00E764B3" w:rsidRDefault="00E764B3" w:rsidP="00266DF1">
            <w:r>
              <w:t>NCC</w:t>
            </w:r>
          </w:p>
        </w:tc>
        <w:tc>
          <w:tcPr>
            <w:tcW w:w="90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13</w:t>
            </w:r>
          </w:p>
        </w:tc>
        <w:tc>
          <w:tcPr>
            <w:tcW w:w="81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20</w:t>
            </w:r>
          </w:p>
        </w:tc>
        <w:tc>
          <w:tcPr>
            <w:tcW w:w="90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41</w:t>
            </w:r>
          </w:p>
        </w:tc>
        <w:tc>
          <w:tcPr>
            <w:tcW w:w="81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55</w:t>
            </w:r>
          </w:p>
        </w:tc>
        <w:tc>
          <w:tcPr>
            <w:tcW w:w="738"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90</w:t>
            </w:r>
          </w:p>
        </w:tc>
        <w:tc>
          <w:tcPr>
            <w:tcW w:w="945"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157</w:t>
            </w:r>
          </w:p>
        </w:tc>
        <w:tc>
          <w:tcPr>
            <w:tcW w:w="945"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221</w:t>
            </w:r>
          </w:p>
        </w:tc>
        <w:tc>
          <w:tcPr>
            <w:tcW w:w="882"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265</w:t>
            </w:r>
          </w:p>
        </w:tc>
        <w:tc>
          <w:tcPr>
            <w:tcW w:w="1008"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307</w:t>
            </w:r>
          </w:p>
        </w:tc>
      </w:tr>
      <w:tr w:rsidR="00E764B3" w:rsidTr="0026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764B3" w:rsidRDefault="00E764B3" w:rsidP="00266DF1">
            <w:r>
              <w:t>Error</w:t>
            </w:r>
          </w:p>
          <w:p w:rsidR="00E764B3" w:rsidRDefault="00E764B3" w:rsidP="00266DF1">
            <w:r>
              <w:t>LBP</w:t>
            </w:r>
          </w:p>
        </w:tc>
        <w:tc>
          <w:tcPr>
            <w:tcW w:w="90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1</w:t>
            </w:r>
            <w:r>
              <w:t>.</w:t>
            </w:r>
            <w:r>
              <w:t>3</w:t>
            </w:r>
            <w:r>
              <w:t>%</w:t>
            </w:r>
          </w:p>
        </w:tc>
        <w:tc>
          <w:tcPr>
            <w:tcW w:w="81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9</w:t>
            </w:r>
            <w:r>
              <w:t>%</w:t>
            </w:r>
          </w:p>
        </w:tc>
        <w:tc>
          <w:tcPr>
            <w:tcW w:w="90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6</w:t>
            </w:r>
            <w:r>
              <w:t>%</w:t>
            </w:r>
          </w:p>
        </w:tc>
        <w:tc>
          <w:tcPr>
            <w:tcW w:w="810"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7</w:t>
            </w:r>
            <w:r>
              <w:t>%</w:t>
            </w:r>
          </w:p>
        </w:tc>
        <w:tc>
          <w:tcPr>
            <w:tcW w:w="738"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6</w:t>
            </w:r>
            <w:r>
              <w:t>%</w:t>
            </w:r>
          </w:p>
        </w:tc>
        <w:tc>
          <w:tcPr>
            <w:tcW w:w="945"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6</w:t>
            </w:r>
            <w:r>
              <w:t>.</w:t>
            </w:r>
            <w:r>
              <w:t>1</w:t>
            </w:r>
            <w:r>
              <w:t>%</w:t>
            </w:r>
          </w:p>
        </w:tc>
        <w:tc>
          <w:tcPr>
            <w:tcW w:w="945"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5</w:t>
            </w:r>
            <w:r>
              <w:t>.</w:t>
            </w:r>
            <w:r>
              <w:t>3</w:t>
            </w:r>
            <w:r>
              <w:t>%</w:t>
            </w:r>
          </w:p>
        </w:tc>
        <w:tc>
          <w:tcPr>
            <w:tcW w:w="882"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5</w:t>
            </w:r>
            <w:r>
              <w:t>.</w:t>
            </w:r>
            <w:r>
              <w:t>3</w:t>
            </w:r>
            <w:r>
              <w:t>%</w:t>
            </w:r>
          </w:p>
        </w:tc>
        <w:tc>
          <w:tcPr>
            <w:tcW w:w="1008" w:type="dxa"/>
          </w:tcPr>
          <w:p w:rsidR="00E764B3" w:rsidRDefault="00E764B3" w:rsidP="00266DF1">
            <w:pPr>
              <w:cnfStyle w:val="000000100000" w:firstRow="0" w:lastRow="0" w:firstColumn="0" w:lastColumn="0" w:oddVBand="0" w:evenVBand="0" w:oddHBand="1" w:evenHBand="0" w:firstRowFirstColumn="0" w:firstRowLastColumn="0" w:lastRowFirstColumn="0" w:lastRowLastColumn="0"/>
            </w:pPr>
            <w:r>
              <w:t>6</w:t>
            </w:r>
            <w:r>
              <w:t>.</w:t>
            </w:r>
            <w:r>
              <w:t>3</w:t>
            </w:r>
            <w:r>
              <w:t>%</w:t>
            </w:r>
          </w:p>
        </w:tc>
      </w:tr>
      <w:tr w:rsidR="00E764B3" w:rsidTr="00787794">
        <w:trPr>
          <w:trHeight w:val="538"/>
        </w:trPr>
        <w:tc>
          <w:tcPr>
            <w:cnfStyle w:val="001000000000" w:firstRow="0" w:lastRow="0" w:firstColumn="1" w:lastColumn="0" w:oddVBand="0" w:evenVBand="0" w:oddHBand="0" w:evenHBand="0" w:firstRowFirstColumn="0" w:firstRowLastColumn="0" w:lastRowFirstColumn="0" w:lastRowLastColumn="0"/>
            <w:tcW w:w="918" w:type="dxa"/>
          </w:tcPr>
          <w:p w:rsidR="00E764B3" w:rsidRDefault="00E764B3" w:rsidP="00266DF1">
            <w:r>
              <w:t>Error</w:t>
            </w:r>
          </w:p>
          <w:p w:rsidR="00E764B3" w:rsidRDefault="00B713CC" w:rsidP="00266DF1">
            <w:r>
              <w:t>NCC</w:t>
            </w:r>
          </w:p>
        </w:tc>
        <w:tc>
          <w:tcPr>
            <w:tcW w:w="90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w:t>
            </w:r>
            <w:r>
              <w:t>.3%</w:t>
            </w:r>
          </w:p>
        </w:tc>
        <w:tc>
          <w:tcPr>
            <w:tcW w:w="81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4</w:t>
            </w:r>
            <w:r>
              <w:t>%</w:t>
            </w:r>
          </w:p>
        </w:tc>
        <w:tc>
          <w:tcPr>
            <w:tcW w:w="90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8%</w:t>
            </w:r>
          </w:p>
        </w:tc>
        <w:tc>
          <w:tcPr>
            <w:tcW w:w="810"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12</w:t>
            </w:r>
            <w:r>
              <w:t>%</w:t>
            </w:r>
          </w:p>
        </w:tc>
        <w:tc>
          <w:tcPr>
            <w:tcW w:w="738"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10%</w:t>
            </w:r>
          </w:p>
        </w:tc>
        <w:tc>
          <w:tcPr>
            <w:tcW w:w="945"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11</w:t>
            </w:r>
            <w:r>
              <w:t>%</w:t>
            </w:r>
          </w:p>
          <w:p w:rsidR="00E764B3" w:rsidRDefault="00E764B3" w:rsidP="00266DF1">
            <w:pPr>
              <w:cnfStyle w:val="000000000000" w:firstRow="0" w:lastRow="0" w:firstColumn="0" w:lastColumn="0" w:oddVBand="0" w:evenVBand="0" w:oddHBand="0" w:evenHBand="0" w:firstRowFirstColumn="0" w:firstRowLastColumn="0" w:lastRowFirstColumn="0" w:lastRowLastColumn="0"/>
            </w:pPr>
          </w:p>
        </w:tc>
        <w:tc>
          <w:tcPr>
            <w:tcW w:w="945"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11</w:t>
            </w:r>
            <w:r>
              <w:t>%</w:t>
            </w:r>
          </w:p>
        </w:tc>
        <w:tc>
          <w:tcPr>
            <w:tcW w:w="882"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11</w:t>
            </w:r>
            <w:r>
              <w:t>%</w:t>
            </w:r>
          </w:p>
        </w:tc>
        <w:tc>
          <w:tcPr>
            <w:tcW w:w="1008" w:type="dxa"/>
          </w:tcPr>
          <w:p w:rsidR="00E764B3" w:rsidRDefault="00E764B3" w:rsidP="00266DF1">
            <w:pPr>
              <w:cnfStyle w:val="000000000000" w:firstRow="0" w:lastRow="0" w:firstColumn="0" w:lastColumn="0" w:oddVBand="0" w:evenVBand="0" w:oddHBand="0" w:evenHBand="0" w:firstRowFirstColumn="0" w:firstRowLastColumn="0" w:lastRowFirstColumn="0" w:lastRowLastColumn="0"/>
            </w:pPr>
            <w:r>
              <w:t>11</w:t>
            </w:r>
            <w:r>
              <w:t>%</w:t>
            </w:r>
          </w:p>
        </w:tc>
      </w:tr>
    </w:tbl>
    <w:p w:rsidR="00787794" w:rsidRDefault="00787794" w:rsidP="00B713CC">
      <w:pPr>
        <w:jc w:val="center"/>
      </w:pPr>
    </w:p>
    <w:p w:rsidR="00E764B3" w:rsidRDefault="00E764B3" w:rsidP="00B713CC">
      <w:pPr>
        <w:jc w:val="center"/>
      </w:pPr>
      <w:r>
        <w:t>Figure 6…</w:t>
      </w:r>
      <w:r w:rsidR="00B713CC">
        <w:t xml:space="preserve"> Comparison of cumulated tracking errors for LPB and NCC.</w:t>
      </w:r>
    </w:p>
    <w:p w:rsidR="00D2216E" w:rsidRDefault="00D2216E" w:rsidP="00C32749">
      <w:pPr>
        <w:rPr>
          <w:lang w:val="ro-RO"/>
        </w:rPr>
      </w:pPr>
    </w:p>
    <w:p w:rsidR="00D2216E" w:rsidRDefault="00787794" w:rsidP="00787794">
      <w:pPr>
        <w:pStyle w:val="Heading3"/>
        <w:rPr>
          <w:lang w:val="ro-RO"/>
        </w:rPr>
      </w:pPr>
      <w:r>
        <w:rPr>
          <w:lang w:val="ro-RO"/>
        </w:rPr>
        <w:t>Examples of tracking errors</w:t>
      </w:r>
    </w:p>
    <w:p w:rsidR="00D2216E" w:rsidRDefault="00D2216E" w:rsidP="00C32749">
      <w:pPr>
        <w:rPr>
          <w:lang w:val="ro-RO"/>
        </w:rPr>
      </w:pPr>
    </w:p>
    <w:p w:rsidR="00D2216E" w:rsidRDefault="00B713CC" w:rsidP="00787794">
      <w:pPr>
        <w:jc w:val="center"/>
        <w:rPr>
          <w:lang w:val="ro-RO"/>
        </w:rPr>
      </w:pPr>
      <w:r>
        <w:rPr>
          <w:noProof/>
          <w:lang w:eastAsia="en-US"/>
        </w:rPr>
        <w:drawing>
          <wp:inline distT="0" distB="0" distL="0" distR="0" wp14:anchorId="4FC8D940" wp14:editId="67435021">
            <wp:extent cx="5167519" cy="2897580"/>
            <wp:effectExtent l="0" t="0" r="0" b="0"/>
            <wp:docPr id="2" name="Picture 2" descr="E:\Academic\Licence\lic_doc\pics\chapter 6\lbp_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6\lbp_b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103" cy="2897908"/>
                    </a:xfrm>
                    <a:prstGeom prst="rect">
                      <a:avLst/>
                    </a:prstGeom>
                    <a:noFill/>
                    <a:ln>
                      <a:noFill/>
                    </a:ln>
                  </pic:spPr>
                </pic:pic>
              </a:graphicData>
            </a:graphic>
          </wp:inline>
        </w:drawing>
      </w:r>
    </w:p>
    <w:p w:rsidR="00D2216E" w:rsidRDefault="00D2216E" w:rsidP="00C32749">
      <w:pPr>
        <w:rPr>
          <w:lang w:val="ro-RO"/>
        </w:rPr>
      </w:pPr>
    </w:p>
    <w:p w:rsidR="000C614C" w:rsidRDefault="009E2491" w:rsidP="00F61ADD">
      <w:pPr>
        <w:jc w:val="center"/>
        <w:rPr>
          <w:lang w:val="ro-RO"/>
        </w:rPr>
      </w:pPr>
      <w:r>
        <w:rPr>
          <w:noProof/>
          <w:lang w:eastAsia="en-US"/>
        </w:rPr>
        <w:t>Figure 6… Multiple detections for the same vehicle</w:t>
      </w:r>
    </w:p>
    <w:p w:rsidR="00A85011" w:rsidRDefault="00A85011" w:rsidP="00C32749">
      <w:pPr>
        <w:rPr>
          <w:lang w:val="ro-RO"/>
        </w:rPr>
      </w:pPr>
    </w:p>
    <w:p w:rsidR="00AA0F0F" w:rsidRDefault="00D14EB3" w:rsidP="00C91C55">
      <w:pPr>
        <w:ind w:firstLine="720"/>
        <w:jc w:val="both"/>
        <w:rPr>
          <w:lang w:val="ro-RO"/>
        </w:rPr>
      </w:pPr>
      <w:r>
        <w:rPr>
          <w:lang w:val="ro-RO"/>
        </w:rPr>
        <w:t xml:space="preserve">Figure 6... is an example of </w:t>
      </w:r>
      <w:r w:rsidR="00AA0F0F">
        <w:rPr>
          <w:lang w:val="ro-RO"/>
        </w:rPr>
        <w:t xml:space="preserve">a vehicle having multiple detections. The cause for this error is the strictness in matching a detection with an existing track. Both the NCC and the LBP can experience this, but we metion that la later exposes more tollerance to these cases. As a vehicle moves through the scene,changing pose and scale, the detector </w:t>
      </w:r>
      <w:r w:rsidR="00AA0F0F">
        <w:rPr>
          <w:lang w:val="ro-RO"/>
        </w:rPr>
        <w:lastRenderedPageBreak/>
        <w:t>migh provide detections centered differently around the vehicle and worst, the size of the detection bounding box is signifficantly different. The distance of the new detection bounding box around the vehicle ant the model stored in the track for the car can be enough to determine not the merge the detection with the track, and thus start a new track.</w:t>
      </w:r>
      <w:r w:rsidR="00A23A71">
        <w:rPr>
          <w:lang w:val="ro-RO"/>
        </w:rPr>
        <w:t xml:space="preserve"> It is also true that we generally noticed these variations in location and size for medium sized vehicles with which the classifier was not properly trained.</w:t>
      </w:r>
    </w:p>
    <w:p w:rsidR="00AA0F0F" w:rsidRDefault="00AA0F0F" w:rsidP="00AA0F0F">
      <w:pPr>
        <w:ind w:firstLine="720"/>
        <w:rPr>
          <w:lang w:val="ro-RO"/>
        </w:rPr>
      </w:pPr>
    </w:p>
    <w:p w:rsidR="00AA0F0F" w:rsidRDefault="00AA0F0F" w:rsidP="00AA0F0F">
      <w:pPr>
        <w:ind w:firstLine="720"/>
        <w:rPr>
          <w:lang w:val="ro-RO"/>
        </w:rPr>
      </w:pPr>
    </w:p>
    <w:p w:rsidR="00BA1E50" w:rsidRDefault="00F61ADD" w:rsidP="00F61ADD">
      <w:pPr>
        <w:jc w:val="center"/>
        <w:rPr>
          <w:lang w:val="ro-RO"/>
        </w:rPr>
      </w:pPr>
      <w:r>
        <w:rPr>
          <w:noProof/>
          <w:lang w:eastAsia="en-US"/>
        </w:rPr>
        <w:drawing>
          <wp:inline distT="0" distB="0" distL="0" distR="0" wp14:anchorId="69328B2D" wp14:editId="53122E44">
            <wp:extent cx="4322618" cy="2435168"/>
            <wp:effectExtent l="0" t="0" r="1905" b="3810"/>
            <wp:docPr id="5" name="Picture 5" descr="E:\Academic\Licence\lic_doc\pics\chapter 6\lbp_bad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ademic\Licence\lic_doc\pics\chapter 6\lbp_bad_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2742" cy="2435238"/>
                    </a:xfrm>
                    <a:prstGeom prst="rect">
                      <a:avLst/>
                    </a:prstGeom>
                    <a:noFill/>
                    <a:ln>
                      <a:noFill/>
                    </a:ln>
                  </pic:spPr>
                </pic:pic>
              </a:graphicData>
            </a:graphic>
          </wp:inline>
        </w:drawing>
      </w:r>
    </w:p>
    <w:p w:rsidR="00F61ADD" w:rsidRDefault="009E2491" w:rsidP="00F61ADD">
      <w:pPr>
        <w:jc w:val="center"/>
        <w:rPr>
          <w:lang w:val="ro-RO"/>
        </w:rPr>
      </w:pPr>
      <w:r>
        <w:rPr>
          <w:lang w:val="ro-RO"/>
        </w:rPr>
        <w:t xml:space="preserve">Figure </w:t>
      </w:r>
      <w:r w:rsidR="00A23A71">
        <w:rPr>
          <w:lang w:val="ro-RO"/>
        </w:rPr>
        <w:t>6..., Tracker has drifted</w:t>
      </w:r>
      <w:r>
        <w:rPr>
          <w:lang w:val="ro-RO"/>
        </w:rPr>
        <w:t xml:space="preserve"> from the tracked vehicle</w:t>
      </w:r>
    </w:p>
    <w:p w:rsidR="000C614C" w:rsidRDefault="000C614C" w:rsidP="00C32749">
      <w:pPr>
        <w:rPr>
          <w:lang w:val="ro-RO"/>
        </w:rPr>
      </w:pPr>
    </w:p>
    <w:p w:rsidR="00026585" w:rsidRDefault="00F61ADD">
      <w:pPr>
        <w:rPr>
          <w:lang w:val="ro-RO"/>
        </w:rPr>
      </w:pPr>
      <w:r>
        <w:rPr>
          <w:lang w:val="ro-RO"/>
        </w:rPr>
        <w:tab/>
      </w:r>
      <w:r>
        <w:rPr>
          <w:lang w:val="ro-RO"/>
        </w:rPr>
        <w:tab/>
      </w:r>
      <w:r>
        <w:rPr>
          <w:lang w:val="ro-RO"/>
        </w:rPr>
        <w:tab/>
      </w:r>
    </w:p>
    <w:p w:rsidR="00A23A71" w:rsidRPr="00787794" w:rsidRDefault="00A23A71" w:rsidP="0094014E">
      <w:pPr>
        <w:ind w:firstLine="720"/>
        <w:jc w:val="both"/>
        <w:rPr>
          <w:lang w:val="ro-RO"/>
        </w:rPr>
      </w:pPr>
      <w:r>
        <w:rPr>
          <w:lang w:val="ro-RO"/>
        </w:rPr>
        <w:t xml:space="preserve">The figure above is an example </w:t>
      </w:r>
      <w:r w:rsidR="005C2746">
        <w:rPr>
          <w:lang w:val="ro-RO"/>
        </w:rPr>
        <w:t xml:space="preserve">of a track that has drifted from the true path of the vehicle. The source of this problem is due to </w:t>
      </w:r>
      <w:r w:rsidR="00243E70">
        <w:rPr>
          <w:lang w:val="ro-RO"/>
        </w:rPr>
        <w:t xml:space="preserve">the </w:t>
      </w:r>
      <w:r w:rsidR="001906D6">
        <w:rPr>
          <w:lang w:val="ro-RO"/>
        </w:rPr>
        <w:t>lack of detections for a initialized track.</w:t>
      </w:r>
      <w:r w:rsidR="00243E70">
        <w:rPr>
          <w:lang w:val="ro-RO"/>
        </w:rPr>
        <w:t xml:space="preserve"> With no detections arriving from the detector, it is the job of the Median Flow Tracker and the Kalman filter estimator to predict the position of the vehicle. It can happen that the Median Flow Filter has not enough points to track and fail and thus the prediction is left to the Kalman Filter</w:t>
      </w:r>
      <w:r w:rsidR="006E639D">
        <w:rPr>
          <w:lang w:val="ro-RO"/>
        </w:rPr>
        <w:t xml:space="preserve"> which is not updated and</w:t>
      </w:r>
      <w:r w:rsidR="00243E70">
        <w:rPr>
          <w:lang w:val="ro-RO"/>
        </w:rPr>
        <w:t xml:space="preserve"> presumes constant velocity in </w:t>
      </w:r>
      <w:r w:rsidR="005D6414">
        <w:rPr>
          <w:lang w:val="ro-RO"/>
        </w:rPr>
        <w:t xml:space="preserve">the </w:t>
      </w:r>
      <w:r w:rsidR="00243E70">
        <w:rPr>
          <w:lang w:val="ro-RO"/>
        </w:rPr>
        <w:t>movement which is not always the case.</w:t>
      </w:r>
      <w:r w:rsidR="001906D6">
        <w:rPr>
          <w:lang w:val="ro-RO"/>
        </w:rPr>
        <w:t xml:space="preserve"> </w:t>
      </w:r>
      <w:r w:rsidR="00776535">
        <w:rPr>
          <w:lang w:val="ro-RO"/>
        </w:rPr>
        <w:t>In these situations the drifted track will get negativelly scored each frame until it is removed.</w:t>
      </w:r>
      <w:bookmarkStart w:id="4" w:name="_GoBack"/>
      <w:bookmarkEnd w:id="4"/>
    </w:p>
    <w:sectPr w:rsidR="00A23A71" w:rsidRPr="00787794">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47E" w:rsidRDefault="0094047E">
      <w:r>
        <w:separator/>
      </w:r>
    </w:p>
  </w:endnote>
  <w:endnote w:type="continuationSeparator" w:id="0">
    <w:p w:rsidR="0094047E" w:rsidRDefault="0094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654" w:rsidRDefault="009404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654" w:rsidRPr="00231654" w:rsidRDefault="00CA482E" w:rsidP="00231654">
    <w:pPr>
      <w:pStyle w:val="Footer"/>
      <w:pBdr>
        <w:top w:val="single" w:sz="4" w:space="1" w:color="auto"/>
      </w:pBdr>
      <w:tabs>
        <w:tab w:val="clear" w:pos="8640"/>
        <w:tab w:val="right" w:pos="9356"/>
      </w:tabs>
      <w:rPr>
        <w:lang w:val="ro-RO"/>
      </w:rPr>
    </w:pPr>
    <w:r>
      <w:rPr>
        <w:lang w:val="ro-RO"/>
      </w:rPr>
      <w:tab/>
    </w:r>
    <w:r>
      <w:rPr>
        <w:lang w:val="ro-RO"/>
      </w:rPr>
      <w:tab/>
    </w:r>
    <w:r>
      <w:rPr>
        <w:rStyle w:val="PageNumber"/>
      </w:rPr>
      <w:fldChar w:fldCharType="begin"/>
    </w:r>
    <w:r>
      <w:rPr>
        <w:rStyle w:val="PageNumber"/>
      </w:rPr>
      <w:instrText xml:space="preserve"> PAGE </w:instrText>
    </w:r>
    <w:r>
      <w:rPr>
        <w:rStyle w:val="PageNumber"/>
      </w:rPr>
      <w:fldChar w:fldCharType="separate"/>
    </w:r>
    <w:r w:rsidR="00776535">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654" w:rsidRDefault="00940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47E" w:rsidRDefault="0094047E">
      <w:r>
        <w:separator/>
      </w:r>
    </w:p>
  </w:footnote>
  <w:footnote w:type="continuationSeparator" w:id="0">
    <w:p w:rsidR="0094047E" w:rsidRDefault="00940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654" w:rsidRDefault="009404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654" w:rsidRPr="007A71F2" w:rsidRDefault="00CA482E" w:rsidP="00231654">
    <w:pPr>
      <w:pStyle w:val="Header"/>
      <w:pBdr>
        <w:bottom w:val="single" w:sz="4" w:space="1" w:color="auto"/>
      </w:pBdr>
      <w:tabs>
        <w:tab w:val="clear" w:pos="8640"/>
        <w:tab w:val="right" w:pos="9356"/>
      </w:tabs>
      <w:rPr>
        <w:lang w:val="ro-RO"/>
      </w:rPr>
    </w:pPr>
    <w:r>
      <w:rPr>
        <w:lang w:val="ro-RO"/>
      </w:rPr>
      <w:tab/>
    </w:r>
    <w:r>
      <w:rPr>
        <w:lang w:val="ro-RO"/>
      </w:rPr>
      <w:tab/>
      <w:t>Capitolul 6</w:t>
    </w:r>
  </w:p>
  <w:p w:rsidR="00231654" w:rsidRDefault="009404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654" w:rsidRDefault="009404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17"/>
    <w:rsid w:val="000055F4"/>
    <w:rsid w:val="00026585"/>
    <w:rsid w:val="000542DC"/>
    <w:rsid w:val="000C614C"/>
    <w:rsid w:val="00167FCA"/>
    <w:rsid w:val="00186430"/>
    <w:rsid w:val="001906D6"/>
    <w:rsid w:val="00202DCD"/>
    <w:rsid w:val="00243E70"/>
    <w:rsid w:val="0024474D"/>
    <w:rsid w:val="00254317"/>
    <w:rsid w:val="00295E2D"/>
    <w:rsid w:val="002A7C7E"/>
    <w:rsid w:val="003406F6"/>
    <w:rsid w:val="003900FA"/>
    <w:rsid w:val="003932C9"/>
    <w:rsid w:val="0044548D"/>
    <w:rsid w:val="004477B3"/>
    <w:rsid w:val="004550CD"/>
    <w:rsid w:val="004710A1"/>
    <w:rsid w:val="00507227"/>
    <w:rsid w:val="005714F1"/>
    <w:rsid w:val="005B57E5"/>
    <w:rsid w:val="005B5E0B"/>
    <w:rsid w:val="005C2746"/>
    <w:rsid w:val="005D2AB8"/>
    <w:rsid w:val="005D6414"/>
    <w:rsid w:val="005E56C9"/>
    <w:rsid w:val="00600262"/>
    <w:rsid w:val="00650C31"/>
    <w:rsid w:val="00694FEA"/>
    <w:rsid w:val="006C4CB5"/>
    <w:rsid w:val="006E421F"/>
    <w:rsid w:val="006E639D"/>
    <w:rsid w:val="007073AA"/>
    <w:rsid w:val="00714EC6"/>
    <w:rsid w:val="00737DD3"/>
    <w:rsid w:val="00750898"/>
    <w:rsid w:val="00751E06"/>
    <w:rsid w:val="007547D0"/>
    <w:rsid w:val="00760493"/>
    <w:rsid w:val="00776535"/>
    <w:rsid w:val="00782D2F"/>
    <w:rsid w:val="0078624A"/>
    <w:rsid w:val="00787794"/>
    <w:rsid w:val="007B6B4B"/>
    <w:rsid w:val="007C0C3F"/>
    <w:rsid w:val="0084000A"/>
    <w:rsid w:val="00843B71"/>
    <w:rsid w:val="0085163D"/>
    <w:rsid w:val="008C6B17"/>
    <w:rsid w:val="008D1973"/>
    <w:rsid w:val="00912BE2"/>
    <w:rsid w:val="00923FA0"/>
    <w:rsid w:val="0094014E"/>
    <w:rsid w:val="0094047E"/>
    <w:rsid w:val="00971750"/>
    <w:rsid w:val="00981818"/>
    <w:rsid w:val="009B2349"/>
    <w:rsid w:val="009E2491"/>
    <w:rsid w:val="00A0460B"/>
    <w:rsid w:val="00A136D3"/>
    <w:rsid w:val="00A23A71"/>
    <w:rsid w:val="00A76661"/>
    <w:rsid w:val="00A823D8"/>
    <w:rsid w:val="00A85011"/>
    <w:rsid w:val="00AA0F0F"/>
    <w:rsid w:val="00AB514E"/>
    <w:rsid w:val="00AC3395"/>
    <w:rsid w:val="00AD7EE9"/>
    <w:rsid w:val="00AF7BA4"/>
    <w:rsid w:val="00B3223F"/>
    <w:rsid w:val="00B713CC"/>
    <w:rsid w:val="00BA1E50"/>
    <w:rsid w:val="00C069DB"/>
    <w:rsid w:val="00C32749"/>
    <w:rsid w:val="00C52520"/>
    <w:rsid w:val="00C91C55"/>
    <w:rsid w:val="00CA482E"/>
    <w:rsid w:val="00D04051"/>
    <w:rsid w:val="00D14EB3"/>
    <w:rsid w:val="00D2216E"/>
    <w:rsid w:val="00D41B23"/>
    <w:rsid w:val="00D429D3"/>
    <w:rsid w:val="00D80D8A"/>
    <w:rsid w:val="00DA53FB"/>
    <w:rsid w:val="00E12249"/>
    <w:rsid w:val="00E16318"/>
    <w:rsid w:val="00E764B3"/>
    <w:rsid w:val="00E903B2"/>
    <w:rsid w:val="00E916F0"/>
    <w:rsid w:val="00F61ADD"/>
    <w:rsid w:val="00F7072D"/>
    <w:rsid w:val="00F85F43"/>
    <w:rsid w:val="00F90DF1"/>
    <w:rsid w:val="00FC151A"/>
    <w:rsid w:val="00FC6AAF"/>
    <w:rsid w:val="00FD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49"/>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D2A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numbered"/>
    <w:basedOn w:val="Normal"/>
    <w:next w:val="Normal"/>
    <w:link w:val="Heading2Char"/>
    <w:qFormat/>
    <w:rsid w:val="00C32749"/>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5D2A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numbered Char"/>
    <w:basedOn w:val="DefaultParagraphFont"/>
    <w:link w:val="Heading2"/>
    <w:rsid w:val="00C32749"/>
    <w:rPr>
      <w:rFonts w:ascii="Times New Roman" w:eastAsia="Batang" w:hAnsi="Times New Roman" w:cs="Arial"/>
      <w:b/>
      <w:bCs/>
      <w:iCs/>
      <w:sz w:val="28"/>
      <w:szCs w:val="28"/>
      <w:lang w:eastAsia="ko-KR"/>
    </w:rPr>
  </w:style>
  <w:style w:type="paragraph" w:styleId="Header">
    <w:name w:val="header"/>
    <w:basedOn w:val="Normal"/>
    <w:link w:val="HeaderChar"/>
    <w:rsid w:val="00C32749"/>
    <w:pPr>
      <w:tabs>
        <w:tab w:val="center" w:pos="4320"/>
        <w:tab w:val="right" w:pos="8640"/>
      </w:tabs>
    </w:pPr>
  </w:style>
  <w:style w:type="character" w:customStyle="1" w:styleId="HeaderChar">
    <w:name w:val="Header Char"/>
    <w:basedOn w:val="DefaultParagraphFont"/>
    <w:link w:val="Header"/>
    <w:rsid w:val="00C32749"/>
    <w:rPr>
      <w:rFonts w:ascii="Times New Roman" w:eastAsia="Batang" w:hAnsi="Times New Roman" w:cs="Times New Roman"/>
      <w:sz w:val="24"/>
      <w:szCs w:val="24"/>
      <w:lang w:eastAsia="ko-KR"/>
    </w:rPr>
  </w:style>
  <w:style w:type="paragraph" w:styleId="Footer">
    <w:name w:val="footer"/>
    <w:basedOn w:val="Normal"/>
    <w:link w:val="FooterChar"/>
    <w:rsid w:val="00C32749"/>
    <w:pPr>
      <w:tabs>
        <w:tab w:val="center" w:pos="4320"/>
        <w:tab w:val="right" w:pos="8640"/>
      </w:tabs>
    </w:pPr>
  </w:style>
  <w:style w:type="character" w:customStyle="1" w:styleId="FooterChar">
    <w:name w:val="Footer Char"/>
    <w:basedOn w:val="DefaultParagraphFont"/>
    <w:link w:val="Footer"/>
    <w:rsid w:val="00C32749"/>
    <w:rPr>
      <w:rFonts w:ascii="Times New Roman" w:eastAsia="Batang" w:hAnsi="Times New Roman" w:cs="Times New Roman"/>
      <w:sz w:val="24"/>
      <w:szCs w:val="24"/>
      <w:lang w:eastAsia="ko-KR"/>
    </w:rPr>
  </w:style>
  <w:style w:type="character" w:styleId="PageNumber">
    <w:name w:val="page number"/>
    <w:basedOn w:val="DefaultParagraphFont"/>
    <w:rsid w:val="00C32749"/>
  </w:style>
  <w:style w:type="character" w:customStyle="1" w:styleId="apple-converted-space">
    <w:name w:val="apple-converted-space"/>
    <w:rsid w:val="00C32749"/>
  </w:style>
  <w:style w:type="paragraph" w:styleId="BalloonText">
    <w:name w:val="Balloon Text"/>
    <w:basedOn w:val="Normal"/>
    <w:link w:val="BalloonTextChar"/>
    <w:uiPriority w:val="99"/>
    <w:semiHidden/>
    <w:unhideWhenUsed/>
    <w:rsid w:val="00C32749"/>
    <w:rPr>
      <w:rFonts w:ascii="Tahoma" w:hAnsi="Tahoma" w:cs="Tahoma"/>
      <w:sz w:val="16"/>
      <w:szCs w:val="16"/>
    </w:rPr>
  </w:style>
  <w:style w:type="character" w:customStyle="1" w:styleId="BalloonTextChar">
    <w:name w:val="Balloon Text Char"/>
    <w:basedOn w:val="DefaultParagraphFont"/>
    <w:link w:val="BalloonText"/>
    <w:uiPriority w:val="99"/>
    <w:semiHidden/>
    <w:rsid w:val="00C32749"/>
    <w:rPr>
      <w:rFonts w:ascii="Tahoma" w:eastAsia="Batang" w:hAnsi="Tahoma" w:cs="Tahoma"/>
      <w:sz w:val="16"/>
      <w:szCs w:val="16"/>
      <w:lang w:eastAsia="ko-KR"/>
    </w:rPr>
  </w:style>
  <w:style w:type="paragraph" w:styleId="NormalWeb">
    <w:name w:val="Normal (Web)"/>
    <w:basedOn w:val="Normal"/>
    <w:uiPriority w:val="99"/>
    <w:semiHidden/>
    <w:unhideWhenUsed/>
    <w:rsid w:val="00C32749"/>
    <w:pPr>
      <w:spacing w:before="100" w:beforeAutospacing="1" w:after="100" w:afterAutospacing="1"/>
    </w:pPr>
    <w:rPr>
      <w:rFonts w:eastAsia="Times New Roman"/>
      <w:lang w:eastAsia="en-US"/>
    </w:rPr>
  </w:style>
  <w:style w:type="character" w:styleId="Hyperlink">
    <w:name w:val="Hyperlink"/>
    <w:basedOn w:val="DefaultParagraphFont"/>
    <w:uiPriority w:val="99"/>
    <w:semiHidden/>
    <w:unhideWhenUsed/>
    <w:rsid w:val="00C32749"/>
    <w:rPr>
      <w:color w:val="0000FF"/>
      <w:u w:val="single"/>
    </w:rPr>
  </w:style>
  <w:style w:type="table" w:styleId="TableGrid">
    <w:name w:val="Table Grid"/>
    <w:basedOn w:val="TableNormal"/>
    <w:uiPriority w:val="59"/>
    <w:rsid w:val="00DA5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D7E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D7E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D7EE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D7E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D7EE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D7EE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AD7EE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D7E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AD7EE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olorfulList-Accent4">
    <w:name w:val="Colorful List Accent 4"/>
    <w:basedOn w:val="TableNormal"/>
    <w:uiPriority w:val="72"/>
    <w:rsid w:val="00AD7E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1-Accent1">
    <w:name w:val="Medium Grid 1 Accent 1"/>
    <w:basedOn w:val="TableNormal"/>
    <w:uiPriority w:val="67"/>
    <w:rsid w:val="00AD7E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5D2AB8"/>
    <w:rPr>
      <w:rFonts w:asciiTheme="majorHAnsi" w:eastAsiaTheme="majorEastAsia" w:hAnsiTheme="majorHAnsi" w:cstheme="majorBidi"/>
      <w:b/>
      <w:bCs/>
      <w:color w:val="4F81BD" w:themeColor="accent1"/>
      <w:sz w:val="24"/>
      <w:szCs w:val="24"/>
      <w:lang w:eastAsia="ko-KR"/>
    </w:rPr>
  </w:style>
  <w:style w:type="character" w:customStyle="1" w:styleId="Heading1Char">
    <w:name w:val="Heading 1 Char"/>
    <w:basedOn w:val="DefaultParagraphFont"/>
    <w:link w:val="Heading1"/>
    <w:uiPriority w:val="9"/>
    <w:rsid w:val="005D2AB8"/>
    <w:rPr>
      <w:rFonts w:asciiTheme="majorHAnsi" w:eastAsiaTheme="majorEastAsia" w:hAnsiTheme="majorHAnsi" w:cstheme="majorBidi"/>
      <w:b/>
      <w:bCs/>
      <w:color w:val="365F91" w:themeColor="accent1" w:themeShade="BF"/>
      <w:sz w:val="28"/>
      <w:szCs w:val="2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49"/>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D2A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numbered"/>
    <w:basedOn w:val="Normal"/>
    <w:next w:val="Normal"/>
    <w:link w:val="Heading2Char"/>
    <w:qFormat/>
    <w:rsid w:val="00C32749"/>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5D2A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numbered Char"/>
    <w:basedOn w:val="DefaultParagraphFont"/>
    <w:link w:val="Heading2"/>
    <w:rsid w:val="00C32749"/>
    <w:rPr>
      <w:rFonts w:ascii="Times New Roman" w:eastAsia="Batang" w:hAnsi="Times New Roman" w:cs="Arial"/>
      <w:b/>
      <w:bCs/>
      <w:iCs/>
      <w:sz w:val="28"/>
      <w:szCs w:val="28"/>
      <w:lang w:eastAsia="ko-KR"/>
    </w:rPr>
  </w:style>
  <w:style w:type="paragraph" w:styleId="Header">
    <w:name w:val="header"/>
    <w:basedOn w:val="Normal"/>
    <w:link w:val="HeaderChar"/>
    <w:rsid w:val="00C32749"/>
    <w:pPr>
      <w:tabs>
        <w:tab w:val="center" w:pos="4320"/>
        <w:tab w:val="right" w:pos="8640"/>
      </w:tabs>
    </w:pPr>
  </w:style>
  <w:style w:type="character" w:customStyle="1" w:styleId="HeaderChar">
    <w:name w:val="Header Char"/>
    <w:basedOn w:val="DefaultParagraphFont"/>
    <w:link w:val="Header"/>
    <w:rsid w:val="00C32749"/>
    <w:rPr>
      <w:rFonts w:ascii="Times New Roman" w:eastAsia="Batang" w:hAnsi="Times New Roman" w:cs="Times New Roman"/>
      <w:sz w:val="24"/>
      <w:szCs w:val="24"/>
      <w:lang w:eastAsia="ko-KR"/>
    </w:rPr>
  </w:style>
  <w:style w:type="paragraph" w:styleId="Footer">
    <w:name w:val="footer"/>
    <w:basedOn w:val="Normal"/>
    <w:link w:val="FooterChar"/>
    <w:rsid w:val="00C32749"/>
    <w:pPr>
      <w:tabs>
        <w:tab w:val="center" w:pos="4320"/>
        <w:tab w:val="right" w:pos="8640"/>
      </w:tabs>
    </w:pPr>
  </w:style>
  <w:style w:type="character" w:customStyle="1" w:styleId="FooterChar">
    <w:name w:val="Footer Char"/>
    <w:basedOn w:val="DefaultParagraphFont"/>
    <w:link w:val="Footer"/>
    <w:rsid w:val="00C32749"/>
    <w:rPr>
      <w:rFonts w:ascii="Times New Roman" w:eastAsia="Batang" w:hAnsi="Times New Roman" w:cs="Times New Roman"/>
      <w:sz w:val="24"/>
      <w:szCs w:val="24"/>
      <w:lang w:eastAsia="ko-KR"/>
    </w:rPr>
  </w:style>
  <w:style w:type="character" w:styleId="PageNumber">
    <w:name w:val="page number"/>
    <w:basedOn w:val="DefaultParagraphFont"/>
    <w:rsid w:val="00C32749"/>
  </w:style>
  <w:style w:type="character" w:customStyle="1" w:styleId="apple-converted-space">
    <w:name w:val="apple-converted-space"/>
    <w:rsid w:val="00C32749"/>
  </w:style>
  <w:style w:type="paragraph" w:styleId="BalloonText">
    <w:name w:val="Balloon Text"/>
    <w:basedOn w:val="Normal"/>
    <w:link w:val="BalloonTextChar"/>
    <w:uiPriority w:val="99"/>
    <w:semiHidden/>
    <w:unhideWhenUsed/>
    <w:rsid w:val="00C32749"/>
    <w:rPr>
      <w:rFonts w:ascii="Tahoma" w:hAnsi="Tahoma" w:cs="Tahoma"/>
      <w:sz w:val="16"/>
      <w:szCs w:val="16"/>
    </w:rPr>
  </w:style>
  <w:style w:type="character" w:customStyle="1" w:styleId="BalloonTextChar">
    <w:name w:val="Balloon Text Char"/>
    <w:basedOn w:val="DefaultParagraphFont"/>
    <w:link w:val="BalloonText"/>
    <w:uiPriority w:val="99"/>
    <w:semiHidden/>
    <w:rsid w:val="00C32749"/>
    <w:rPr>
      <w:rFonts w:ascii="Tahoma" w:eastAsia="Batang" w:hAnsi="Tahoma" w:cs="Tahoma"/>
      <w:sz w:val="16"/>
      <w:szCs w:val="16"/>
      <w:lang w:eastAsia="ko-KR"/>
    </w:rPr>
  </w:style>
  <w:style w:type="paragraph" w:styleId="NormalWeb">
    <w:name w:val="Normal (Web)"/>
    <w:basedOn w:val="Normal"/>
    <w:uiPriority w:val="99"/>
    <w:semiHidden/>
    <w:unhideWhenUsed/>
    <w:rsid w:val="00C32749"/>
    <w:pPr>
      <w:spacing w:before="100" w:beforeAutospacing="1" w:after="100" w:afterAutospacing="1"/>
    </w:pPr>
    <w:rPr>
      <w:rFonts w:eastAsia="Times New Roman"/>
      <w:lang w:eastAsia="en-US"/>
    </w:rPr>
  </w:style>
  <w:style w:type="character" w:styleId="Hyperlink">
    <w:name w:val="Hyperlink"/>
    <w:basedOn w:val="DefaultParagraphFont"/>
    <w:uiPriority w:val="99"/>
    <w:semiHidden/>
    <w:unhideWhenUsed/>
    <w:rsid w:val="00C32749"/>
    <w:rPr>
      <w:color w:val="0000FF"/>
      <w:u w:val="single"/>
    </w:rPr>
  </w:style>
  <w:style w:type="table" w:styleId="TableGrid">
    <w:name w:val="Table Grid"/>
    <w:basedOn w:val="TableNormal"/>
    <w:uiPriority w:val="59"/>
    <w:rsid w:val="00DA5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D7E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D7E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D7EE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D7E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D7EE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D7EE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AD7EE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D7E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AD7EE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olorfulList-Accent4">
    <w:name w:val="Colorful List Accent 4"/>
    <w:basedOn w:val="TableNormal"/>
    <w:uiPriority w:val="72"/>
    <w:rsid w:val="00AD7E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1-Accent1">
    <w:name w:val="Medium Grid 1 Accent 1"/>
    <w:basedOn w:val="TableNormal"/>
    <w:uiPriority w:val="67"/>
    <w:rsid w:val="00AD7E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5D2AB8"/>
    <w:rPr>
      <w:rFonts w:asciiTheme="majorHAnsi" w:eastAsiaTheme="majorEastAsia" w:hAnsiTheme="majorHAnsi" w:cstheme="majorBidi"/>
      <w:b/>
      <w:bCs/>
      <w:color w:val="4F81BD" w:themeColor="accent1"/>
      <w:sz w:val="24"/>
      <w:szCs w:val="24"/>
      <w:lang w:eastAsia="ko-KR"/>
    </w:rPr>
  </w:style>
  <w:style w:type="character" w:customStyle="1" w:styleId="Heading1Char">
    <w:name w:val="Heading 1 Char"/>
    <w:basedOn w:val="DefaultParagraphFont"/>
    <w:link w:val="Heading1"/>
    <w:uiPriority w:val="9"/>
    <w:rsid w:val="005D2AB8"/>
    <w:rPr>
      <w:rFonts w:asciiTheme="majorHAnsi" w:eastAsiaTheme="majorEastAsia" w:hAnsiTheme="majorHAnsi" w:cstheme="majorBidi"/>
      <w:b/>
      <w:bCs/>
      <w:color w:val="365F91" w:themeColor="accent1" w:themeShade="BF"/>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7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2</c:v>
                </c:pt>
              </c:strCache>
            </c:strRef>
          </c:tx>
          <c:marker>
            <c:symbol val="none"/>
          </c:marker>
          <c:cat>
            <c:strRef>
              <c:f>Sheet1!$A$2:$A$57</c:f>
              <c:strCache>
                <c:ptCount val="2"/>
                <c:pt idx="1">
                  <c:v> </c:v>
                </c:pt>
              </c:strCache>
            </c:strRef>
          </c:cat>
          <c:val>
            <c:numRef>
              <c:f>Sheet1!$B$2:$B$57</c:f>
              <c:numCache>
                <c:formatCode>General</c:formatCode>
                <c:ptCount val="56"/>
                <c:pt idx="0">
                  <c:v>4</c:v>
                </c:pt>
                <c:pt idx="1">
                  <c:v>5</c:v>
                </c:pt>
                <c:pt idx="2">
                  <c:v>6</c:v>
                </c:pt>
                <c:pt idx="3">
                  <c:v>7</c:v>
                </c:pt>
                <c:pt idx="4">
                  <c:v>8</c:v>
                </c:pt>
                <c:pt idx="5">
                  <c:v>9</c:v>
                </c:pt>
                <c:pt idx="6">
                  <c:v>11</c:v>
                </c:pt>
                <c:pt idx="7">
                  <c:v>12</c:v>
                </c:pt>
                <c:pt idx="8">
                  <c:v>13</c:v>
                </c:pt>
                <c:pt idx="9">
                  <c:v>14</c:v>
                </c:pt>
                <c:pt idx="10">
                  <c:v>15</c:v>
                </c:pt>
                <c:pt idx="11">
                  <c:v>16</c:v>
                </c:pt>
                <c:pt idx="12">
                  <c:v>17</c:v>
                </c:pt>
                <c:pt idx="13">
                  <c:v>18</c:v>
                </c:pt>
                <c:pt idx="14">
                  <c:v>21</c:v>
                </c:pt>
                <c:pt idx="15">
                  <c:v>26</c:v>
                </c:pt>
                <c:pt idx="16">
                  <c:v>32</c:v>
                </c:pt>
                <c:pt idx="17">
                  <c:v>35</c:v>
                </c:pt>
                <c:pt idx="18">
                  <c:v>39</c:v>
                </c:pt>
                <c:pt idx="19">
                  <c:v>45</c:v>
                </c:pt>
                <c:pt idx="20">
                  <c:v>50</c:v>
                </c:pt>
                <c:pt idx="21">
                  <c:v>56</c:v>
                </c:pt>
                <c:pt idx="22">
                  <c:v>63</c:v>
                </c:pt>
                <c:pt idx="23">
                  <c:v>70</c:v>
                </c:pt>
                <c:pt idx="24">
                  <c:v>78</c:v>
                </c:pt>
                <c:pt idx="25">
                  <c:v>88</c:v>
                </c:pt>
                <c:pt idx="26">
                  <c:v>94</c:v>
                </c:pt>
                <c:pt idx="27">
                  <c:v>100</c:v>
                </c:pt>
                <c:pt idx="28">
                  <c:v>111</c:v>
                </c:pt>
                <c:pt idx="29">
                  <c:v>116</c:v>
                </c:pt>
                <c:pt idx="30">
                  <c:v>125</c:v>
                </c:pt>
                <c:pt idx="31">
                  <c:v>136</c:v>
                </c:pt>
                <c:pt idx="32">
                  <c:v>142</c:v>
                </c:pt>
                <c:pt idx="33">
                  <c:v>150</c:v>
                </c:pt>
                <c:pt idx="34">
                  <c:v>160</c:v>
                </c:pt>
                <c:pt idx="35">
                  <c:v>170</c:v>
                </c:pt>
                <c:pt idx="36">
                  <c:v>178</c:v>
                </c:pt>
                <c:pt idx="37">
                  <c:v>187</c:v>
                </c:pt>
                <c:pt idx="38">
                  <c:v>198</c:v>
                </c:pt>
                <c:pt idx="39">
                  <c:v>211</c:v>
                </c:pt>
                <c:pt idx="40">
                  <c:v>220</c:v>
                </c:pt>
                <c:pt idx="41">
                  <c:v>231</c:v>
                </c:pt>
                <c:pt idx="42">
                  <c:v>240</c:v>
                </c:pt>
                <c:pt idx="43">
                  <c:v>250</c:v>
                </c:pt>
                <c:pt idx="44">
                  <c:v>260</c:v>
                </c:pt>
                <c:pt idx="45">
                  <c:v>270</c:v>
                </c:pt>
                <c:pt idx="46">
                  <c:v>281</c:v>
                </c:pt>
                <c:pt idx="47">
                  <c:v>287</c:v>
                </c:pt>
                <c:pt idx="48">
                  <c:v>294</c:v>
                </c:pt>
                <c:pt idx="49">
                  <c:v>300</c:v>
                </c:pt>
                <c:pt idx="50">
                  <c:v>312</c:v>
                </c:pt>
                <c:pt idx="51">
                  <c:v>324</c:v>
                </c:pt>
                <c:pt idx="52">
                  <c:v>336</c:v>
                </c:pt>
                <c:pt idx="53">
                  <c:v>348</c:v>
                </c:pt>
                <c:pt idx="54">
                  <c:v>352</c:v>
                </c:pt>
                <c:pt idx="55">
                  <c:v>370</c:v>
                </c:pt>
              </c:numCache>
            </c:numRef>
          </c:val>
          <c:smooth val="0"/>
        </c:ser>
        <c:ser>
          <c:idx val="1"/>
          <c:order val="1"/>
          <c:tx>
            <c:strRef>
              <c:f>Sheet1!$C$1</c:f>
              <c:strCache>
                <c:ptCount val="1"/>
                <c:pt idx="0">
                  <c:v>1</c:v>
                </c:pt>
              </c:strCache>
            </c:strRef>
          </c:tx>
          <c:marker>
            <c:symbol val="none"/>
          </c:marker>
          <c:cat>
            <c:strRef>
              <c:f>Sheet1!$A$2:$A$57</c:f>
              <c:strCache>
                <c:ptCount val="2"/>
                <c:pt idx="1">
                  <c:v> </c:v>
                </c:pt>
              </c:strCache>
            </c:strRef>
          </c:cat>
          <c:val>
            <c:numRef>
              <c:f>Sheet1!$C$2:$C$57</c:f>
              <c:numCache>
                <c:formatCode>General</c:formatCode>
                <c:ptCount val="56"/>
                <c:pt idx="0">
                  <c:v>2</c:v>
                </c:pt>
                <c:pt idx="1">
                  <c:v>3</c:v>
                </c:pt>
                <c:pt idx="2">
                  <c:v>5</c:v>
                </c:pt>
                <c:pt idx="3">
                  <c:v>6</c:v>
                </c:pt>
                <c:pt idx="4">
                  <c:v>7</c:v>
                </c:pt>
                <c:pt idx="5">
                  <c:v>8</c:v>
                </c:pt>
                <c:pt idx="6">
                  <c:v>10</c:v>
                </c:pt>
                <c:pt idx="7">
                  <c:v>11</c:v>
                </c:pt>
                <c:pt idx="8">
                  <c:v>11</c:v>
                </c:pt>
                <c:pt idx="9">
                  <c:v>12</c:v>
                </c:pt>
                <c:pt idx="10">
                  <c:v>13</c:v>
                </c:pt>
                <c:pt idx="11">
                  <c:v>14</c:v>
                </c:pt>
                <c:pt idx="12">
                  <c:v>15</c:v>
                </c:pt>
                <c:pt idx="13">
                  <c:v>16</c:v>
                </c:pt>
                <c:pt idx="14">
                  <c:v>19</c:v>
                </c:pt>
                <c:pt idx="15">
                  <c:v>24</c:v>
                </c:pt>
                <c:pt idx="16">
                  <c:v>30</c:v>
                </c:pt>
                <c:pt idx="17">
                  <c:v>33</c:v>
                </c:pt>
                <c:pt idx="18">
                  <c:v>36</c:v>
                </c:pt>
                <c:pt idx="19">
                  <c:v>42</c:v>
                </c:pt>
                <c:pt idx="20">
                  <c:v>46</c:v>
                </c:pt>
                <c:pt idx="21">
                  <c:v>52</c:v>
                </c:pt>
                <c:pt idx="22">
                  <c:v>58</c:v>
                </c:pt>
                <c:pt idx="23">
                  <c:v>64</c:v>
                </c:pt>
                <c:pt idx="24">
                  <c:v>72</c:v>
                </c:pt>
                <c:pt idx="25">
                  <c:v>82</c:v>
                </c:pt>
                <c:pt idx="26">
                  <c:v>88</c:v>
                </c:pt>
                <c:pt idx="27">
                  <c:v>94</c:v>
                </c:pt>
                <c:pt idx="28">
                  <c:v>104</c:v>
                </c:pt>
                <c:pt idx="29">
                  <c:v>109</c:v>
                </c:pt>
                <c:pt idx="30">
                  <c:v>117</c:v>
                </c:pt>
                <c:pt idx="31">
                  <c:v>127</c:v>
                </c:pt>
                <c:pt idx="32">
                  <c:v>133</c:v>
                </c:pt>
                <c:pt idx="33">
                  <c:v>141</c:v>
                </c:pt>
                <c:pt idx="34">
                  <c:v>150</c:v>
                </c:pt>
                <c:pt idx="35">
                  <c:v>160</c:v>
                </c:pt>
                <c:pt idx="36">
                  <c:v>167</c:v>
                </c:pt>
                <c:pt idx="37">
                  <c:v>176</c:v>
                </c:pt>
                <c:pt idx="38">
                  <c:v>187</c:v>
                </c:pt>
                <c:pt idx="39">
                  <c:v>200</c:v>
                </c:pt>
                <c:pt idx="40">
                  <c:v>208</c:v>
                </c:pt>
                <c:pt idx="41">
                  <c:v>220</c:v>
                </c:pt>
                <c:pt idx="42">
                  <c:v>228</c:v>
                </c:pt>
                <c:pt idx="43">
                  <c:v>238</c:v>
                </c:pt>
                <c:pt idx="44">
                  <c:v>246</c:v>
                </c:pt>
                <c:pt idx="45">
                  <c:v>256</c:v>
                </c:pt>
                <c:pt idx="46">
                  <c:v>266</c:v>
                </c:pt>
                <c:pt idx="47">
                  <c:v>271</c:v>
                </c:pt>
                <c:pt idx="48">
                  <c:v>278</c:v>
                </c:pt>
                <c:pt idx="49">
                  <c:v>284</c:v>
                </c:pt>
                <c:pt idx="50">
                  <c:v>296</c:v>
                </c:pt>
                <c:pt idx="51">
                  <c:v>307</c:v>
                </c:pt>
                <c:pt idx="52">
                  <c:v>318</c:v>
                </c:pt>
                <c:pt idx="53">
                  <c:v>326</c:v>
                </c:pt>
                <c:pt idx="54">
                  <c:v>343</c:v>
                </c:pt>
                <c:pt idx="55">
                  <c:v>357</c:v>
                </c:pt>
              </c:numCache>
            </c:numRef>
          </c:val>
          <c:smooth val="0"/>
        </c:ser>
        <c:dLbls>
          <c:showLegendKey val="0"/>
          <c:showVal val="0"/>
          <c:showCatName val="0"/>
          <c:showSerName val="0"/>
          <c:showPercent val="0"/>
          <c:showBubbleSize val="0"/>
        </c:dLbls>
        <c:marker val="1"/>
        <c:smooth val="0"/>
        <c:axId val="78369152"/>
        <c:axId val="83913344"/>
      </c:lineChart>
      <c:catAx>
        <c:axId val="78369152"/>
        <c:scaling>
          <c:orientation val="minMax"/>
        </c:scaling>
        <c:delete val="0"/>
        <c:axPos val="b"/>
        <c:majorTickMark val="out"/>
        <c:minorTickMark val="none"/>
        <c:tickLblPos val="nextTo"/>
        <c:crossAx val="83913344"/>
        <c:crosses val="autoZero"/>
        <c:auto val="1"/>
        <c:lblAlgn val="ctr"/>
        <c:lblOffset val="100"/>
        <c:noMultiLvlLbl val="0"/>
      </c:catAx>
      <c:valAx>
        <c:axId val="83913344"/>
        <c:scaling>
          <c:orientation val="minMax"/>
        </c:scaling>
        <c:delete val="0"/>
        <c:axPos val="l"/>
        <c:majorGridlines/>
        <c:numFmt formatCode="General" sourceLinked="1"/>
        <c:majorTickMark val="out"/>
        <c:minorTickMark val="none"/>
        <c:tickLblPos val="nextTo"/>
        <c:crossAx val="78369152"/>
        <c:crosses val="autoZero"/>
        <c:crossBetween val="between"/>
      </c:valAx>
    </c:plotArea>
    <c:legend>
      <c:legendPos val="r"/>
      <c:layout>
        <c:manualLayout>
          <c:xMode val="edge"/>
          <c:yMode val="edge"/>
          <c:x val="0.90714147995319239"/>
          <c:y val="0.44897448157506264"/>
          <c:w val="9.2858520046807669E-2"/>
          <c:h val="0.1161746891849976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1726450860309127E-2"/>
          <c:y val="3.5341460082888333E-2"/>
          <c:w val="0.77057013706620003"/>
          <c:h val="0.88491429817492773"/>
        </c:manualLayout>
      </c:layout>
      <c:lineChart>
        <c:grouping val="standard"/>
        <c:varyColors val="0"/>
        <c:ser>
          <c:idx val="0"/>
          <c:order val="0"/>
          <c:tx>
            <c:strRef>
              <c:f>Sheet1!$B$1</c:f>
              <c:strCache>
                <c:ptCount val="1"/>
                <c:pt idx="0">
                  <c:v>Ground truth</c:v>
                </c:pt>
              </c:strCache>
            </c:strRef>
          </c:tx>
          <c:marker>
            <c:symbol val="none"/>
          </c:marker>
          <c:cat>
            <c:strRef>
              <c:f>Sheet1!$A$2:$A$56</c:f>
              <c:strCache>
                <c:ptCount val="4"/>
                <c:pt idx="0">
                  <c:v> </c:v>
                </c:pt>
                <c:pt idx="1">
                  <c:v> </c:v>
                </c:pt>
                <c:pt idx="3">
                  <c:v>time</c:v>
                </c:pt>
              </c:strCache>
            </c:strRef>
          </c:cat>
          <c:val>
            <c:numRef>
              <c:f>Sheet1!$B$2:$B$56</c:f>
              <c:numCache>
                <c:formatCode>General</c:formatCode>
                <c:ptCount val="55"/>
                <c:pt idx="0">
                  <c:v>4</c:v>
                </c:pt>
                <c:pt idx="1">
                  <c:v>5</c:v>
                </c:pt>
                <c:pt idx="2">
                  <c:v>6</c:v>
                </c:pt>
                <c:pt idx="3">
                  <c:v>7</c:v>
                </c:pt>
                <c:pt idx="4">
                  <c:v>8</c:v>
                </c:pt>
                <c:pt idx="5">
                  <c:v>9</c:v>
                </c:pt>
                <c:pt idx="6">
                  <c:v>11</c:v>
                </c:pt>
                <c:pt idx="7">
                  <c:v>12</c:v>
                </c:pt>
                <c:pt idx="8">
                  <c:v>13</c:v>
                </c:pt>
                <c:pt idx="9">
                  <c:v>14</c:v>
                </c:pt>
                <c:pt idx="10">
                  <c:v>15</c:v>
                </c:pt>
                <c:pt idx="11">
                  <c:v>16</c:v>
                </c:pt>
                <c:pt idx="12">
                  <c:v>17</c:v>
                </c:pt>
                <c:pt idx="13">
                  <c:v>18</c:v>
                </c:pt>
                <c:pt idx="14">
                  <c:v>21</c:v>
                </c:pt>
                <c:pt idx="15">
                  <c:v>26</c:v>
                </c:pt>
                <c:pt idx="16">
                  <c:v>32</c:v>
                </c:pt>
                <c:pt idx="17">
                  <c:v>35</c:v>
                </c:pt>
                <c:pt idx="18">
                  <c:v>39</c:v>
                </c:pt>
                <c:pt idx="19">
                  <c:v>45</c:v>
                </c:pt>
                <c:pt idx="20">
                  <c:v>50</c:v>
                </c:pt>
                <c:pt idx="21">
                  <c:v>56</c:v>
                </c:pt>
                <c:pt idx="22">
                  <c:v>63</c:v>
                </c:pt>
                <c:pt idx="23">
                  <c:v>70</c:v>
                </c:pt>
                <c:pt idx="24">
                  <c:v>78</c:v>
                </c:pt>
                <c:pt idx="25">
                  <c:v>88</c:v>
                </c:pt>
                <c:pt idx="26">
                  <c:v>94</c:v>
                </c:pt>
                <c:pt idx="27">
                  <c:v>100</c:v>
                </c:pt>
                <c:pt idx="28">
                  <c:v>111</c:v>
                </c:pt>
                <c:pt idx="29">
                  <c:v>116</c:v>
                </c:pt>
                <c:pt idx="30">
                  <c:v>125</c:v>
                </c:pt>
                <c:pt idx="31">
                  <c:v>136</c:v>
                </c:pt>
                <c:pt idx="32">
                  <c:v>142</c:v>
                </c:pt>
                <c:pt idx="33">
                  <c:v>150</c:v>
                </c:pt>
                <c:pt idx="34">
                  <c:v>160</c:v>
                </c:pt>
                <c:pt idx="35">
                  <c:v>170</c:v>
                </c:pt>
                <c:pt idx="36">
                  <c:v>178</c:v>
                </c:pt>
                <c:pt idx="37">
                  <c:v>187</c:v>
                </c:pt>
                <c:pt idx="38">
                  <c:v>198</c:v>
                </c:pt>
                <c:pt idx="39">
                  <c:v>211</c:v>
                </c:pt>
                <c:pt idx="40">
                  <c:v>220</c:v>
                </c:pt>
                <c:pt idx="41">
                  <c:v>231</c:v>
                </c:pt>
                <c:pt idx="42">
                  <c:v>240</c:v>
                </c:pt>
                <c:pt idx="43">
                  <c:v>250</c:v>
                </c:pt>
                <c:pt idx="44">
                  <c:v>260</c:v>
                </c:pt>
                <c:pt idx="45">
                  <c:v>270</c:v>
                </c:pt>
                <c:pt idx="46">
                  <c:v>281</c:v>
                </c:pt>
                <c:pt idx="47">
                  <c:v>287</c:v>
                </c:pt>
                <c:pt idx="48">
                  <c:v>294</c:v>
                </c:pt>
                <c:pt idx="49">
                  <c:v>300</c:v>
                </c:pt>
                <c:pt idx="50">
                  <c:v>312</c:v>
                </c:pt>
                <c:pt idx="51">
                  <c:v>324</c:v>
                </c:pt>
                <c:pt idx="52">
                  <c:v>336</c:v>
                </c:pt>
                <c:pt idx="53">
                  <c:v>348</c:v>
                </c:pt>
                <c:pt idx="54">
                  <c:v>352</c:v>
                </c:pt>
              </c:numCache>
            </c:numRef>
          </c:val>
          <c:smooth val="0"/>
        </c:ser>
        <c:ser>
          <c:idx val="1"/>
          <c:order val="1"/>
          <c:tx>
            <c:strRef>
              <c:f>Sheet1!$C$1</c:f>
              <c:strCache>
                <c:ptCount val="1"/>
                <c:pt idx="0">
                  <c:v>Tracker Results</c:v>
                </c:pt>
              </c:strCache>
            </c:strRef>
          </c:tx>
          <c:marker>
            <c:symbol val="none"/>
          </c:marker>
          <c:cat>
            <c:strRef>
              <c:f>Sheet1!$A$2:$A$56</c:f>
              <c:strCache>
                <c:ptCount val="4"/>
                <c:pt idx="0">
                  <c:v> </c:v>
                </c:pt>
                <c:pt idx="1">
                  <c:v> </c:v>
                </c:pt>
                <c:pt idx="3">
                  <c:v>time</c:v>
                </c:pt>
              </c:strCache>
            </c:strRef>
          </c:cat>
          <c:val>
            <c:numRef>
              <c:f>Sheet1!$C$2:$C$56</c:f>
              <c:numCache>
                <c:formatCode>General</c:formatCode>
                <c:ptCount val="55"/>
                <c:pt idx="0">
                  <c:v>2</c:v>
                </c:pt>
                <c:pt idx="1">
                  <c:v>3</c:v>
                </c:pt>
                <c:pt idx="2">
                  <c:v>5</c:v>
                </c:pt>
                <c:pt idx="3">
                  <c:v>6</c:v>
                </c:pt>
                <c:pt idx="4">
                  <c:v>7</c:v>
                </c:pt>
                <c:pt idx="5">
                  <c:v>8</c:v>
                </c:pt>
                <c:pt idx="6">
                  <c:v>10</c:v>
                </c:pt>
                <c:pt idx="7">
                  <c:v>11</c:v>
                </c:pt>
                <c:pt idx="8">
                  <c:v>12</c:v>
                </c:pt>
                <c:pt idx="9">
                  <c:v>12</c:v>
                </c:pt>
                <c:pt idx="10">
                  <c:v>13</c:v>
                </c:pt>
                <c:pt idx="11">
                  <c:v>15</c:v>
                </c:pt>
                <c:pt idx="12">
                  <c:v>16</c:v>
                </c:pt>
                <c:pt idx="13">
                  <c:v>17</c:v>
                </c:pt>
                <c:pt idx="14">
                  <c:v>20</c:v>
                </c:pt>
                <c:pt idx="15">
                  <c:v>25</c:v>
                </c:pt>
                <c:pt idx="16">
                  <c:v>29</c:v>
                </c:pt>
                <c:pt idx="17">
                  <c:v>32</c:v>
                </c:pt>
                <c:pt idx="18">
                  <c:v>35</c:v>
                </c:pt>
                <c:pt idx="19">
                  <c:v>41</c:v>
                </c:pt>
                <c:pt idx="20">
                  <c:v>46</c:v>
                </c:pt>
                <c:pt idx="21">
                  <c:v>51</c:v>
                </c:pt>
                <c:pt idx="22">
                  <c:v>55</c:v>
                </c:pt>
                <c:pt idx="23">
                  <c:v>61</c:v>
                </c:pt>
                <c:pt idx="24">
                  <c:v>69</c:v>
                </c:pt>
                <c:pt idx="25">
                  <c:v>79</c:v>
                </c:pt>
                <c:pt idx="26">
                  <c:v>84</c:v>
                </c:pt>
                <c:pt idx="27">
                  <c:v>90</c:v>
                </c:pt>
                <c:pt idx="28">
                  <c:v>99</c:v>
                </c:pt>
                <c:pt idx="29">
                  <c:v>103</c:v>
                </c:pt>
                <c:pt idx="30">
                  <c:v>110</c:v>
                </c:pt>
                <c:pt idx="31">
                  <c:v>120</c:v>
                </c:pt>
                <c:pt idx="32">
                  <c:v>125</c:v>
                </c:pt>
                <c:pt idx="33">
                  <c:v>133</c:v>
                </c:pt>
                <c:pt idx="34">
                  <c:v>142</c:v>
                </c:pt>
                <c:pt idx="35">
                  <c:v>151</c:v>
                </c:pt>
                <c:pt idx="36">
                  <c:v>157</c:v>
                </c:pt>
                <c:pt idx="37">
                  <c:v>165</c:v>
                </c:pt>
                <c:pt idx="38">
                  <c:v>173</c:v>
                </c:pt>
                <c:pt idx="39">
                  <c:v>184</c:v>
                </c:pt>
                <c:pt idx="40">
                  <c:v>192</c:v>
                </c:pt>
                <c:pt idx="41">
                  <c:v>202</c:v>
                </c:pt>
                <c:pt idx="42">
                  <c:v>210</c:v>
                </c:pt>
                <c:pt idx="43">
                  <c:v>221</c:v>
                </c:pt>
                <c:pt idx="44">
                  <c:v>229</c:v>
                </c:pt>
                <c:pt idx="45">
                  <c:v>238</c:v>
                </c:pt>
                <c:pt idx="46">
                  <c:v>248</c:v>
                </c:pt>
                <c:pt idx="47">
                  <c:v>253</c:v>
                </c:pt>
                <c:pt idx="48">
                  <c:v>259</c:v>
                </c:pt>
                <c:pt idx="49">
                  <c:v>265</c:v>
                </c:pt>
                <c:pt idx="50">
                  <c:v>276</c:v>
                </c:pt>
                <c:pt idx="51">
                  <c:v>287</c:v>
                </c:pt>
                <c:pt idx="52">
                  <c:v>298</c:v>
                </c:pt>
                <c:pt idx="53">
                  <c:v>307</c:v>
                </c:pt>
                <c:pt idx="54">
                  <c:v>311</c:v>
                </c:pt>
              </c:numCache>
            </c:numRef>
          </c:val>
          <c:smooth val="0"/>
        </c:ser>
        <c:dLbls>
          <c:showLegendKey val="0"/>
          <c:showVal val="0"/>
          <c:showCatName val="0"/>
          <c:showSerName val="0"/>
          <c:showPercent val="0"/>
          <c:showBubbleSize val="0"/>
        </c:dLbls>
        <c:marker val="1"/>
        <c:smooth val="0"/>
        <c:axId val="76457472"/>
        <c:axId val="76459008"/>
      </c:lineChart>
      <c:catAx>
        <c:axId val="76457472"/>
        <c:scaling>
          <c:orientation val="minMax"/>
        </c:scaling>
        <c:delete val="0"/>
        <c:axPos val="b"/>
        <c:numFmt formatCode="General" sourceLinked="1"/>
        <c:majorTickMark val="out"/>
        <c:minorTickMark val="none"/>
        <c:tickLblPos val="nextTo"/>
        <c:crossAx val="76459008"/>
        <c:crosses val="autoZero"/>
        <c:auto val="1"/>
        <c:lblAlgn val="ctr"/>
        <c:lblOffset val="100"/>
        <c:noMultiLvlLbl val="0"/>
      </c:catAx>
      <c:valAx>
        <c:axId val="76459008"/>
        <c:scaling>
          <c:orientation val="minMax"/>
        </c:scaling>
        <c:delete val="0"/>
        <c:axPos val="l"/>
        <c:majorGridlines/>
        <c:numFmt formatCode="General" sourceLinked="1"/>
        <c:majorTickMark val="out"/>
        <c:minorTickMark val="none"/>
        <c:tickLblPos val="nextTo"/>
        <c:crossAx val="76457472"/>
        <c:crosses val="autoZero"/>
        <c:crossBetween val="between"/>
      </c:valAx>
    </c:plotArea>
    <c:legend>
      <c:legendPos val="r"/>
      <c:layout>
        <c:manualLayout>
          <c:xMode val="edge"/>
          <c:yMode val="edge"/>
          <c:x val="0.78525390055409738"/>
          <c:y val="0.36454193049489525"/>
          <c:w val="0.21243128463108779"/>
          <c:h val="0.1151111410740909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5</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Costantin</dc:creator>
  <cp:keywords/>
  <dc:description/>
  <cp:lastModifiedBy>Costantin</cp:lastModifiedBy>
  <cp:revision>52</cp:revision>
  <dcterms:created xsi:type="dcterms:W3CDTF">2012-06-21T17:29:00Z</dcterms:created>
  <dcterms:modified xsi:type="dcterms:W3CDTF">2012-06-22T19:29:00Z</dcterms:modified>
</cp:coreProperties>
</file>