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Standing Format Instructions</w:t>
      </w:r>
    </w:p>
    <w:p>
      <w:pPr>
        <w:spacing w:after="80"/>
        <w:jc w:val="center"/>
      </w:pPr>
      <w:r>
        <w:rPr>
          <w:rFonts w:ascii="Arial" w:cs="Arial" w:eastAsia="Arial" w:hAnsi="Arial"/>
          <w:i/>
          <w:iCs/>
          <w:sz w:val="24"/>
          <w:szCs w:val="24"/>
        </w:rPr>
        <w:t xml:space="preserve">Small Group Bible Study Series</w:t>
      </w:r>
    </w:p>
    <w:p>
      <w:pPr>
        <w:spacing w:after="300"/>
        <w:jc w:val="center"/>
      </w:pPr>
      <w:r>
        <w:rPr>
          <w:rFonts w:ascii="Arial" w:cs="Arial" w:eastAsia="Arial" w:hAnsi="Arial"/>
          <w:b/>
          <w:bCs/>
          <w:sz w:val="24"/>
          <w:szCs w:val="24"/>
        </w:rPr>
        <w:t xml:space="preserve">Version 17 — Updated</w:t>
      </w:r>
    </w:p>
    <w:p>
      <w:pPr>
        <w:pStyle w:val="Heading2"/>
        <w:spacing w:after="140" w:before="260"/>
      </w:pPr>
      <w:r>
        <w:rPr>
          <w:rFonts w:ascii="Arial" w:cs="Arial" w:eastAsia="Arial" w:hAnsi="Arial"/>
          <w:b/>
          <w:bCs/>
          <w:color w:val="2E5496"/>
          <w:sz w:val="26"/>
          <w:szCs w:val="26"/>
        </w:rPr>
        <w:t xml:space="preserve">What's new in Version 17</w:t>
      </w:r>
    </w:p>
    <w:p>
      <w:pPr>
        <w:spacing w:after="160"/>
      </w:pPr>
      <w:r>
        <w:rPr>
          <w:rFonts w:ascii="Arial" w:cs="Arial" w:eastAsia="Arial" w:hAnsi="Arial"/>
          <w:sz w:val="22"/>
          <w:szCs w:val="22"/>
        </w:rPr>
        <w:t xml:space="preserve">A new reference source is added for Mode C (Formal / White Paper) commentary: International &amp; Digital Research Candidates (code IDR; source file claude/international-digital-research-orgs-candidates.md). It covers culture, trend, and demographic research organizations — global baseline sources (Pew Research, the Center for the Study of Global Christianity, Operation World, the Lausanne Movement), European sources (Evangelical Alliance UK, European Evangelical Alliance), Asia/Asia-Pacific sources (Pew's Asia-specific studies, the National Church Life Survey, the Asia Evangelical Alliance), and digital-ministry trend sources (Barna Group's tech/media/faith research, with vendor/industry trend content treated as secondary color rather than citation-grade).</w:t>
      </w:r>
    </w:p>
    <w:p>
      <w:pPr>
        <w:spacing w:after="160"/>
      </w:pPr>
      <w:r>
        <w:rPr>
          <w:rFonts w:ascii="Arial" w:cs="Arial" w:eastAsia="Arial" w:hAnsi="Arial"/>
          <w:sz w:val="22"/>
          <w:szCs w:val="22"/>
        </w:rPr>
        <w:t xml:space="preserve">IDR is distinct from FGR and RTR, which remain the governing bibliography for word definitions, doctrinal notes, cross-references, and expository/pastoral depth. IDR is not a doctrinal source and is not part of the Free Grace / GES theological bibliography — it supplies cultural-relevance and statistical support only, and is scoped to Mode C (Formal / White Paper) work rather than the standard weekly Mode A or Mode B study.</w:t>
      </w:r>
    </w:p>
    <w:p>
      <w:pPr>
        <w:spacing w:after="160"/>
      </w:pPr>
      <w:r>
        <w:rPr>
          <w:rFonts w:ascii="Arial" w:cs="Arial" w:eastAsia="Arial" w:hAnsi="Arial"/>
          <w:sz w:val="22"/>
          <w:szCs w:val="22"/>
        </w:rPr>
        <w:t xml:space="preserve">The standard for using it is narrow and deliberate: before finalizing a Mode C document, a quick check of the IDR list for one supporting statistic or trend finding relevant to the paper's argument is worth doing, even when the paper's core content is not chiefly about trends research. A single relevant data point — a generational-belief-shift figure, a regional demographic figure, a digital-engagement statistic — is sufficient to justify a citation. This is a check-for-one-find step, not a requirement to survey every source in the list every time, and not a mandate to add trends content where none is called for.</w:t>
      </w:r>
    </w:p>
    <w:p>
      <w:pPr>
        <w:spacing w:after="160"/>
      </w:pPr>
      <w:r>
        <w:rPr>
          <w:rFonts w:ascii="Arial" w:cs="Arial" w:eastAsia="Arial" w:hAnsi="Arial"/>
          <w:sz w:val="22"/>
          <w:szCs w:val="22"/>
        </w:rPr>
        <w:t xml:space="preserve">Updated everywhere this appears: the Commentary Source — Three Modes table (Mode C row), the Reference Sources — Full List table (new IDR row), the What to Provide Each Week table (Formal output instruction row), and the Full Preamble copy-paste block.</w:t>
      </w:r>
    </w:p>
    <w:p>
      <w:pPr>
        <w:pStyle w:val="Heading2"/>
        <w:spacing w:after="140" w:before="260"/>
      </w:pPr>
      <w:r>
        <w:rPr>
          <w:rFonts w:ascii="Arial" w:cs="Arial" w:eastAsia="Arial" w:hAnsi="Arial"/>
          <w:b/>
          <w:bCs/>
          <w:color w:val="2E5496"/>
          <w:sz w:val="26"/>
          <w:szCs w:val="26"/>
        </w:rPr>
        <w:t xml:space="preserve">What's new in Version 16</w:t>
      </w:r>
    </w:p>
    <w:p>
      <w:pPr>
        <w:spacing w:after="160"/>
      </w:pPr>
      <w:r>
        <w:rPr>
          <w:rFonts w:ascii="Arial" w:cs="Arial" w:eastAsia="Arial" w:hAnsi="Arial"/>
          <w:sz w:val="22"/>
          <w:szCs w:val="22"/>
        </w:rPr>
        <w:t xml:space="preserve">A Hebrew Word Study is added as a companion to the Greek Word Study in the ④ Self-Study Guide. It is not triggered by a passage or a sermon merely citing or referencing an Old Testament book or verse in passing — a sermon that says "Joel describes it this way... Isaiah describes it this way... Hosea describes it this way" does not require a full word study of Joel, Isaiah, and Hosea, their chapters, or their context. It is triggered when a Hebrew (or Aramaic) term, or a piece of Jewish prayer or liturgical content, is itself a significant, developed point in the message — a term the teacher builds part of the message around, explains, translates, or returns to — the way this week's message built an extended point around the Hebrew word and prayer behind "breaking bread," the Hamotzi.</w:t>
      </w:r>
    </w:p>
    <w:p>
      <w:pPr>
        <w:spacing w:after="160"/>
      </w:pPr>
      <w:r>
        <w:rPr>
          <w:rFonts w:ascii="Arial" w:cs="Arial" w:eastAsia="Arial" w:hAnsi="Arial"/>
          <w:sz w:val="22"/>
          <w:szCs w:val="22"/>
        </w:rPr>
        <w:t xml:space="preserve">When the week's primary passage is itself an Old Testament / Hebrew text, the Hebrew Word Study becomes the primary table in the Self-Study Guide (parallel to how the Greek Word Study functions as the primary table for a New Testament passage), covering the passage's theologically significant Hebrew terms directly — typically 10–14 words, per the same standard the Greek Word Study already follows.</w:t>
      </w:r>
    </w:p>
    <w:p>
      <w:pPr>
        <w:spacing w:after="160"/>
      </w:pPr>
      <w:r>
        <w:rPr>
          <w:rFonts w:ascii="Arial" w:cs="Arial" w:eastAsia="Arial" w:hAnsi="Arial"/>
          <w:sz w:val="22"/>
          <w:szCs w:val="22"/>
        </w:rPr>
        <w:t xml:space="preserve">Seven named sources are available for the Hebrew Word Study, cited selectively per word, the same way the Greek Word Study's six sources are cited selectively: Strong's (STR), Brown-Driver-Briggs (BDB), the Hebrew and Aramaic Lexicon of the Old Testament (HALOT), the Theological Wordbook of the Old Testament (TWOT), Gesenius' Hebrew-Aramaic Lexicon (GHL), Septuagint usage (LXX — how the term was rendered into Greek, connecting an OT/Hebrew word study back to NT vocabulary), and Jewish Liturgical Tradition (JLT — the Siddur, the Passover Haggadah, and other living Jewish prayer or liturgical usage, cited specifically when a term's devotional or liturgical use, not just its lexical range, is part of what the message draws on).</w:t>
      </w:r>
    </w:p>
    <w:p>
      <w:pPr>
        <w:spacing w:after="160"/>
      </w:pPr>
      <w:r>
        <w:rPr>
          <w:rFonts w:ascii="Arial" w:cs="Arial" w:eastAsia="Arial" w:hAnsi="Arial"/>
          <w:sz w:val="22"/>
          <w:szCs w:val="22"/>
        </w:rPr>
        <w:t xml:space="preserve">A Hebrew Grammar Abbreviation Key is added below the Hebrew Word Study table, on the model of the existing Greek grammar key, using Hebrew's own categories (stem, state, aspect) rather than Greek's (case, mood, tense, voice).</w:t>
      </w:r>
    </w:p>
    <w:p>
      <w:pPr>
        <w:spacing w:after="160"/>
      </w:pPr>
      <w:r>
        <w:rPr>
          <w:rFonts w:ascii="Arial" w:cs="Arial" w:eastAsia="Arial" w:hAnsi="Arial"/>
          <w:sz w:val="22"/>
          <w:szCs w:val="22"/>
        </w:rPr>
        <w:t xml:space="preserve">The Reference Sources — Full List table is updated to include BDB, HALOT, TWOT, GHL, and JLT alongside the existing Greek and general sources.</w:t>
      </w:r>
    </w:p>
    <w:p>
      <w:pPr>
        <w:spacing w:after="160"/>
      </w:pPr>
      <w:r>
        <w:rPr>
          <w:rFonts w:ascii="Arial" w:cs="Arial" w:eastAsia="Arial" w:hAnsi="Arial"/>
          <w:sz w:val="22"/>
          <w:szCs w:val="22"/>
        </w:rPr>
        <w:t xml:space="preserve">Updated everywhere this appears: the Self-Study Guide section (a new Hebrew Word Study subsection, positioned after Greek Word Study and before Study Questions), the Reference Sources — Full List table, the What to Provide Each Week table (a new "skip Hebrew this week" special-notes example, mirroring "skip Greek this week"), and the Full Preamble copy-paste block.</w:t>
      </w:r>
    </w:p>
    <w:p>
      <w:pPr>
        <w:pStyle w:val="Heading2"/>
        <w:spacing w:after="140" w:before="260"/>
      </w:pPr>
      <w:r>
        <w:rPr>
          <w:rFonts w:ascii="Arial" w:cs="Arial" w:eastAsia="Arial" w:hAnsi="Arial"/>
          <w:b/>
          <w:bCs/>
          <w:color w:val="2E5496"/>
          <w:sz w:val="26"/>
          <w:szCs w:val="26"/>
        </w:rPr>
        <w:t xml:space="preserve">What's new in Version 15</w:t>
      </w:r>
    </w:p>
    <w:p>
      <w:pPr>
        <w:spacing w:after="160"/>
      </w:pPr>
      <w:r>
        <w:rPr>
          <w:rFonts w:ascii="Arial" w:cs="Arial" w:eastAsia="Arial" w:hAnsi="Arial"/>
          <w:sz w:val="22"/>
          <w:szCs w:val="22"/>
        </w:rPr>
        <w:t xml:space="preserve">A new in-document flagging convention is added for anything Claude is genuinely unsure whether to include verbatim, generalize, or drop — for example, a sermon illustration that may echo a real, identifiable person or case; an ambiguous transcription that could go two ways; or any other content-level judgment call that falls outside the three named Repetition-and-Compression exceptions (visual aids, disfluencies, minor grammar).</w:t>
      </w:r>
    </w:p>
    <w:p>
      <w:pPr>
        <w:spacing w:after="160"/>
      </w:pPr>
      <w:r>
        <w:rPr>
          <w:rFonts w:ascii="Arial" w:cs="Arial" w:eastAsia="Arial" w:hAnsi="Arial"/>
          <w:sz w:val="22"/>
          <w:szCs w:val="22"/>
        </w:rPr>
        <w:t xml:space="preserve">In these cases, Claude no longer decides silently and no longer needs to interrupt the conversation to ask. Instead, the questioned text is left in the document itself, formatted in bold and underlined, so it is visually unmistakable during the requester's own editorial pass. The requester — and only the requester — resolves it: keep as flagged, edit, or delete. This is designed to fit naturally into a workflow where the document is already reviewed before web publication.</w:t>
      </w:r>
    </w:p>
    <w:p>
      <w:pPr>
        <w:spacing w:after="160"/>
      </w:pPr>
      <w:r>
        <w:rPr>
          <w:rFonts w:ascii="Arial" w:cs="Arial" w:eastAsia="Arial" w:hAnsi="Arial"/>
          <w:sz w:val="22"/>
          <w:szCs w:val="22"/>
        </w:rPr>
        <w:t xml:space="preserve">Flagging is reserved for genuine content judgment calls, not routine cleanup. Disfluencies, false starts, and minor grammar continue to be handled silently per the existing rule (no flag needed). A misheard word Claude is confident about (e.g., "Seed" for "sin" at a passage the speaker is visibly quoting) is corrected and disclosed in the Editorial Notes as before, not flagged in-text — flagging is for cases where Claude does not have enough confidence, or where the call is a matter of the requester's own editorial judgment (tone, sensitivity, real-world reference), not a factual correction.</w:t>
      </w:r>
    </w:p>
    <w:p>
      <w:pPr>
        <w:spacing w:after="160"/>
      </w:pPr>
      <w:r>
        <w:rPr>
          <w:rFonts w:ascii="Arial" w:cs="Arial" w:eastAsia="Arial" w:hAnsi="Arial"/>
          <w:sz w:val="22"/>
          <w:szCs w:val="22"/>
        </w:rPr>
        <w:t xml:space="preserve">Example: if a courtroom illustration in a sermon uses language that happens to echo a specific, identifiable real case, Claude does not quietly generalize it and does not quietly keep it — it leaves the original wording in place, in bold and underlined, so the requester sees it and decides.</w:t>
      </w:r>
    </w:p>
    <w:p>
      <w:pPr>
        <w:spacing w:after="160"/>
      </w:pPr>
      <w:r>
        <w:rPr>
          <w:rFonts w:ascii="Arial" w:cs="Arial" w:eastAsia="Arial" w:hAnsi="Arial"/>
          <w:sz w:val="22"/>
          <w:szCs w:val="22"/>
        </w:rPr>
        <w:t xml:space="preserve">Updated everywhere this appears: a new subsection under Commentary Source (In-Document Flagging for Editor Review), and the Full Preamble copy-paste block.</w:t>
      </w:r>
    </w:p>
    <w:p>
      <w:pPr>
        <w:pStyle w:val="Heading2"/>
        <w:spacing w:after="140" w:before="260"/>
      </w:pPr>
      <w:r>
        <w:rPr>
          <w:rFonts w:ascii="Arial" w:cs="Arial" w:eastAsia="Arial" w:hAnsi="Arial"/>
          <w:b/>
          <w:bCs/>
          <w:color w:val="2E5496"/>
          <w:sz w:val="26"/>
          <w:szCs w:val="26"/>
        </w:rPr>
        <w:t xml:space="preserve">What's new in Version 14</w:t>
      </w:r>
    </w:p>
    <w:p>
      <w:pPr>
        <w:spacing w:after="160"/>
      </w:pPr>
      <w:r>
        <w:rPr>
          <w:rFonts w:ascii="Arial" w:cs="Arial" w:eastAsia="Arial" w:hAnsi="Arial"/>
          <w:sz w:val="22"/>
          <w:szCs w:val="22"/>
        </w:rPr>
        <w:t xml:space="preserve">The Mode A compression standard is tightened. Version 13's "Repetition and Illustration" rule — which allowed the same claim, repeated with the same or no illustration, to collapse into one written instance — is retired. Spoken repetition, restated emphasis, and expressive back-and-forth (a courtroom illustration walked through in full, a heading-phrase like "public confrontation" re-announced at each new point) are now treated as the teacher's own delivery and are retained, not condensed. The only material eligible for trimming from a Mode A source is: (a) references to a physical visual aid not reproducible in text, (b) verbal disfluencies and false starts (stutters, filler words, dictation artifacts, accidental word-for-word repeats), and (c) very minor grammar or punctuation smoothing needed for readability. Administrative or self-promotional asides are no longer dropped by default — fold them in rather than delete them; when in doubt, keep it.</w:t>
      </w:r>
    </w:p>
    <w:p>
      <w:pPr>
        <w:spacing w:after="160"/>
      </w:pPr>
      <w:r>
        <w:rPr>
          <w:rFonts w:ascii="Arial" w:cs="Arial" w:eastAsia="Arial" w:hAnsi="Arial"/>
          <w:sz w:val="22"/>
          <w:szCs w:val="22"/>
        </w:rPr>
        <w:t xml:space="preserve">Because of the above, a Mode A Commentary's word-count ratio should now typically run at or above 90–100% of the source transcript (exact Scripture quotations are sometimes longer than the speaker's paraphrase). A ratio well below that is a stronger signal than under Version 13 that the Mechanical Comparison Pass should be re-run before delivery, since the default compression path that used to explain a lower ratio (collapsing redundant restatement) no longer applies.</w:t>
      </w:r>
    </w:p>
    <w:p>
      <w:pPr>
        <w:spacing w:after="160"/>
      </w:pPr>
      <w:r>
        <w:rPr>
          <w:rFonts w:ascii="Arial" w:cs="Arial" w:eastAsia="Arial" w:hAnsi="Arial"/>
          <w:sz w:val="22"/>
          <w:szCs w:val="22"/>
        </w:rPr>
        <w:t xml:space="preserve">Source and Editor are now handled as live inputs, gathered at the time the document is being created — the same way Passage reference or Translation are gathered — rather than inferred by the assistant or left as a static blank line for the requester to fill in after delivery. The assistant asks for these values directly as part of that week's intake if they have not already been given. They are never inferred from a file's author/creator metadata, from a name mentioned in the source audio or transcript, or from any other contextual clue — doing so is treated the same as fabricating a citation. If the requester explicitly defers ("not sure yet," "I'll add it later"), the assistant falls back to a blank input line on the title page — "Source: _______________" / "Editor: _______________" — as a visible placeholder, not a guess.</w:t>
      </w:r>
    </w:p>
    <w:p>
      <w:pPr>
        <w:spacing w:after="160"/>
      </w:pPr>
      <w:r>
        <w:rPr>
          <w:rFonts w:ascii="Arial" w:cs="Arial" w:eastAsia="Arial" w:hAnsi="Arial"/>
          <w:sz w:val="22"/>
          <w:szCs w:val="22"/>
        </w:rPr>
        <w:t xml:space="preserve">Updated everywhere these rules appear: the Commentary Source section (Repetition and Illustration, renamed Repetition and Compression), the Verification Pass — Mandatory for Mode A section, the Title Page section, the Word-Count Transparency Note, the What to Provide Each Week table, and the Full Preamble copy-paste block.</w:t>
      </w:r>
    </w:p>
    <w:p>
      <w:pPr>
        <w:pStyle w:val="Heading2"/>
        <w:spacing w:after="140" w:before="260"/>
      </w:pPr>
      <w:r>
        <w:rPr>
          <w:rFonts w:ascii="Arial" w:cs="Arial" w:eastAsia="Arial" w:hAnsi="Arial"/>
          <w:b/>
          <w:bCs/>
          <w:color w:val="2E5496"/>
          <w:sz w:val="26"/>
          <w:szCs w:val="26"/>
        </w:rPr>
        <w:t xml:space="preserve">What's new in Version 13</w:t>
      </w:r>
    </w:p>
    <w:p>
      <w:pPr>
        <w:spacing w:after="160"/>
      </w:pPr>
      <w:r>
        <w:rPr>
          <w:rFonts w:ascii="Arial" w:cs="Arial" w:eastAsia="Arial" w:hAnsi="Arial"/>
          <w:sz w:val="22"/>
          <w:szCs w:val="22"/>
        </w:rPr>
        <w:t xml:space="preserve">Repetition and Illustration was added as an explicit rule under Commentary Source. (Superseded by Version 14 — see above. Retained here for historical reference.)</w:t>
      </w:r>
    </w:p>
    <w:p>
      <w:pPr>
        <w:spacing w:after="160"/>
      </w:pPr>
      <w:r>
        <w:rPr>
          <w:rFonts w:ascii="Arial" w:cs="Arial" w:eastAsia="Arial" w:hAnsi="Arial"/>
          <w:sz w:val="22"/>
          <w:szCs w:val="22"/>
        </w:rPr>
        <w:t xml:space="preserve">The Word-Count Sanity Check became unconditional — the Content-Unit Checklist and Proper-Noun/Number/Citation Pass run for every Mode A study regardless of word count; the ratio is reported as a transparency figure only, never a skip-this-check gate.</w:t>
      </w:r>
    </w:p>
    <w:p>
      <w:pPr>
        <w:spacing w:after="160"/>
      </w:pPr>
      <w:r>
        <w:rPr>
          <w:rFonts w:ascii="Arial" w:cs="Arial" w:eastAsia="Arial" w:hAnsi="Arial"/>
          <w:sz w:val="22"/>
          <w:szCs w:val="22"/>
        </w:rPr>
        <w:t xml:space="preserve">Verification after drafting became a Mechanical Comparison Pass — an explicit, sentence-level comparison of source against draft — replacing a holistic re-read.</w:t>
      </w:r>
    </w:p>
    <w:p>
      <w:pPr>
        <w:spacing w:after="160"/>
      </w:pPr>
      <w:r>
        <w:rPr>
          <w:rFonts w:ascii="Arial" w:cs="Arial" w:eastAsia="Arial" w:hAnsi="Arial"/>
          <w:sz w:val="22"/>
          <w:szCs w:val="22"/>
        </w:rPr>
        <w:t xml:space="preserve">Findings from the Mechanical Comparison Pass are delivered as a Numbered Findings Table (source excerpt, overlap score, classification, keep/drop judgment) in the Editorial Notes; the requester may reply with item numbers to restore.</w:t>
      </w:r>
    </w:p>
    <w:p>
      <w:pPr>
        <w:pStyle w:val="Heading2"/>
        <w:spacing w:after="140" w:before="260"/>
      </w:pPr>
      <w:r>
        <w:rPr>
          <w:rFonts w:ascii="Arial" w:cs="Arial" w:eastAsia="Arial" w:hAnsi="Arial"/>
          <w:b/>
          <w:bCs/>
          <w:color w:val="2E5496"/>
          <w:sz w:val="26"/>
          <w:szCs w:val="26"/>
        </w:rPr>
        <w:t xml:space="preserve">What's new in Version 12</w:t>
      </w:r>
    </w:p>
    <w:p>
      <w:pPr>
        <w:spacing w:after="160"/>
      </w:pPr>
      <w:r>
        <w:rPr>
          <w:rFonts w:ascii="Arial" w:cs="Arial" w:eastAsia="Arial" w:hAnsi="Arial"/>
          <w:sz w:val="22"/>
          <w:szCs w:val="22"/>
        </w:rPr>
        <w:t xml:space="preserve">Title page attribution became per-week inputs ("Source" and "Editor") instead of a fixed name, since this method is used by multiple authors.</w:t>
      </w:r>
    </w:p>
    <w:p>
      <w:pPr>
        <w:spacing w:after="160"/>
      </w:pPr>
      <w:r>
        <w:rPr>
          <w:rFonts w:ascii="Arial" w:cs="Arial" w:eastAsia="Arial" w:hAnsi="Arial"/>
          <w:sz w:val="22"/>
          <w:szCs w:val="22"/>
        </w:rPr>
        <w:t xml:space="preserve">Title Page attribution renders two lines when both are provided; the Editor line was previously omitted when blank (see Version 14 for the current rule — both lines are now always shown as live inputs or blanks).</w:t>
      </w:r>
    </w:p>
    <w:p>
      <w:pPr>
        <w:spacing w:after="160"/>
      </w:pPr>
      <w:r>
        <w:rPr>
          <w:rFonts w:ascii="Arial" w:cs="Arial" w:eastAsia="Arial" w:hAnsi="Arial"/>
          <w:sz w:val="22"/>
          <w:szCs w:val="22"/>
        </w:rPr>
        <w:t xml:space="preserve">An optional "File name" input was added: if provided, used verbatim (still no version suffixes); otherwise the default naming convention applies.</w:t>
      </w:r>
    </w:p>
    <w:p>
      <w:pPr>
        <w:pStyle w:val="Heading2"/>
        <w:spacing w:after="140" w:before="260"/>
      </w:pPr>
      <w:r>
        <w:rPr>
          <w:rFonts w:ascii="Arial" w:cs="Arial" w:eastAsia="Arial" w:hAnsi="Arial"/>
          <w:b/>
          <w:bCs/>
          <w:color w:val="2E5496"/>
          <w:sz w:val="26"/>
          <w:szCs w:val="26"/>
        </w:rPr>
        <w:t xml:space="preserve">What's new in Version 11</w:t>
      </w:r>
    </w:p>
    <w:p>
      <w:pPr>
        <w:spacing w:after="160"/>
      </w:pPr>
      <w:r>
        <w:rPr>
          <w:rFonts w:ascii="Arial" w:cs="Arial" w:eastAsia="Arial" w:hAnsi="Arial"/>
          <w:sz w:val="22"/>
          <w:szCs w:val="22"/>
        </w:rPr>
        <w:t xml:space="preserve">Verification became a mechanical, checklist-driven process: a numbered Content-Unit Checklist is built from the source before drafting, and each item is tracked as Included or Omitted-with-reason.</w:t>
      </w:r>
    </w:p>
    <w:p>
      <w:pPr>
        <w:spacing w:after="160"/>
      </w:pPr>
      <w:r>
        <w:rPr>
          <w:rFonts w:ascii="Arial" w:cs="Arial" w:eastAsia="Arial" w:hAnsi="Arial"/>
          <w:sz w:val="22"/>
          <w:szCs w:val="22"/>
        </w:rPr>
        <w:t xml:space="preserve">A Proper-Noun / Number / Citation Pass was added: every proper noun, number, and Scripture citation is individually checked against the drafted text after drafting.</w:t>
      </w:r>
    </w:p>
    <w:p>
      <w:pPr>
        <w:spacing w:after="160"/>
      </w:pPr>
      <w:r>
        <w:rPr>
          <w:rFonts w:ascii="Arial" w:cs="Arial" w:eastAsia="Arial" w:hAnsi="Arial"/>
          <w:sz w:val="22"/>
          <w:szCs w:val="22"/>
        </w:rPr>
        <w:t xml:space="preserve">A Word-Count Sanity Check was added as a standing flag (later made unconditional in Version 13, and tightened again in Version 14).</w:t>
      </w:r>
    </w:p>
    <w:p>
      <w:pPr>
        <w:pStyle w:val="Heading2"/>
        <w:spacing w:after="140" w:before="260"/>
      </w:pPr>
      <w:r>
        <w:rPr>
          <w:rFonts w:ascii="Arial" w:cs="Arial" w:eastAsia="Arial" w:hAnsi="Arial"/>
          <w:b/>
          <w:bCs/>
          <w:color w:val="2E5496"/>
          <w:sz w:val="26"/>
          <w:szCs w:val="26"/>
        </w:rPr>
        <w:t xml:space="preserve">What's new in Version 10</w:t>
      </w:r>
    </w:p>
    <w:p>
      <w:pPr>
        <w:spacing w:after="160"/>
      </w:pPr>
      <w:r>
        <w:rPr>
          <w:rFonts w:ascii="Arial" w:cs="Arial" w:eastAsia="Arial" w:hAnsi="Arial"/>
          <w:sz w:val="22"/>
          <w:szCs w:val="22"/>
        </w:rPr>
        <w:t xml:space="preserve">Title page attribution originally included a usage clause tied to one fixed source name (superseded by Version 12's per-week inputs).</w:t>
      </w:r>
    </w:p>
    <w:p>
      <w:pPr>
        <w:spacing w:after="160"/>
      </w:pPr>
      <w:r>
        <w:rPr>
          <w:rFonts w:ascii="Arial" w:cs="Arial" w:eastAsia="Arial" w:hAnsi="Arial"/>
          <w:sz w:val="22"/>
          <w:szCs w:val="22"/>
        </w:rPr>
        <w:t xml:space="preserve">Devotional source broadened from "the sermon outline text" to "the sermon text and outline."</w:t>
      </w:r>
    </w:p>
    <w:p>
      <w:pPr>
        <w:pStyle w:val="Heading2"/>
        <w:spacing w:after="140" w:before="260"/>
      </w:pPr>
      <w:r>
        <w:rPr>
          <w:rFonts w:ascii="Arial" w:cs="Arial" w:eastAsia="Arial" w:hAnsi="Arial"/>
          <w:b/>
          <w:bCs/>
          <w:color w:val="2E5496"/>
          <w:sz w:val="26"/>
          <w:szCs w:val="26"/>
        </w:rPr>
        <w:t xml:space="preserve">What's new in Version 9</w:t>
      </w:r>
    </w:p>
    <w:p>
      <w:pPr>
        <w:spacing w:after="160"/>
      </w:pPr>
      <w:r>
        <w:rPr>
          <w:rFonts w:ascii="Arial" w:cs="Arial" w:eastAsia="Arial" w:hAnsi="Arial"/>
          <w:sz w:val="22"/>
          <w:szCs w:val="22"/>
        </w:rPr>
        <w:t xml:space="preserve">Final Word file naming convention added: [Passage Reference] - [Sermon/Study Title].docx, colons replaced with periods, no version suffixes or draft labels in the delivered filename.</w:t>
      </w:r>
    </w:p>
    <w:p>
      <w:pPr>
        <w:pStyle w:val="Heading2"/>
        <w:spacing w:after="140" w:before="260"/>
      </w:pPr>
      <w:r>
        <w:rPr>
          <w:rFonts w:ascii="Arial" w:cs="Arial" w:eastAsia="Arial" w:hAnsi="Arial"/>
          <w:b/>
          <w:bCs/>
          <w:color w:val="2E5496"/>
          <w:sz w:val="26"/>
          <w:szCs w:val="26"/>
        </w:rPr>
        <w:t xml:space="preserve">What's new in Version 8</w:t>
      </w:r>
    </w:p>
    <w:p>
      <w:pPr>
        <w:spacing w:after="160"/>
      </w:pPr>
      <w:r>
        <w:rPr>
          <w:rFonts w:ascii="Arial" w:cs="Arial" w:eastAsia="Arial" w:hAnsi="Arial"/>
          <w:sz w:val="22"/>
          <w:szCs w:val="22"/>
        </w:rPr>
        <w:t xml:space="preserve">Verification became automatic and mandatory for Mode A studies, decoupled from the "full merge" / "condensed merge" keywords, which now control only how much material is included, not whether it is checked.</w:t>
      </w:r>
    </w:p>
    <w:p>
      <w:pPr>
        <w:spacing w:after="160"/>
      </w:pPr>
      <w:r>
        <w:rPr>
          <w:rFonts w:ascii="Arial" w:cs="Arial" w:eastAsia="Arial" w:hAnsi="Arial"/>
          <w:sz w:val="22"/>
          <w:szCs w:val="22"/>
        </w:rPr>
        <w:t xml:space="preserve">The old pre-finalization Content Fidelity Note was replaced by a post-draft Editorial Notes report delivered alongside the finished document.</w:t>
      </w:r>
    </w:p>
    <w:p>
      <w:pPr>
        <w:spacing w:after="160"/>
      </w:pPr>
      <w:r>
        <w:rPr>
          <w:rFonts w:ascii="Arial" w:cs="Arial" w:eastAsia="Arial" w:hAnsi="Arial"/>
          <w:sz w:val="22"/>
          <w:szCs w:val="22"/>
        </w:rPr>
        <w:t xml:space="preserve">New Special Notes keyword: "skip verification." Corrections to plainly mistaken source material are made silently in the draft but must always be listed in the Editorial Notes.</w:t>
      </w:r>
    </w:p>
    <w:p>
      <w:pPr>
        <w:pStyle w:val="Heading2"/>
        <w:spacing w:after="140" w:before="260"/>
      </w:pPr>
      <w:r>
        <w:rPr>
          <w:rFonts w:ascii="Arial" w:cs="Arial" w:eastAsia="Arial" w:hAnsi="Arial"/>
          <w:b/>
          <w:bCs/>
          <w:color w:val="2E5496"/>
          <w:sz w:val="26"/>
          <w:szCs w:val="26"/>
        </w:rPr>
        <w:t xml:space="preserve">What's new in Version 7</w:t>
      </w:r>
    </w:p>
    <w:p>
      <w:pPr>
        <w:spacing w:after="160"/>
      </w:pPr>
      <w:r>
        <w:rPr>
          <w:rFonts w:ascii="Arial" w:cs="Arial" w:eastAsia="Arial" w:hAnsi="Arial"/>
          <w:sz w:val="22"/>
          <w:szCs w:val="22"/>
        </w:rPr>
        <w:t xml:space="preserve">The outline was defined as a placement-and-sequence scaffold only, not a content filter. Mode A commentary must include every distinct statement, cross-reference, illustration, and aside from the source by default.</w:t>
      </w:r>
    </w:p>
    <w:p>
      <w:pPr>
        <w:spacing w:after="160"/>
      </w:pPr>
      <w:r>
        <w:rPr>
          <w:rFonts w:ascii="Arial" w:cs="Arial" w:eastAsia="Arial" w:hAnsi="Arial"/>
          <w:sz w:val="22"/>
          <w:szCs w:val="22"/>
        </w:rPr>
        <w:t xml:space="preserve">"Nothing omitted" was defined explicitly, with named exceptions for silent omission (later narrowed further in Version 14).</w:t>
      </w:r>
    </w:p>
    <w:p>
      <w:pPr>
        <w:spacing w:after="160"/>
      </w:pPr>
      <w:r>
        <w:rPr>
          <w:rFonts w:ascii="Arial" w:cs="Arial" w:eastAsia="Arial" w:hAnsi="Arial"/>
          <w:sz w:val="22"/>
          <w:szCs w:val="22"/>
        </w:rPr>
        <w:t xml:space="preserve">Embedded images in a source file may be extracted and inserted as a captioned figure near the relevant section.</w:t>
      </w:r>
    </w:p>
    <w:p>
      <w:pPr>
        <w:pStyle w:val="Heading2"/>
        <w:spacing w:after="140" w:before="260"/>
      </w:pPr>
      <w:r>
        <w:rPr>
          <w:rFonts w:ascii="Arial" w:cs="Arial" w:eastAsia="Arial" w:hAnsi="Arial"/>
          <w:b/>
          <w:bCs/>
          <w:color w:val="2E5496"/>
          <w:sz w:val="26"/>
          <w:szCs w:val="26"/>
        </w:rPr>
        <w:t xml:space="preserve">Carried forward from Version 6</w:t>
      </w:r>
    </w:p>
    <w:p>
      <w:pPr>
        <w:spacing w:after="160"/>
      </w:pPr>
      <w:r>
        <w:rPr>
          <w:rFonts w:ascii="Arial" w:cs="Arial" w:eastAsia="Arial" w:hAnsi="Arial"/>
          <w:sz w:val="22"/>
          <w:szCs w:val="22"/>
        </w:rPr>
        <w:t xml:space="preserve">Free Grace / GES interpretive framework governs Mode B and Mode C commentary by default — see Theological Default section below.</w:t>
      </w:r>
    </w:p>
    <w:p>
      <w:pPr>
        <w:spacing w:after="160"/>
      </w:pPr>
      <w:r>
        <w:rPr>
          <w:rFonts w:ascii="Arial" w:cs="Arial" w:eastAsia="Arial" w:hAnsi="Arial"/>
          <w:sz w:val="22"/>
          <w:szCs w:val="22"/>
        </w:rPr>
        <w:t xml:space="preserve">Sermon content (Mode A) always overrides the default — GES applies only in the absence of a governing sermon.</w:t>
      </w:r>
    </w:p>
    <w:p>
      <w:pPr>
        <w:spacing w:after="160"/>
      </w:pPr>
      <w:r>
        <w:rPr>
          <w:rFonts w:ascii="Arial" w:cs="Arial" w:eastAsia="Arial" w:hAnsi="Arial"/>
          <w:sz w:val="22"/>
          <w:szCs w:val="22"/>
        </w:rPr>
        <w:t xml:space="preserve">Greek Word Study includes a sixth named source: Septuagint (LXX) usage.</w:t>
      </w:r>
    </w:p>
    <w:p>
      <w:pPr>
        <w:spacing w:after="160"/>
      </w:pPr>
      <w:r>
        <w:rPr>
          <w:rFonts w:ascii="Arial" w:cs="Arial" w:eastAsia="Arial" w:hAnsi="Arial"/>
          <w:sz w:val="22"/>
          <w:szCs w:val="22"/>
        </w:rPr>
        <w:t xml:space="preserve">Nominal alternative readings may be noted (not adopted) in Mode C via endnote, or in Mode B only if specifically requested.</w:t>
      </w:r>
    </w:p>
    <w:p>
      <w:pPr>
        <w:pStyle w:val="Heading2"/>
        <w:spacing w:after="140" w:before="260"/>
      </w:pPr>
      <w:r>
        <w:rPr>
          <w:rFonts w:ascii="Arial" w:cs="Arial" w:eastAsia="Arial" w:hAnsi="Arial"/>
          <w:b/>
          <w:bCs/>
          <w:color w:val="2E5496"/>
          <w:sz w:val="26"/>
          <w:szCs w:val="26"/>
        </w:rPr>
        <w:t xml:space="preserve">Carried forward from Version 5</w:t>
      </w:r>
    </w:p>
    <w:p>
      <w:pPr>
        <w:spacing w:after="160"/>
      </w:pPr>
      <w:r>
        <w:rPr>
          <w:rFonts w:ascii="Arial" w:cs="Arial" w:eastAsia="Arial" w:hAnsi="Arial"/>
          <w:sz w:val="22"/>
          <w:szCs w:val="22"/>
        </w:rPr>
        <w:t xml:space="preserve">Greek word study draws from five prior named sources: Strong's, Thayer's, Robertson, Vine's, Vincent's — cited selectively, not exhaustively.</w:t>
      </w:r>
    </w:p>
    <w:p>
      <w:pPr>
        <w:spacing w:after="160"/>
      </w:pPr>
      <w:r>
        <w:rPr>
          <w:rFonts w:ascii="Arial" w:cs="Arial" w:eastAsia="Arial" w:hAnsi="Arial"/>
          <w:sz w:val="22"/>
          <w:szCs w:val="22"/>
        </w:rPr>
        <w:t xml:space="preserve">Significance in context line is always present regardless of which named sources are cited above it.</w:t>
      </w:r>
    </w:p>
    <w:p>
      <w:pPr>
        <w:pStyle w:val="Heading2"/>
        <w:spacing w:after="140" w:before="260"/>
      </w:pPr>
      <w:r>
        <w:rPr>
          <w:rFonts w:ascii="Arial" w:cs="Arial" w:eastAsia="Arial" w:hAnsi="Arial"/>
          <w:b/>
          <w:bCs/>
          <w:color w:val="2E5496"/>
          <w:sz w:val="26"/>
          <w:szCs w:val="26"/>
        </w:rPr>
        <w:t xml:space="preserve">Carried forward from Version 3</w:t>
      </w:r>
    </w:p>
    <w:p>
      <w:pPr>
        <w:spacing w:after="160"/>
      </w:pPr>
      <w:r>
        <w:rPr>
          <w:rFonts w:ascii="Arial" w:cs="Arial" w:eastAsia="Arial" w:hAnsi="Arial"/>
          <w:sz w:val="22"/>
          <w:szCs w:val="22"/>
        </w:rPr>
        <w:t xml:space="preserve">Section order: ① Text → ② Devotional → ③ Commentary → ④ Self-Study Guide → ⑤ Application.</w:t>
      </w:r>
    </w:p>
    <w:p>
      <w:pPr>
        <w:spacing w:after="160"/>
      </w:pPr>
      <w:r>
        <w:rPr>
          <w:rFonts w:ascii="Arial" w:cs="Arial" w:eastAsia="Arial" w:hAnsi="Arial"/>
          <w:sz w:val="22"/>
          <w:szCs w:val="22"/>
        </w:rPr>
        <w:t xml:space="preserve">Devotional drawn from the sermon text and outline, not independently composed.</w:t>
      </w:r>
    </w:p>
    <w:p>
      <w:pPr>
        <w:spacing w:after="160"/>
      </w:pPr>
      <w:r>
        <w:rPr>
          <w:rFonts w:ascii="Arial" w:cs="Arial" w:eastAsia="Arial" w:hAnsi="Arial"/>
          <w:sz w:val="22"/>
          <w:szCs w:val="22"/>
        </w:rPr>
        <w:t xml:space="preserve">Study questions in ④ focused on commentary text; leader answer boxes required for all 5 questions.</w:t>
      </w:r>
    </w:p>
    <w:p>
      <w:pPr>
        <w:spacing w:after="160"/>
      </w:pPr>
      <w:r>
        <w:rPr>
          <w:rFonts w:ascii="Arial" w:cs="Arial" w:eastAsia="Arial" w:hAnsi="Arial"/>
          <w:sz w:val="22"/>
          <w:szCs w:val="22"/>
        </w:rPr>
        <w:t xml:space="preserve">Application section may draw from commentary or any post-commentary section plus FGR.docx.</w:t>
      </w:r>
    </w:p>
    <w:p>
      <w:r>
        <w:br w:type="page"/>
      </w:r>
    </w:p>
    <w:p>
      <w:pPr>
        <w:pStyle w:val="Heading1"/>
        <w:spacing w:after="160" w:before="320"/>
      </w:pPr>
      <w:r>
        <w:rPr>
          <w:rFonts w:ascii="Arial" w:cs="Arial" w:eastAsia="Arial" w:hAnsi="Arial"/>
          <w:b/>
          <w:bCs/>
          <w:color w:val="1F3864"/>
          <w:sz w:val="30"/>
          <w:szCs w:val="30"/>
        </w:rPr>
        <w:t xml:space="preserve">Section Order — Always in This Order</w:t>
      </w:r>
    </w:p>
    <w:p>
      <w:pPr>
        <w:spacing w:after="160"/>
      </w:pPr>
      <w:r>
        <w:rPr>
          <w:rFonts w:ascii="Arial" w:cs="Arial" w:eastAsia="Arial" w:hAnsi="Arial"/>
          <w:sz w:val="22"/>
          <w:szCs w:val="22"/>
        </w:rPr>
        <w:t xml:space="preserve">The five sections appear in this fixed order in every document, without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① Text (NKJV/NASB)</w:t>
            </w:r>
          </w:p>
        </w:tc>
        <w:tc>
          <w:tcPr>
            <w:tcW w:type="dxa" w:w="1872"/>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② Devotional</w:t>
            </w:r>
          </w:p>
        </w:tc>
        <w:tc>
          <w:tcPr>
            <w:tcW w:type="dxa" w:w="1872"/>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③ Commentary</w:t>
            </w:r>
          </w:p>
        </w:tc>
        <w:tc>
          <w:tcPr>
            <w:tcW w:type="dxa" w:w="1872"/>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④ Self-Study Guide</w:t>
            </w:r>
          </w:p>
        </w:tc>
        <w:tc>
          <w:tcPr>
            <w:tcW w:type="dxa" w:w="1872"/>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⑤ Application</w:t>
            </w:r>
          </w:p>
        </w:tc>
      </w:tr>
      <w:tr>
        <w:tc>
          <w:tcPr>
            <w:tcW w:type="dxa" w:w="1872"/>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Foundation — Everyone</w:t>
            </w:r>
          </w:p>
        </w:tc>
        <w:tc>
          <w:tcPr>
            <w:tcW w:type="dxa" w:w="1872"/>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Personal prep — All group members</w:t>
            </w:r>
          </w:p>
        </w:tc>
        <w:tc>
          <w:tcPr>
            <w:tcW w:type="dxa" w:w="1872"/>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Teacher / Leader preparation</w:t>
            </w:r>
          </w:p>
        </w:tc>
        <w:tc>
          <w:tcPr>
            <w:tcW w:type="dxa" w:w="1872"/>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Group meeting — Small group</w:t>
            </w:r>
          </w:p>
        </w:tc>
        <w:tc>
          <w:tcPr>
            <w:tcW w:type="dxa" w:w="1872"/>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Closes the study — personal &amp; corporate</w:t>
            </w:r>
          </w:p>
        </w:tc>
      </w:tr>
    </w:tbl>
    <w:p>
      <w:pPr>
        <w:spacing w:after="160"/>
        <w:jc w:val="left"/>
      </w:pPr>
      <w:r>
        <w:rPr>
          <w:rFonts w:ascii="Arial" w:cs="Arial" w:eastAsia="Arial" w:hAnsi="Arial"/>
          <w:i/>
          <w:iCs/>
          <w:sz w:val="22"/>
          <w:szCs w:val="22"/>
        </w:rPr>
        <w:t xml:space="preserve">⑤ Application closes each study and draws from all sections above, plus FGR.docx.</w:t>
      </w:r>
    </w:p>
    <w:p>
      <w:pPr>
        <w:pStyle w:val="Heading1"/>
        <w:spacing w:after="160" w:before="320"/>
      </w:pPr>
      <w:r>
        <w:rPr>
          <w:rFonts w:ascii="Arial" w:cs="Arial" w:eastAsia="Arial" w:hAnsi="Arial"/>
          <w:b/>
          <w:bCs/>
          <w:color w:val="1F3864"/>
          <w:sz w:val="30"/>
          <w:szCs w:val="30"/>
        </w:rPr>
        <w:t xml:space="preserve">Document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Setting</w:t>
            </w:r>
          </w:p>
        </w:tc>
        <w:tc>
          <w:tcPr>
            <w:tcW w:type="dxa" w:w="63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Specification</w:t>
            </w:r>
          </w:p>
        </w:tc>
      </w:tr>
      <w:tr>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File type</w:t>
            </w:r>
          </w:p>
        </w:tc>
        <w:tc>
          <w:tcPr>
            <w:tcW w:type="dxa" w:w="63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Single Word (.docx) file</w:t>
            </w:r>
          </w:p>
        </w:tc>
      </w:tr>
      <w:tr>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File name</w:t>
            </w:r>
          </w:p>
        </w:tc>
        <w:tc>
          <w:tcPr>
            <w:tcW w:type="dxa" w:w="63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[Passage Reference] - [Sermon/Study Title].docx by default (colons → periods, no version suffixes). Overridden by the week's File name input when one is provided.</w:t>
            </w:r>
          </w:p>
        </w:tc>
      </w:tr>
      <w:tr>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Font</w:t>
            </w:r>
          </w:p>
        </w:tc>
        <w:tc>
          <w:tcPr>
            <w:tcW w:type="dxa" w:w="63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Arial throughout</w:t>
            </w:r>
          </w:p>
        </w:tc>
      </w:tr>
      <w:tr>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Page size</w:t>
            </w:r>
          </w:p>
        </w:tc>
        <w:tc>
          <w:tcPr>
            <w:tcW w:type="dxa" w:w="63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US Letter (8.5" × 11")</w:t>
            </w:r>
          </w:p>
        </w:tc>
      </w:tr>
      <w:tr>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Margins</w:t>
            </w:r>
          </w:p>
        </w:tc>
        <w:tc>
          <w:tcPr>
            <w:tcW w:type="dxa" w:w="63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1-inch all sides</w:t>
            </w:r>
          </w:p>
        </w:tc>
      </w:tr>
      <w:tr>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Footer</w:t>
            </w:r>
          </w:p>
        </w:tc>
        <w:tc>
          <w:tcPr>
            <w:tcW w:type="dxa" w:w="63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Page X of XX — right-aligned — every page</w:t>
            </w:r>
          </w:p>
        </w:tc>
      </w:tr>
      <w:tr>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Section breaks</w:t>
            </w:r>
          </w:p>
        </w:tc>
        <w:tc>
          <w:tcPr>
            <w:tcW w:type="dxa" w:w="63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Each major section (② ③ ④ ⑤) starts on a new page</w:t>
            </w:r>
          </w:p>
        </w:tc>
      </w:tr>
    </w:tbl>
    <w:p>
      <w:pPr>
        <w:pStyle w:val="Heading1"/>
        <w:spacing w:after="160" w:before="320"/>
      </w:pPr>
      <w:r>
        <w:rPr>
          <w:rFonts w:ascii="Arial" w:cs="Arial" w:eastAsia="Arial" w:hAnsi="Arial"/>
          <w:b/>
          <w:bCs/>
          <w:color w:val="1F3864"/>
          <w:sz w:val="30"/>
          <w:szCs w:val="30"/>
        </w:rPr>
        <w:t xml:space="preserve">Title Page — Revised in Version 14</w:t>
      </w:r>
    </w:p>
    <w:p>
      <w:pPr>
        <w:spacing w:after="160"/>
      </w:pPr>
      <w:r>
        <w:rPr>
          <w:rFonts w:ascii="Arial" w:cs="Arial" w:eastAsia="Arial" w:hAnsi="Arial"/>
          <w:sz w:val="22"/>
          <w:szCs w:val="22"/>
        </w:rPr>
        <w:t xml:space="preserve">Passage reference, series title, attribution line, four-column color-coded flow guide (three rows: labels / purpose / audience).</w:t>
      </w:r>
    </w:p>
    <w:p>
      <w:pPr>
        <w:pStyle w:val="Heading3"/>
        <w:spacing w:after="120" w:before="200"/>
      </w:pPr>
      <w:r>
        <w:rPr>
          <w:rFonts w:ascii="Arial" w:cs="Arial" w:eastAsia="Arial" w:hAnsi="Arial"/>
          <w:b/>
          <w:bCs/>
          <w:color w:val="375623"/>
          <w:sz w:val="23"/>
          <w:szCs w:val="23"/>
        </w:rPr>
        <w:t xml:space="preserve">Attribution — Source and Editor are live inputs, gathered at the time the document is being created:</w:t>
      </w:r>
    </w:p>
    <w:p>
      <w:pPr>
        <w:spacing w:after="160"/>
      </w:pPr>
      <w:r>
        <w:rPr>
          <w:rFonts w:ascii="Arial" w:cs="Arial" w:eastAsia="Arial" w:hAnsi="Arial"/>
          <w:sz w:val="22"/>
          <w:szCs w:val="22"/>
        </w:rPr>
        <w:t xml:space="preserve">Ask for Source and Editor directly, the same way Passage reference or Translation are gathered, if they have not already been provided that week.</w:t>
      </w:r>
    </w:p>
    <w:p>
      <w:pPr>
        <w:spacing w:after="160"/>
      </w:pPr>
      <w:r>
        <w:rPr>
          <w:rFonts w:ascii="Arial" w:cs="Arial" w:eastAsia="Arial" w:hAnsi="Arial"/>
          <w:sz w:val="22"/>
          <w:szCs w:val="22"/>
        </w:rPr>
        <w:t xml:space="preserve">Never infer either value — not from a file's author/creator metadata, not from a name spoken in the source audio or transcript, not from any other contextual clue. Treat an inferred attribution the same as a fabricated citation: not permitted, even when the inference seems obviously correct.</w:t>
      </w:r>
    </w:p>
    <w:p>
      <w:pPr>
        <w:spacing w:after="160"/>
      </w:pPr>
      <w:r>
        <w:rPr>
          <w:rFonts w:ascii="Arial" w:cs="Arial" w:eastAsia="Arial" w:hAnsi="Arial"/>
          <w:sz w:val="22"/>
          <w:szCs w:val="22"/>
        </w:rPr>
        <w:t xml:space="preserve">If a value is provided, render it as "Source: [input] · used by permission" and, on the next line, "Editor: [input]."</w:t>
      </w:r>
    </w:p>
    <w:p>
      <w:pPr>
        <w:spacing w:after="160"/>
      </w:pPr>
      <w:r>
        <w:rPr>
          <w:rFonts w:ascii="Arial" w:cs="Arial" w:eastAsia="Arial" w:hAnsi="Arial"/>
          <w:sz w:val="22"/>
          <w:szCs w:val="22"/>
        </w:rPr>
        <w:t xml:space="preserve">If the requester explicitly defers (e.g., "not sure yet," "I'll fill that in"), fall back to a visible blank input line in the delivered file — "Source: _______________" / "Editor: _______________" — rather than omitting the line or guessing.</w:t>
      </w:r>
    </w:p>
    <w:p>
      <w:pPr>
        <w:spacing w:after="160"/>
      </w:pPr>
      <w:r>
        <w:rPr>
          <w:rFonts w:ascii="Arial" w:cs="Arial" w:eastAsia="Arial" w:hAnsi="Arial"/>
          <w:sz w:val="22"/>
          <w:szCs w:val="22"/>
        </w:rPr>
        <w:t xml:space="preserve">Flow guide colors: navy (① Text) · green (② Devotional) · blue (③ Commentary) · purple (④ Self-Study Guide).</w:t>
      </w:r>
    </w:p>
    <w:p>
      <w:pPr>
        <w:pStyle w:val="Heading1"/>
        <w:spacing w:after="160" w:before="320"/>
      </w:pPr>
      <w:r>
        <w:rPr>
          <w:rFonts w:ascii="Arial" w:cs="Arial" w:eastAsia="Arial" w:hAnsi="Arial"/>
          <w:b/>
          <w:bCs/>
          <w:color w:val="1F3864"/>
          <w:sz w:val="30"/>
          <w:szCs w:val="30"/>
        </w:rPr>
        <w:t xml:space="preserve">Section Specifications</w:t>
      </w:r>
    </w:p>
    <w:p>
      <w:pPr>
        <w:pStyle w:val="Heading2"/>
        <w:spacing w:after="140" w:before="260"/>
      </w:pPr>
      <w:r>
        <w:rPr>
          <w:rFonts w:ascii="Arial" w:cs="Arial" w:eastAsia="Arial" w:hAnsi="Arial"/>
          <w:b/>
          <w:bCs/>
          <w:color w:val="2E5496"/>
          <w:sz w:val="26"/>
          <w:szCs w:val="26"/>
        </w:rPr>
        <w:t xml:space="preserve">① The Biblical Text</w:t>
      </w:r>
    </w:p>
    <w:p>
      <w:pPr>
        <w:spacing w:after="160"/>
      </w:pPr>
      <w:r>
        <w:rPr>
          <w:rFonts w:ascii="Arial" w:cs="Arial" w:eastAsia="Arial" w:hAnsi="Arial"/>
          <w:sz w:val="22"/>
          <w:szCs w:val="22"/>
        </w:rPr>
        <w:t xml:space="preserve">Translation: NKJV (default) or NASB.</w:t>
      </w:r>
    </w:p>
    <w:p>
      <w:pPr>
        <w:spacing w:after="160"/>
      </w:pPr>
      <w:r>
        <w:rPr>
          <w:rFonts w:ascii="Arial" w:cs="Arial" w:eastAsia="Arial" w:hAnsi="Arial"/>
          <w:sz w:val="22"/>
          <w:szCs w:val="22"/>
        </w:rPr>
        <w:t xml:space="preserve">Verse numbers: purple bold #7030A0. Verse text: italic, dark grey #333333.</w:t>
      </w:r>
    </w:p>
    <w:p>
      <w:pPr>
        <w:pStyle w:val="Heading2"/>
        <w:spacing w:after="140" w:before="260"/>
      </w:pPr>
      <w:r>
        <w:rPr>
          <w:rFonts w:ascii="Arial" w:cs="Arial" w:eastAsia="Arial" w:hAnsi="Arial"/>
          <w:b/>
          <w:bCs/>
          <w:color w:val="2E5496"/>
          <w:sz w:val="26"/>
          <w:szCs w:val="26"/>
        </w:rPr>
        <w:t xml:space="preserve">② Devotional</w:t>
      </w:r>
    </w:p>
    <w:p>
      <w:pPr>
        <w:spacing w:after="160"/>
      </w:pPr>
      <w:r>
        <w:rPr>
          <w:rFonts w:ascii="Arial" w:cs="Arial" w:eastAsia="Arial" w:hAnsi="Arial"/>
          <w:sz w:val="22"/>
          <w:szCs w:val="22"/>
        </w:rPr>
        <w:t xml:space="preserve">Position: immediately after the Biblical Text.</w:t>
      </w:r>
    </w:p>
    <w:p>
      <w:pPr>
        <w:spacing w:after="160"/>
      </w:pPr>
      <w:r>
        <w:rPr>
          <w:rFonts w:ascii="Arial" w:cs="Arial" w:eastAsia="Arial" w:hAnsi="Arial"/>
          <w:sz w:val="22"/>
          <w:szCs w:val="22"/>
        </w:rPr>
        <w:t xml:space="preserve">Source: drawn from the sermon text and outline — theological content rendered in warm, heart-preparatory language.</w:t>
      </w:r>
    </w:p>
    <w:p>
      <w:pPr>
        <w:spacing w:after="160"/>
      </w:pPr>
      <w:r>
        <w:rPr>
          <w:rFonts w:ascii="Arial" w:cs="Arial" w:eastAsia="Arial" w:hAnsi="Arial"/>
          <w:sz w:val="22"/>
          <w:szCs w:val="22"/>
        </w:rPr>
        <w:t xml:space="preserve">Body: 150–200 words. Pull-quote fill #F0F4EE, thick green left border.</w:t>
      </w:r>
    </w:p>
    <w:p>
      <w:pPr>
        <w:spacing w:after="160"/>
      </w:pPr>
      <w:r>
        <w:rPr>
          <w:rFonts w:ascii="Arial" w:cs="Arial" w:eastAsia="Arial" w:hAnsi="Arial"/>
          <w:sz w:val="22"/>
          <w:szCs w:val="22"/>
        </w:rPr>
        <w:t xml:space="preserve">Structure: pull-quote → 2–3 paragraphs (each from a specific outline point) → 3 reflection questions → closing italic line.</w:t>
      </w:r>
    </w:p>
    <w:p>
      <w:pPr>
        <w:pStyle w:val="Heading2"/>
        <w:spacing w:after="140" w:before="260"/>
      </w:pPr>
      <w:r>
        <w:rPr>
          <w:rFonts w:ascii="Arial" w:cs="Arial" w:eastAsia="Arial" w:hAnsi="Arial"/>
          <w:b/>
          <w:bCs/>
          <w:color w:val="2E5496"/>
          <w:sz w:val="26"/>
          <w:szCs w:val="26"/>
        </w:rPr>
        <w:t xml:space="preserve">③ Commentary — Sermon Outline with Notes</w:t>
      </w:r>
    </w:p>
    <w:p>
      <w:pPr>
        <w:spacing w:after="160"/>
      </w:pPr>
      <w:r>
        <w:rPr>
          <w:rFonts w:ascii="Arial" w:cs="Arial" w:eastAsia="Arial" w:hAnsi="Arial"/>
          <w:sz w:val="22"/>
          <w:szCs w:val="22"/>
        </w:rPr>
        <w:t xml:space="preserve">Position: after the Devotional.</w:t>
      </w:r>
    </w:p>
    <w:p>
      <w:pPr>
        <w:spacing w:after="160"/>
      </w:pPr>
      <w:r>
        <w:rPr>
          <w:rFonts w:ascii="Arial" w:cs="Arial" w:eastAsia="Arial" w:hAnsi="Arial"/>
          <w:sz w:val="22"/>
          <w:szCs w:val="22"/>
        </w:rPr>
        <w:t xml:space="preserve">Label: 'Teacher preparation resource · Full text organized under outline headings'</w:t>
      </w:r>
    </w:p>
    <w:p>
      <w:pPr>
        <w:spacing w:after="160"/>
      </w:pPr>
      <w:r>
        <w:rPr>
          <w:rFonts w:ascii="Arial" w:cs="Arial" w:eastAsia="Arial" w:hAnsi="Arial"/>
          <w:sz w:val="22"/>
          <w:szCs w:val="22"/>
        </w:rPr>
        <w:t xml:space="preserve">Opens with a proposition box stating what the whole passage teaches.</w:t>
      </w:r>
    </w:p>
    <w:p>
      <w:pPr>
        <w:pStyle w:val="Heading3"/>
        <w:spacing w:after="120" w:before="200"/>
      </w:pPr>
      <w:r>
        <w:rPr>
          <w:rFonts w:ascii="Arial" w:cs="Arial" w:eastAsia="Arial" w:hAnsi="Arial"/>
          <w:b/>
          <w:bCs/>
          <w:color w:val="375623"/>
          <w:sz w:val="23"/>
          <w:szCs w:val="23"/>
        </w:rPr>
        <w:t xml:space="preserve">Commentary Source — Three Modes — Updated in Version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Mode</w:t>
            </w:r>
          </w:p>
        </w:tc>
        <w:tc>
          <w:tcPr>
            <w:tcW w:type="dxa" w:w="27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When it applies</w:t>
            </w:r>
          </w:p>
        </w:tc>
        <w:tc>
          <w:tcPr>
            <w:tcW w:type="dxa" w:w="42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How to invoke it</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A — Sermon-based</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 sermon transcript is provided</w:t>
            </w:r>
          </w:p>
        </w:tc>
        <w:tc>
          <w:tcPr>
            <w:tcW w:type="dxa" w:w="42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Default. No special instruction needed. Organize all sermon text under outline headings.</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B — Research-based</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No sermon is provided</w:t>
            </w:r>
          </w:p>
        </w:tc>
        <w:tc>
          <w:tcPr>
            <w:tcW w:type="dxa" w:w="42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Add to preamble: 'No sermon — develop commentary from the passage. Use FGR / RTR as advised.'</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C — Formal / White Paper</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Scholarly or formal output required</w:t>
            </w:r>
          </w:p>
        </w:tc>
        <w:tc>
          <w:tcPr>
            <w:tcW w:type="dxa" w:w="42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Add: 'Formal output — use endnote citations.' Endnotes appear at end of commentary section. Also check IDR (International &amp; Digital Research Candidates) for one supporting cultural or statistical citation relevant to the paper's argument — new in Version 17.</w:t>
            </w:r>
          </w:p>
        </w:tc>
      </w:tr>
    </w:tbl>
    <w:p>
      <w:pPr>
        <w:spacing w:after="160"/>
      </w:pPr>
      <w:r>
        <w:rPr>
          <w:rFonts w:ascii="Arial" w:cs="Arial" w:eastAsia="Arial" w:hAnsi="Arial"/>
          <w:sz w:val="22"/>
          <w:szCs w:val="22"/>
        </w:rPr>
        <w:t xml:space="preserve">Mode A — Sermon-based (default): merge sermon text into outline headings; nothing omitted; ends with the sermon's closing line.</w:t>
      </w:r>
    </w:p>
    <w:p>
      <w:pPr>
        <w:spacing w:after="160"/>
      </w:pPr>
      <w:r>
        <w:rPr>
          <w:rFonts w:ascii="Arial" w:cs="Arial" w:eastAsia="Arial" w:hAnsi="Arial"/>
          <w:sz w:val="22"/>
          <w:szCs w:val="22"/>
        </w:rPr>
        <w:t xml:space="preserve">The outline determines placement and sequence only — it does not determine inclusion. Every distinct statement, cross-reference, illustration, and aside present in the sermon or reference file must appear somewhere in the merged commentary. If source material does not fit under an existing outline heading, add a subpoint to the outline rather than omitting the material.</w:t>
      </w:r>
    </w:p>
    <w:p>
      <w:pPr>
        <w:pStyle w:val="Heading3"/>
        <w:spacing w:after="120" w:before="200"/>
      </w:pPr>
      <w:r>
        <w:rPr>
          <w:rFonts w:ascii="Arial" w:cs="Arial" w:eastAsia="Arial" w:hAnsi="Arial"/>
          <w:b/>
          <w:bCs/>
          <w:color w:val="375623"/>
          <w:sz w:val="23"/>
          <w:szCs w:val="23"/>
        </w:rPr>
        <w:t xml:space="preserve">Repetition and Compression — Revised in Version 14</w:t>
      </w:r>
    </w:p>
    <w:p>
      <w:pPr>
        <w:spacing w:after="160"/>
      </w:pPr>
      <w:r>
        <w:rPr>
          <w:rFonts w:ascii="Arial" w:cs="Arial" w:eastAsia="Arial" w:hAnsi="Arial"/>
          <w:sz w:val="22"/>
          <w:szCs w:val="22"/>
        </w:rPr>
        <w:t xml:space="preserve">Mode A commentary is a lightly cleaned transcript, not a condensed paraphrase. The outline still sets placement and sequence, but within each heading the source's own words, phrasing, repetition, and expressive delivery are retained as spoken. This includes: a point restated two or three times for emphasis; a heading-phrase re-announced as the sermon moves from one point to the next; an illustration walked through with back-and-forth, rhetorical questions, or dramatized dialogue; and colorful or idiosyncratic phrasing that is part of the teacher's voice.</w:t>
      </w:r>
    </w:p>
    <w:p>
      <w:pPr>
        <w:spacing w:after="160"/>
      </w:pPr>
      <w:r>
        <w:rPr>
          <w:rFonts w:ascii="Arial" w:cs="Arial" w:eastAsia="Arial" w:hAnsi="Arial"/>
          <w:sz w:val="22"/>
          <w:szCs w:val="22"/>
        </w:rPr>
        <w:t xml:space="preserve">Only three things may be trimmed from the source without being itemized as an omission:</w:t>
      </w:r>
    </w:p>
    <w:p>
      <w:pPr>
        <w:spacing w:after="160"/>
      </w:pPr>
      <w:r>
        <w:rPr>
          <w:rFonts w:ascii="Arial" w:cs="Arial" w:eastAsia="Arial" w:hAnsi="Arial"/>
          <w:sz w:val="22"/>
          <w:szCs w:val="22"/>
        </w:rPr>
        <w:t xml:space="preserve">(a) References to a physical visual aid not reproducible in text (a map, a slide, in-room pointing).</w:t>
      </w:r>
    </w:p>
    <w:p>
      <w:pPr>
        <w:spacing w:after="160"/>
      </w:pPr>
      <w:r>
        <w:rPr>
          <w:rFonts w:ascii="Arial" w:cs="Arial" w:eastAsia="Arial" w:hAnsi="Arial"/>
          <w:sz w:val="22"/>
          <w:szCs w:val="22"/>
        </w:rPr>
        <w:t xml:space="preserve">(b) Verbal disfluencies and false starts — stutters, filler words ("uh," "you know"), abandoned sentence restarts, and accidental word-for-word repeats introduced by dictation or transcription (e.g., "we we're going to have our our meal" → "we're going to have our meal").</w:t>
      </w:r>
    </w:p>
    <w:p>
      <w:pPr>
        <w:spacing w:after="160"/>
      </w:pPr>
      <w:r>
        <w:rPr>
          <w:rFonts w:ascii="Arial" w:cs="Arial" w:eastAsia="Arial" w:hAnsi="Arial"/>
          <w:sz w:val="22"/>
          <w:szCs w:val="22"/>
        </w:rPr>
        <w:t xml:space="preserve">(c) Very minor grammar or punctuation correction needed to make spoken syntax readable on the page — capitalization, sentence boundaries, and obvious transcription slips (e.g., a homophone mis-transcription such as "the sin should come" corrected to "the Seed should come" where the source is clearly quoting Galatians 3:19). Any such correction is disclosed in the Editorial Notes as "X corrected to Y."</w:t>
      </w:r>
    </w:p>
    <w:p>
      <w:pPr>
        <w:spacing w:after="160"/>
      </w:pPr>
      <w:r>
        <w:rPr>
          <w:rFonts w:ascii="Arial" w:cs="Arial" w:eastAsia="Arial" w:hAnsi="Arial"/>
          <w:sz w:val="22"/>
          <w:szCs w:val="22"/>
        </w:rPr>
        <w:t xml:space="preserve">Administrative or self-promotional asides (e.g., a pointer to a prior recording, a course plug) are no longer dropped by default. Fold them into the prose in condensed form if they interrupt the flow, but do not delete them outright — when in doubt, keep it.</w:t>
      </w:r>
    </w:p>
    <w:p>
      <w:pPr>
        <w:spacing w:after="160"/>
        <w:jc w:val="left"/>
      </w:pPr>
      <w:r>
        <w:rPr>
          <w:rFonts w:ascii="Arial" w:cs="Arial" w:eastAsia="Arial" w:hAnsi="Arial"/>
          <w:i/>
          <w:iCs/>
          <w:sz w:val="22"/>
          <w:szCs w:val="22"/>
        </w:rPr>
        <w:t xml:space="preserve">This replaces the Version 13 rule that allowed a repeated claim, carried by the same or no illustration, to collapse into a single written instance. That collapsing behavior is retired. A repeated claim is retained every time it is repeated, because the repetition itself — as delivered — is part of what the teacher is doing.</w:t>
      </w:r>
    </w:p>
    <w:p>
      <w:pPr>
        <w:spacing w:after="160"/>
      </w:pPr>
      <w:r>
        <w:rPr>
          <w:rFonts w:ascii="Arial" w:cs="Arial" w:eastAsia="Arial" w:hAnsi="Arial"/>
          <w:sz w:val="22"/>
          <w:szCs w:val="22"/>
        </w:rPr>
        <w:t xml:space="preserve">If a source file contains an embedded image relevant to the passage or its background (e.g., a map), extract it and place it as a captioned figure in the nearest relevant Introduction or Commentary subsection, sized to the column width, with a one-line source caption. This applies only to images actually embedded in the file.</w:t>
      </w:r>
    </w:p>
    <w:p>
      <w:pPr>
        <w:pStyle w:val="Heading3"/>
        <w:spacing w:after="120" w:before="200"/>
      </w:pPr>
      <w:r>
        <w:rPr>
          <w:rFonts w:ascii="Arial" w:cs="Arial" w:eastAsia="Arial" w:hAnsi="Arial"/>
          <w:b/>
          <w:bCs/>
          <w:color w:val="375623"/>
          <w:sz w:val="23"/>
          <w:szCs w:val="23"/>
        </w:rPr>
        <w:t xml:space="preserve">In-Document Flagging for Editor Review — New in Version 15</w:t>
      </w:r>
    </w:p>
    <w:p>
      <w:pPr>
        <w:spacing w:after="160"/>
      </w:pPr>
      <w:r>
        <w:rPr>
          <w:rFonts w:ascii="Arial" w:cs="Arial" w:eastAsia="Arial" w:hAnsi="Arial"/>
          <w:sz w:val="22"/>
          <w:szCs w:val="22"/>
        </w:rPr>
        <w:t xml:space="preserve">Not every content judgment call fits neatly into the three named Repetition-and-Compression exceptions. When Claude is genuinely unsure whether a piece of source material should be kept exactly as spoken, generalized, or left out — most commonly because it touches a real, identifiable person or event, or because a transcription is ambiguous in a way Claude cannot resolve with confidence — Claude does not decide silently, and does not need to pause the conversation to ask.</w:t>
      </w:r>
    </w:p>
    <w:p>
      <w:pPr>
        <w:spacing w:after="160"/>
      </w:pPr>
      <w:r>
        <w:rPr>
          <w:rFonts w:ascii="Arial" w:cs="Arial" w:eastAsia="Arial" w:hAnsi="Arial"/>
          <w:sz w:val="22"/>
          <w:szCs w:val="22"/>
        </w:rPr>
        <w:t xml:space="preserve">Instead, the questioned material is left in the Commentary in its original or nearest-original form, and rendered in bold and underlined text so it is unmistakable during the requester's own editorial pass. The requester — and only the requester — resolves it: keep it as flagged, edit it, or delete it. No approval is required before delivery; the flag travels with the document.</w:t>
      </w:r>
    </w:p>
    <w:p>
      <w:pPr>
        <w:pStyle w:val="Heading3"/>
        <w:spacing w:after="120" w:before="200"/>
      </w:pPr>
      <w:r>
        <w:rPr>
          <w:rFonts w:ascii="Arial" w:cs="Arial" w:eastAsia="Arial" w:hAnsi="Arial"/>
          <w:b/>
          <w:bCs/>
          <w:color w:val="375623"/>
          <w:sz w:val="23"/>
          <w:szCs w:val="23"/>
        </w:rPr>
        <w:t xml:space="preserve">Worked example</w:t>
      </w:r>
    </w:p>
    <w:p>
      <w:pPr>
        <w:spacing w:after="160"/>
        <w:jc w:val="left"/>
      </w:pPr>
      <w:r>
        <w:rPr>
          <w:rFonts w:ascii="Arial" w:cs="Arial" w:eastAsia="Arial" w:hAnsi="Arial"/>
          <w:i/>
          <w:iCs/>
          <w:sz w:val="22"/>
          <w:szCs w:val="22"/>
        </w:rPr>
        <w:t xml:space="preserve">Suppose the transcript's courtroom illustration for legal justification uses a phrase that happens to echo a specific, well-known real trial. Rather than quietly generalizing it (a content decision) or quietly keeping it (also a content decision), Claude renders it in the draft as: "…and in that court hearing, the glove didn't fit, and so the jury said, not guilty…" The bold-underline signals: this line may reference a real case — decide how you want it handled. Everywhere else in the Commentary, text reads normally; the formatting itself is the flag, so it cannot be missed or mistaken for ordinary emphasis.</w:t>
      </w:r>
    </w:p>
    <w:p>
      <w:pPr>
        <w:spacing w:after="160"/>
      </w:pPr>
      <w:r>
        <w:rPr>
          <w:rFonts w:ascii="Arial" w:cs="Arial" w:eastAsia="Arial" w:hAnsi="Arial"/>
          <w:sz w:val="22"/>
          <w:szCs w:val="22"/>
        </w:rPr>
        <w:t xml:space="preserve">Reserved for genuine judgment calls, not routine cleanup. Disfluencies, false starts, and minor grammar are still handled silently per the existing rule — no flag needed there. A misheard word Claude is confident about (e.g., "Seed" for "sin" at a passage the speaker is visibly quoting) is still corrected and disclosed in the Editorial Notes as a plain correction, not flagged in-text. Flagging is specifically for cases where Claude lacks the confidence to correct silently, or where the call belongs to the requester's own editorial judgment — tone, sensitivity, or a real-world reference — rather than to a factual correction Claude can make on its own authority.</w:t>
      </w:r>
    </w:p>
    <w:p>
      <w:pPr>
        <w:pStyle w:val="Heading3"/>
        <w:spacing w:after="120" w:before="200"/>
      </w:pPr>
      <w:r>
        <w:rPr>
          <w:rFonts w:ascii="Arial" w:cs="Arial" w:eastAsia="Arial" w:hAnsi="Arial"/>
          <w:b/>
          <w:bCs/>
          <w:color w:val="375623"/>
          <w:sz w:val="23"/>
          <w:szCs w:val="23"/>
        </w:rPr>
        <w:t xml:space="preserve">Verification Pass — Mandatory for Mode A, Runs Automatically</w:t>
      </w:r>
    </w:p>
    <w:p>
      <w:pPr>
        <w:spacing w:after="160"/>
      </w:pPr>
      <w:r>
        <w:rPr>
          <w:rFonts w:ascii="Arial" w:cs="Arial" w:eastAsia="Arial" w:hAnsi="Arial"/>
          <w:sz w:val="22"/>
          <w:szCs w:val="22"/>
        </w:rPr>
        <w:t xml:space="preserve">Verification is a mechanical process — not a single holistic read-and-compare — and it is not gated by word count. It begins before drafting and continues after the Commentary draft is complete, and it runs in full for every Mode A study regardless of source length.</w:t>
      </w:r>
    </w:p>
    <w:p>
      <w:pPr>
        <w:spacing w:after="160"/>
      </w:pPr>
      <w:r>
        <w:rPr>
          <w:rFonts w:ascii="Arial" w:cs="Arial" w:eastAsia="Arial" w:hAnsi="Arial"/>
          <w:sz w:val="22"/>
          <w:szCs w:val="22"/>
        </w:rPr>
        <w:t xml:space="preserve">1. Content-Unit Checklist (before drafting). The assistant builds a numbered checklist of every discrete statement, illustration, citation, cross-reference, and aside present in the source transcript/outline. While drafting, each item is tracked as Included or Omitted, with a one-line reason recorded for any omission that does not fall under one of the three named exceptions above.</w:t>
      </w:r>
    </w:p>
    <w:p>
      <w:pPr>
        <w:spacing w:after="160"/>
      </w:pPr>
      <w:r>
        <w:rPr>
          <w:rFonts w:ascii="Arial" w:cs="Arial" w:eastAsia="Arial" w:hAnsi="Arial"/>
          <w:sz w:val="22"/>
          <w:szCs w:val="22"/>
        </w:rPr>
        <w:t xml:space="preserve">2. Proper-Noun / Number / Citation Pass (after drafting). Every proper noun, number, and Scripture citation appearing in the source is individually checked against the drafted Commentary text — not read past as part of a general comparison.</w:t>
      </w:r>
    </w:p>
    <w:p>
      <w:pPr>
        <w:spacing w:after="160"/>
      </w:pPr>
      <w:r>
        <w:rPr>
          <w:rFonts w:ascii="Arial" w:cs="Arial" w:eastAsia="Arial" w:hAnsi="Arial"/>
          <w:sz w:val="22"/>
          <w:szCs w:val="22"/>
        </w:rPr>
        <w:t xml:space="preserve">3. Mechanical Comparison Pass (after drafting). The assistant runs an explicit, non-holistic, sentence-level comparison between the source transcript/outline and the drafted Commentary — segmenting the source into sentences and scoring each against the draft for content overlap — rather than relying on a careful re-read of the finished document.</w:t>
      </w:r>
    </w:p>
    <w:p>
      <w:pPr>
        <w:spacing w:after="160"/>
      </w:pPr>
      <w:r>
        <w:rPr>
          <w:rFonts w:ascii="Arial" w:cs="Arial" w:eastAsia="Arial" w:hAnsi="Arial"/>
          <w:sz w:val="22"/>
          <w:szCs w:val="22"/>
        </w:rPr>
        <w:t xml:space="preserve">4. Numbered Findings Table (after the Mechanical Comparison Pass). Every candidate is listed as a numbered row — source excerpt, overlap score, and classification (filler; redundant restatement; or distinct) — together with the assistant's own keep/drop judgment and a one-line reason.</w:t>
      </w:r>
    </w:p>
    <w:p>
      <w:pPr>
        <w:spacing w:after="160"/>
      </w:pPr>
      <w:r>
        <w:rPr>
          <w:rFonts w:ascii="Arial" w:cs="Arial" w:eastAsia="Arial" w:hAnsi="Arial"/>
          <w:sz w:val="22"/>
          <w:szCs w:val="22"/>
        </w:rPr>
        <w:t xml:space="preserve">5. Requester Review. The requester may reply with a simple list of item numbers to restore — e.g., "1, 2, 4, 6" — rather than re-reviewing the whole document.</w:t>
      </w:r>
    </w:p>
    <w:p>
      <w:pPr>
        <w:pStyle w:val="Heading3"/>
        <w:spacing w:after="120" w:before="200"/>
      </w:pPr>
      <w:r>
        <w:rPr>
          <w:rFonts w:ascii="Arial" w:cs="Arial" w:eastAsia="Arial" w:hAnsi="Arial"/>
          <w:b/>
          <w:bCs/>
          <w:color w:val="375623"/>
          <w:sz w:val="23"/>
          <w:szCs w:val="23"/>
        </w:rPr>
        <w:t xml:space="preserve">Word-Count Transparency Note — Revised in Version 14</w:t>
      </w:r>
    </w:p>
    <w:p>
      <w:pPr>
        <w:spacing w:after="160"/>
      </w:pPr>
      <w:r>
        <w:rPr>
          <w:rFonts w:ascii="Arial" w:cs="Arial" w:eastAsia="Arial" w:hAnsi="Arial"/>
          <w:sz w:val="22"/>
          <w:szCs w:val="22"/>
        </w:rPr>
        <w:t xml:space="preserve">The assistant reports the ratio of drafted Commentary word count to source transcript word count in the Editorial Notes. Under the Version 14 near-verbatim standard, this ratio should typically land at or above 90–100% of the source. It is still not a pass/fail gate — the Content-Unit Checklist, Proper-Noun/Number/Citation Pass, and Mechanical Comparison Pass are what actually verify completeness, and they still run every time regardless of the ratio. But a ratio meaningfully below 90% is now a strong signal that the Mechanical Comparison Pass should be re-run before delivery, since the compression path that used to explain a lower ratio (collapsing redundant restatement) no longer applies by default.</w:t>
      </w:r>
    </w:p>
    <w:p>
      <w:pPr>
        <w:pStyle w:val="Heading3"/>
        <w:spacing w:after="120" w:before="200"/>
      </w:pPr>
      <w:r>
        <w:rPr>
          <w:rFonts w:ascii="Arial" w:cs="Arial" w:eastAsia="Arial" w:hAnsi="Arial"/>
          <w:b/>
          <w:bCs/>
          <w:color w:val="375623"/>
          <w:sz w:val="23"/>
          <w:szCs w:val="23"/>
        </w:rPr>
        <w:t xml:space="preserve">Editorial Notes — Delivered With the Document, Not Instead Of It</w:t>
      </w:r>
    </w:p>
    <w:p>
      <w:pPr>
        <w:spacing w:after="160"/>
      </w:pPr>
      <w:r>
        <w:rPr>
          <w:rFonts w:ascii="Arial" w:cs="Arial" w:eastAsia="Arial" w:hAnsi="Arial"/>
          <w:sz w:val="22"/>
          <w:szCs w:val="22"/>
        </w:rPr>
        <w:t xml:space="preserve">Following the Verification Pass, the assistant delivers the finished document together with a short Editorial Notes list (in the reply, not inside the document itself) covering: any correction made to something unclear or apparently mis-transcribed in the source, stated plainly as "X was corrected to Y"; the Numbered Findings Table produced by the Mechanical Comparison Pass; and the word-count transparency figure, with confirmation that all verification steps were run. The document is delivered complete alongside this report — Editorial Notes are a transparency step, not a pre-finalization approval gate.</w:t>
      </w:r>
    </w:p>
    <w:p>
      <w:pPr>
        <w:spacing w:after="160"/>
      </w:pPr>
      <w:r>
        <w:rPr>
          <w:rFonts w:ascii="Arial" w:cs="Arial" w:eastAsia="Arial" w:hAnsi="Arial"/>
          <w:sz w:val="22"/>
          <w:szCs w:val="22"/>
        </w:rPr>
        <w:t xml:space="preserve">Mode B — Research-based: develop commentary from the passage using FGR.docx and/or RTR.docx.</w:t>
      </w:r>
    </w:p>
    <w:p>
      <w:pPr>
        <w:spacing w:after="160"/>
      </w:pPr>
      <w:r>
        <w:rPr>
          <w:rFonts w:ascii="Arial" w:cs="Arial" w:eastAsia="Arial" w:hAnsi="Arial"/>
          <w:sz w:val="22"/>
          <w:szCs w:val="22"/>
        </w:rPr>
        <w:t xml:space="preserve">Mode C — Formal: superscript endnote citations; tone remains warm and pastoral. Also check IDR (International &amp; Digital Research Candidates) for one supporting cultural or statistical citation relevant to the paper's argument, where relevant — new in Version 17.</w:t>
      </w:r>
    </w:p>
    <w:p>
      <w:pPr>
        <w:pStyle w:val="Heading2"/>
        <w:spacing w:after="140" w:before="260"/>
      </w:pPr>
      <w:r>
        <w:rPr>
          <w:rFonts w:ascii="Arial" w:cs="Arial" w:eastAsia="Arial" w:hAnsi="Arial"/>
          <w:b/>
          <w:bCs/>
          <w:color w:val="2E5496"/>
          <w:sz w:val="26"/>
          <w:szCs w:val="26"/>
        </w:rPr>
        <w:t xml:space="preserve">④ Self-Study Guide</w:t>
      </w:r>
    </w:p>
    <w:p>
      <w:pPr>
        <w:spacing w:after="160"/>
      </w:pPr>
      <w:r>
        <w:rPr>
          <w:rFonts w:ascii="Arial" w:cs="Arial" w:eastAsia="Arial" w:hAnsi="Arial"/>
          <w:sz w:val="22"/>
          <w:szCs w:val="22"/>
        </w:rPr>
        <w:t xml:space="preserve">Position: after the Commentary.</w:t>
      </w:r>
    </w:p>
    <w:p>
      <w:pPr>
        <w:spacing w:after="160"/>
      </w:pPr>
      <w:r>
        <w:rPr>
          <w:rFonts w:ascii="Arial" w:cs="Arial" w:eastAsia="Arial" w:hAnsi="Arial"/>
          <w:sz w:val="22"/>
          <w:szCs w:val="22"/>
        </w:rPr>
        <w:t xml:space="preserve">Label: 'For use during the group meeting · Focused on the commentary text'</w:t>
      </w:r>
    </w:p>
    <w:p>
      <w:pPr>
        <w:spacing w:after="160"/>
      </w:pPr>
      <w:r>
        <w:rPr>
          <w:rFonts w:ascii="Arial" w:cs="Arial" w:eastAsia="Arial" w:hAnsi="Arial"/>
          <w:sz w:val="22"/>
          <w:szCs w:val="22"/>
        </w:rPr>
        <w:t xml:space="preserve">Contains three or four parts in order — Revised in Version 16: Greek Word Study → Hebrew Word Study (when applicable) → Study Questions → Passage Summary.</w:t>
      </w:r>
    </w:p>
    <w:p>
      <w:pPr>
        <w:pStyle w:val="Heading3"/>
        <w:spacing w:after="120" w:before="200"/>
      </w:pPr>
      <w:r>
        <w:rPr>
          <w:rFonts w:ascii="Arial" w:cs="Arial" w:eastAsia="Arial" w:hAnsi="Arial"/>
          <w:b/>
          <w:bCs/>
          <w:color w:val="375623"/>
          <w:sz w:val="23"/>
          <w:szCs w:val="23"/>
        </w:rPr>
        <w:t xml:space="preserve">Greek Word Study — Named Sources, Selective Citation</w:t>
      </w:r>
    </w:p>
    <w:p>
      <w:pPr>
        <w:spacing w:after="160"/>
      </w:pPr>
      <w:r>
        <w:rPr>
          <w:rFonts w:ascii="Arial" w:cs="Arial" w:eastAsia="Arial" w:hAnsi="Arial"/>
          <w:sz w:val="22"/>
          <w:szCs w:val="22"/>
        </w:rPr>
        <w:t xml:space="preserve">Source for grammar/parsing: Blue Letter Bible.</w:t>
      </w:r>
    </w:p>
    <w:p>
      <w:pPr>
        <w:spacing w:after="160"/>
      </w:pPr>
      <w:r>
        <w:rPr>
          <w:rFonts w:ascii="Arial" w:cs="Arial" w:eastAsia="Arial" w:hAnsi="Arial"/>
          <w:sz w:val="22"/>
          <w:szCs w:val="22"/>
        </w:rPr>
        <w:t xml:space="preserve">Six named sources available for definitions and commentary on each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760"/>
        <w:gridCol w:w="3100"/>
      </w:tblGrid>
      <w:tr>
        <w:tc>
          <w:tcPr>
            <w:tcW w:type="dxa" w:w="26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Source</w:t>
            </w:r>
          </w:p>
        </w:tc>
        <w:tc>
          <w:tcPr>
            <w:tcW w:type="dxa" w:w="9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Code</w:t>
            </w:r>
          </w:p>
        </w:tc>
        <w:tc>
          <w:tcPr>
            <w:tcW w:type="dxa" w:w="27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Best For</w:t>
            </w:r>
          </w:p>
        </w:tc>
        <w:tc>
          <w:tcPr>
            <w:tcW w:type="dxa" w:w="31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Citation Rule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Concordance</w:t>
            </w:r>
          </w:p>
        </w:tc>
        <w:tc>
          <w:tcPr>
            <w:tcW w:type="dxa" w:w="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Core gloss / quick definition</w:t>
            </w:r>
          </w:p>
        </w:tc>
        <w:tc>
          <w:tcPr>
            <w:tcW w:type="dxa" w:w="3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basic gloss is the clearest entry point for the word</w:t>
            </w:r>
          </w:p>
        </w:tc>
      </w:tr>
      <w:tr>
        <w:tc>
          <w:tcPr>
            <w:tcW w:type="dxa" w:w="2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Thayer's Greek Lexicon</w:t>
            </w:r>
          </w:p>
        </w:tc>
        <w:tc>
          <w:tcPr>
            <w:tcW w:type="dxa" w:w="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THAY</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Expanded scholarly definition, nuance, usage range</w:t>
            </w:r>
          </w:p>
        </w:tc>
        <w:tc>
          <w:tcPr>
            <w:tcW w:type="dxa" w:w="3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nuance beyond the basic gloss matters for interpretation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A.T. Robertson, Word Pictures in the NT</w:t>
            </w:r>
          </w:p>
        </w:tc>
        <w:tc>
          <w:tcPr>
            <w:tcW w:type="dxa" w:w="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ATR</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Syntactical / grammatical commentary</w:t>
            </w:r>
          </w:p>
        </w:tc>
        <w:tc>
          <w:tcPr>
            <w:tcW w:type="dxa" w:w="3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grammatical form carries interpretive weight</w:t>
            </w:r>
          </w:p>
        </w:tc>
      </w:tr>
      <w:tr>
        <w:tc>
          <w:tcPr>
            <w:tcW w:type="dxa" w:w="2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W.E. Vine, Expository Dictionary of NT Words</w:t>
            </w:r>
          </w:p>
        </w:tc>
        <w:tc>
          <w:tcPr>
            <w:tcW w:type="dxa" w:w="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VINE</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Cross-passage usage</w:t>
            </w:r>
          </w:p>
        </w:tc>
        <w:tc>
          <w:tcPr>
            <w:tcW w:type="dxa" w:w="3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comparing usage across passages illuminates this occurrence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Marvin R. Vincent, Word Studies in the NT</w:t>
            </w:r>
          </w:p>
        </w:tc>
        <w:tc>
          <w:tcPr>
            <w:tcW w:type="dxa" w:w="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MRV</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Historical, classical, and etymological background</w:t>
            </w:r>
          </w:p>
        </w:tc>
        <w:tc>
          <w:tcPr>
            <w:tcW w:type="dxa" w:w="3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classical/Hellenistic usage sharpens or contrasts with NT meaning</w:t>
            </w:r>
          </w:p>
        </w:tc>
      </w:tr>
      <w:tr>
        <w:tc>
          <w:tcPr>
            <w:tcW w:type="dxa" w:w="2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Septuagint (LXX) usage</w:t>
            </w:r>
          </w:p>
        </w:tc>
        <w:tc>
          <w:tcPr>
            <w:tcW w:type="dxa" w:w="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LXX</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Old Testament theological background</w:t>
            </w:r>
          </w:p>
        </w:tc>
        <w:tc>
          <w:tcPr>
            <w:tcW w:type="dxa" w:w="3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word carries inherited theological weight from its LXX usage</w:t>
            </w:r>
          </w:p>
        </w:tc>
      </w:tr>
    </w:tbl>
    <w:p>
      <w:pPr>
        <w:spacing w:after="160"/>
      </w:pPr>
      <w:r>
        <w:rPr>
          <w:rFonts w:ascii="Arial" w:cs="Arial" w:eastAsia="Arial" w:hAnsi="Arial"/>
          <w:sz w:val="22"/>
          <w:szCs w:val="22"/>
        </w:rPr>
        <w:t xml:space="preserve">Citation Rule: all six sources are available for every word, but none are mandatory. Cite only the source(s) that most clearly establish the word's meaning and significance in this specific verse. Never pad an entry with a source that adds no clarity. Cover all theologically significant terms in the passage (typically 10–14 words).</w:t>
      </w:r>
    </w:p>
    <w:p>
      <w:pPr>
        <w:pStyle w:val="Heading3"/>
        <w:spacing w:after="120" w:before="200"/>
      </w:pPr>
      <w:r>
        <w:rPr>
          <w:rFonts w:ascii="Arial" w:cs="Arial" w:eastAsia="Arial" w:hAnsi="Arial"/>
          <w:b/>
          <w:bCs/>
          <w:color w:val="375623"/>
          <w:sz w:val="23"/>
          <w:szCs w:val="23"/>
        </w:rPr>
        <w:t xml:space="preserve">Column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Column</w:t>
            </w:r>
          </w:p>
        </w:tc>
        <w:tc>
          <w:tcPr>
            <w:tcW w:type="dxa" w:w="36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Content</w:t>
            </w:r>
          </w:p>
        </w:tc>
        <w:tc>
          <w:tcPr>
            <w:tcW w:type="dxa" w:w="30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Format Notes</w:t>
            </w:r>
          </w:p>
        </w:tc>
      </w:tr>
      <w:tr>
        <w:tc>
          <w:tcPr>
            <w:tcW w:type="dxa" w:w="2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Verse</w:t>
            </w:r>
          </w:p>
        </w:tc>
        <w:tc>
          <w:tcPr>
            <w:tcW w:type="dxa" w:w="3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Verse number</w:t>
            </w:r>
          </w:p>
        </w:tc>
        <w:tc>
          <w:tcPr>
            <w:tcW w:type="dxa" w:w="30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e.g. v.23</w:t>
            </w:r>
          </w:p>
        </w:tc>
      </w:tr>
      <w:tr>
        <w:tc>
          <w:tcPr>
            <w:tcW w:type="dxa" w:w="2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Greek Word (Lexical Form) / English Translation</w:t>
            </w:r>
          </w:p>
        </w:tc>
        <w:tc>
          <w:tcPr>
            <w:tcW w:type="dxa" w:w="3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Greek word — purple bold, lexical form. English translation — italic, directly below</w:t>
            </w:r>
          </w:p>
        </w:tc>
        <w:tc>
          <w:tcPr>
            <w:tcW w:type="dxa" w:w="30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Greek: purple bold, Arial 21pt. English: italic body text, Arial 19pt. Same cell, line break</w:t>
            </w:r>
          </w:p>
        </w:tc>
      </w:tr>
      <w:tr>
        <w:tc>
          <w:tcPr>
            <w:tcW w:type="dxa" w:w="2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 / Transliteration / Grammatical Form</w:t>
            </w:r>
          </w:p>
        </w:tc>
        <w:tc>
          <w:tcPr>
            <w:tcW w:type="dxa" w:w="3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number, transliteration, grammatical form</w:t>
            </w:r>
          </w:p>
        </w:tc>
        <w:tc>
          <w:tcPr>
            <w:tcW w:type="dxa" w:w="30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Source: Blue Letter Bible. See grammar key below table</w:t>
            </w:r>
          </w:p>
        </w:tc>
      </w:tr>
      <w:tr>
        <w:tc>
          <w:tcPr>
            <w:tcW w:type="dxa" w:w="2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Definition &amp; Significance</w:t>
            </w:r>
          </w:p>
        </w:tc>
        <w:tc>
          <w:tcPr>
            <w:tcW w:type="dxa" w:w="3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Selected source(s) cited by name — only those that add clarity. Significance in context always included</w:t>
            </w:r>
          </w:p>
        </w:tc>
        <w:tc>
          <w:tcPr>
            <w:tcW w:type="dxa" w:w="30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Sources: STR, THAY, ATR, VINE, MRV, LXX — cite selectively</w:t>
            </w:r>
          </w:p>
        </w:tc>
      </w:tr>
    </w:tbl>
    <w:p>
      <w:pPr>
        <w:spacing w:after="160"/>
      </w:pPr>
      <w:r>
        <w:rPr>
          <w:rFonts w:ascii="Arial" w:cs="Arial" w:eastAsia="Arial" w:hAnsi="Arial"/>
          <w:sz w:val="22"/>
          <w:szCs w:val="22"/>
        </w:rPr>
        <w:t xml:space="preserve">Grammar Abbreviation Key — printed below the Greek word table in every study</w:t>
      </w:r>
    </w:p>
    <w:p>
      <w:pPr>
        <w:spacing w:after="160"/>
      </w:pPr>
      <w:r>
        <w:rPr>
          <w:rFonts w:ascii="Arial" w:cs="Arial" w:eastAsia="Arial" w:hAnsi="Arial"/>
          <w:sz w:val="22"/>
          <w:szCs w:val="22"/>
        </w:rPr>
        <w:t xml:space="preserve">Cases: Nom. · Gen. · Dat. · Acc. · Voc.   |   Number: Sg. · Pl.   |   Gender: Masc. · Fem. · Neut.</w:t>
      </w:r>
    </w:p>
    <w:p>
      <w:pPr>
        <w:spacing w:after="160"/>
      </w:pPr>
      <w:r>
        <w:rPr>
          <w:rFonts w:ascii="Arial" w:cs="Arial" w:eastAsia="Arial" w:hAnsi="Arial"/>
          <w:sz w:val="22"/>
          <w:szCs w:val="22"/>
        </w:rPr>
        <w:t xml:space="preserve">Verb Mood: Ind. · Imp. · Subj. · Opt. · Inf. · Ptc.   |   Tense: Pres. · Imperf. · Fut. · Aor. · Perf. · Plpf.   |   Voice: Act. · Mid. · Pass.   |   Person: 1st/2nd/3rd Sg./Pl.</w:t>
      </w:r>
    </w:p>
    <w:p>
      <w:pPr>
        <w:pStyle w:val="Heading3"/>
        <w:spacing w:after="120" w:before="200"/>
      </w:pPr>
      <w:r>
        <w:rPr>
          <w:rFonts w:ascii="Arial" w:cs="Arial" w:eastAsia="Arial" w:hAnsi="Arial"/>
          <w:b/>
          <w:bCs/>
          <w:color w:val="375623"/>
          <w:sz w:val="23"/>
          <w:szCs w:val="23"/>
        </w:rPr>
        <w:t xml:space="preserve">Hebrew Word Study — Named Sources, Selective Citation — New in Version 16</w:t>
      </w:r>
    </w:p>
    <w:p>
      <w:pPr>
        <w:spacing w:after="160"/>
      </w:pPr>
      <w:r>
        <w:rPr>
          <w:rFonts w:ascii="Arial" w:cs="Arial" w:eastAsia="Arial" w:hAnsi="Arial"/>
          <w:sz w:val="22"/>
          <w:szCs w:val="22"/>
        </w:rPr>
        <w:t xml:space="preserve">When it applies. A Hebrew Word Study is not run automatically for every passage that happens to cite or reference an Old Testament book or verse. A sermon frequently strings together short references across several OT books to trace a theme (e.g., "Genesis says this... Exodus says this... the prophets say this...") — that kind of passing citation, used for its content in translation, does not by itself call for a full word study of each book, each chapter for context, or each Hebrew term involved. A Hebrew Word Study is added specifically when a Hebrew (or Aramaic) term, or a piece of Jewish prayer or liturgical content, is itself a significant point in the message — something the teacher explains, translates, returns to, or builds part of the message's argument around. When that happens, the term deserves the same word-study insight the Greek Word Study gives significant terms in the primary passage, and — where the term is tied to a living Jewish prayer or ritual practice — the liturgical content itself deserves inclusion, not just a dictionary gloss.</w:t>
      </w:r>
    </w:p>
    <w:p>
      <w:pPr>
        <w:spacing w:after="160"/>
      </w:pPr>
      <w:r>
        <w:rPr>
          <w:rFonts w:ascii="Arial" w:cs="Arial" w:eastAsia="Arial" w:hAnsi="Arial"/>
          <w:sz w:val="22"/>
          <w:szCs w:val="22"/>
        </w:rPr>
        <w:t xml:space="preserve">When the primary passage is Hebrew. If the week's passage is itself an Old Testament text, the Hebrew Word Study is the primary table in the Self-Study Guide, built the same way the Greek Word Study is built for a New Testament passage: covering the passage's theologically significant terms directly, typically 10–14 words, positioned first (with a Greek Word Study added afterward only if the sermon substantively engages a New Testament quotation of that Old Testament text).</w:t>
      </w:r>
    </w:p>
    <w:p>
      <w:pPr>
        <w:spacing w:after="160"/>
      </w:pPr>
      <w:r>
        <w:rPr>
          <w:rFonts w:ascii="Arial" w:cs="Arial" w:eastAsia="Arial" w:hAnsi="Arial"/>
          <w:sz w:val="22"/>
          <w:szCs w:val="22"/>
        </w:rPr>
        <w:t xml:space="preserve">Source for grammar/parsing: Blue Letter Bible (Hebrew and Aramaic lexicon and interlinear).</w:t>
      </w:r>
    </w:p>
    <w:p>
      <w:pPr>
        <w:spacing w:after="160"/>
      </w:pPr>
      <w:r>
        <w:rPr>
          <w:rFonts w:ascii="Arial" w:cs="Arial" w:eastAsia="Arial" w:hAnsi="Arial"/>
          <w:sz w:val="22"/>
          <w:szCs w:val="22"/>
        </w:rPr>
        <w:t xml:space="preserve">Seven named sources available for definitions and commentary on each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2760"/>
        <w:gridCol w:w="3000"/>
      </w:tblGrid>
      <w:tr>
        <w:tc>
          <w:tcPr>
            <w:tcW w:type="dxa" w:w="29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Source</w:t>
            </w:r>
          </w:p>
        </w:tc>
        <w:tc>
          <w:tcPr>
            <w:tcW w:type="dxa" w:w="7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Code</w:t>
            </w:r>
          </w:p>
        </w:tc>
        <w:tc>
          <w:tcPr>
            <w:tcW w:type="dxa" w:w="27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Best For</w:t>
            </w:r>
          </w:p>
        </w:tc>
        <w:tc>
          <w:tcPr>
            <w:tcW w:type="dxa" w:w="30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Citation Rule</w:t>
            </w:r>
          </w:p>
        </w:tc>
      </w:tr>
      <w:tr>
        <w:tc>
          <w:tcPr>
            <w:tcW w:type="dxa" w:w="2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Concordance (Hebrew/Aramaic)</w:t>
            </w:r>
          </w:p>
        </w:tc>
        <w:tc>
          <w:tcPr>
            <w:tcW w:type="dxa" w:w="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Core gloss / quick definition</w:t>
            </w:r>
          </w:p>
        </w:tc>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basic gloss is the clearest entry point for the word</w:t>
            </w:r>
          </w:p>
        </w:tc>
      </w:tr>
      <w:tr>
        <w:tc>
          <w:tcPr>
            <w:tcW w:type="dxa" w:w="2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Brown-Driver-Briggs Hebrew and English Lexicon</w:t>
            </w:r>
          </w:p>
        </w:tc>
        <w:tc>
          <w:tcPr>
            <w:tcW w:type="dxa" w:w="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BDB</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Standard scholarly definition, nuance, usage range</w:t>
            </w:r>
          </w:p>
        </w:tc>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nuance beyond the basic gloss matters for interpretation</w:t>
            </w:r>
          </w:p>
        </w:tc>
      </w:tr>
      <w:tr>
        <w:tc>
          <w:tcPr>
            <w:tcW w:type="dxa" w:w="2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Koehler-Baumgartner, The Hebrew and Aramaic Lexicon of the OT</w:t>
            </w:r>
          </w:p>
        </w:tc>
        <w:tc>
          <w:tcPr>
            <w:tcW w:type="dxa" w:w="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HALOT</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Expanded scholarly definition, Ancient Near Eastern comparative background</w:t>
            </w:r>
          </w:p>
        </w:tc>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nuance beyond BDB or comparative ANE usage matters</w:t>
            </w:r>
          </w:p>
        </w:tc>
      </w:tr>
      <w:tr>
        <w:tc>
          <w:tcPr>
            <w:tcW w:type="dxa" w:w="2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Theological Wordbook of the Old Testament</w:t>
            </w:r>
          </w:p>
        </w:tc>
        <w:tc>
          <w:tcPr>
            <w:tcW w:type="dxa" w:w="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TWOT</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Theological and doctrinal usage across the OT</w:t>
            </w:r>
          </w:p>
        </w:tc>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word's theological development across Scripture matters for interpretation</w:t>
            </w:r>
          </w:p>
        </w:tc>
      </w:tr>
      <w:tr>
        <w:tc>
          <w:tcPr>
            <w:tcW w:type="dxa" w:w="2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Gesenius' Hebrew-Aramaic Lexicon of the OT</w:t>
            </w:r>
          </w:p>
        </w:tc>
        <w:tc>
          <w:tcPr>
            <w:tcW w:type="dxa" w:w="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GHL</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Historical, classical, and etymological background</w:t>
            </w:r>
          </w:p>
        </w:tc>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etymology or classical Hebrew usage sharpens or contrasts with the passage's meaning</w:t>
            </w:r>
          </w:p>
        </w:tc>
      </w:tr>
      <w:tr>
        <w:tc>
          <w:tcPr>
            <w:tcW w:type="dxa" w:w="29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Septuagint (LXX) usage</w:t>
            </w:r>
          </w:p>
        </w:tc>
        <w:tc>
          <w:tcPr>
            <w:tcW w:type="dxa" w:w="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LXX</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Connecting the Hebrew term to NT Greek vocabulary</w:t>
            </w:r>
          </w:p>
        </w:tc>
        <w:tc>
          <w:tcPr>
            <w:tcW w:type="dxa" w:w="3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the Greek word chosen to translate this term in the LXX carries forward into NT usage</w:t>
            </w:r>
          </w:p>
        </w:tc>
      </w:tr>
      <w:tr>
        <w:tc>
          <w:tcPr>
            <w:tcW w:type="dxa" w:w="29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Jewish Liturgical Tradition (Siddur, Passover Haggadah, and related usage)</w:t>
            </w:r>
          </w:p>
        </w:tc>
        <w:tc>
          <w:tcPr>
            <w:tcW w:type="dxa" w:w="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JLT</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Living devotional / liturgical use of the term</w:t>
            </w:r>
          </w:p>
        </w:tc>
        <w:tc>
          <w:tcPr>
            <w:tcW w:type="dxa" w:w="3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Cite when a term's place in Jewish prayer or ritual practice — not just its lexical range — is part of what the message draws on</w:t>
            </w:r>
          </w:p>
        </w:tc>
      </w:tr>
    </w:tbl>
    <w:p>
      <w:pPr>
        <w:spacing w:after="160"/>
      </w:pPr>
      <w:r>
        <w:rPr>
          <w:rFonts w:ascii="Arial" w:cs="Arial" w:eastAsia="Arial" w:hAnsi="Arial"/>
          <w:sz w:val="22"/>
          <w:szCs w:val="22"/>
        </w:rPr>
        <w:t xml:space="preserve">Citation Rule: all seven sources are available for every word, but none are mandatory. Cite only the source(s) that most clearly establish the word's meaning and significance for the point the message is making. Never pad an entry with a source that adds no clarity.</w:t>
      </w:r>
    </w:p>
    <w:p>
      <w:pPr>
        <w:pStyle w:val="Heading3"/>
        <w:spacing w:after="120" w:before="200"/>
      </w:pPr>
      <w:r>
        <w:rPr>
          <w:rFonts w:ascii="Arial" w:cs="Arial" w:eastAsia="Arial" w:hAnsi="Arial"/>
          <w:b/>
          <w:bCs/>
          <w:color w:val="375623"/>
          <w:sz w:val="23"/>
          <w:szCs w:val="23"/>
        </w:rPr>
        <w:t xml:space="preserve">Column Specification (Hebrew Word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Column</w:t>
            </w:r>
          </w:p>
        </w:tc>
        <w:tc>
          <w:tcPr>
            <w:tcW w:type="dxa" w:w="36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Content</w:t>
            </w:r>
          </w:p>
        </w:tc>
        <w:tc>
          <w:tcPr>
            <w:tcW w:type="dxa" w:w="30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Format Notes</w:t>
            </w:r>
          </w:p>
        </w:tc>
      </w:tr>
      <w:tr>
        <w:tc>
          <w:tcPr>
            <w:tcW w:type="dxa" w:w="2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Reference</w:t>
            </w:r>
          </w:p>
        </w:tc>
        <w:tc>
          <w:tcPr>
            <w:tcW w:type="dxa" w:w="3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Verse or reference where the term occurs or is discussed</w:t>
            </w:r>
          </w:p>
        </w:tc>
        <w:tc>
          <w:tcPr>
            <w:tcW w:type="dxa" w:w="30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e.g. v.6, or the liturgical source if the term is discussed apart from a specific verse</w:t>
            </w:r>
          </w:p>
        </w:tc>
      </w:tr>
      <w:tr>
        <w:tc>
          <w:tcPr>
            <w:tcW w:type="dxa" w:w="2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Hebrew Word (Lexical Form) / English Translation</w:t>
            </w:r>
          </w:p>
        </w:tc>
        <w:tc>
          <w:tcPr>
            <w:tcW w:type="dxa" w:w="3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Hebrew word — purple bold, lexical form, right-to-left. English translation — italic, directly below</w:t>
            </w:r>
          </w:p>
        </w:tc>
        <w:tc>
          <w:tcPr>
            <w:tcW w:type="dxa" w:w="30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Hebrew: purple bold, Arial 21pt. English: italic body text, Arial 19pt. Same cell, line break</w:t>
            </w:r>
          </w:p>
        </w:tc>
      </w:tr>
      <w:tr>
        <w:tc>
          <w:tcPr>
            <w:tcW w:type="dxa" w:w="2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 / Transliteration / Grammatical Form</w:t>
            </w:r>
          </w:p>
        </w:tc>
        <w:tc>
          <w:tcPr>
            <w:tcW w:type="dxa" w:w="36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H-number, transliteration, grammatical form</w:t>
            </w:r>
          </w:p>
        </w:tc>
        <w:tc>
          <w:tcPr>
            <w:tcW w:type="dxa" w:w="30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Source: Blue Letter Bible. See Hebrew grammar key below table</w:t>
            </w:r>
          </w:p>
        </w:tc>
      </w:tr>
      <w:tr>
        <w:tc>
          <w:tcPr>
            <w:tcW w:type="dxa" w:w="2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Definition &amp; Significance</w:t>
            </w:r>
          </w:p>
        </w:tc>
        <w:tc>
          <w:tcPr>
            <w:tcW w:type="dxa" w:w="36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Selected source(s) cited by name — only those that add clarity, including liturgical usage where relevant. Significance in context always included</w:t>
            </w:r>
          </w:p>
        </w:tc>
        <w:tc>
          <w:tcPr>
            <w:tcW w:type="dxa" w:w="30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Sources: STR, BDB, HALOT, TWOT, GHL, LXX, JLT — cite selectively</w:t>
            </w:r>
          </w:p>
        </w:tc>
      </w:tr>
    </w:tbl>
    <w:p>
      <w:pPr>
        <w:spacing w:after="160"/>
      </w:pPr>
      <w:r>
        <w:rPr>
          <w:rFonts w:ascii="Arial" w:cs="Arial" w:eastAsia="Arial" w:hAnsi="Arial"/>
          <w:sz w:val="22"/>
          <w:szCs w:val="22"/>
        </w:rPr>
        <w:t xml:space="preserve">Hebrew Grammar Abbreviation Key — printed below the Hebrew word table whenever one appears</w:t>
      </w:r>
    </w:p>
    <w:p>
      <w:pPr>
        <w:spacing w:after="160"/>
      </w:pPr>
      <w:r>
        <w:rPr>
          <w:rFonts w:ascii="Arial" w:cs="Arial" w:eastAsia="Arial" w:hAnsi="Arial"/>
          <w:sz w:val="22"/>
          <w:szCs w:val="22"/>
        </w:rPr>
        <w:t xml:space="preserve">Stem: Qal · Niphal · Piel · Pual · Hiphil · Hophal · Hitpael   |   State: Abs. (absolute) · Cstr. (construct)</w:t>
      </w:r>
    </w:p>
    <w:p>
      <w:pPr>
        <w:spacing w:after="160"/>
      </w:pPr>
      <w:r>
        <w:rPr>
          <w:rFonts w:ascii="Arial" w:cs="Arial" w:eastAsia="Arial" w:hAnsi="Arial"/>
          <w:sz w:val="22"/>
          <w:szCs w:val="22"/>
        </w:rPr>
        <w:t xml:space="preserve">Aspect: Perf. (perfect) · Impf. (imperfect) · Ptc. (participle) · Inf. Cs. (infinitive construct) · Inf. Abs. (infinitive absolute) · Impv. (imperative)</w:t>
      </w:r>
    </w:p>
    <w:p>
      <w:pPr>
        <w:spacing w:after="160"/>
      </w:pPr>
      <w:r>
        <w:rPr>
          <w:rFonts w:ascii="Arial" w:cs="Arial" w:eastAsia="Arial" w:hAnsi="Arial"/>
          <w:sz w:val="22"/>
          <w:szCs w:val="22"/>
        </w:rPr>
        <w:t xml:space="preserve">Gender: Masc. · Fem.   |   Number: Sg. · Pl. · Du. (dual)   |   Person: 1st/2nd/3rd Sg./Pl.</w:t>
      </w:r>
    </w:p>
    <w:p>
      <w:pPr>
        <w:pStyle w:val="Heading3"/>
        <w:spacing w:after="120" w:before="200"/>
      </w:pPr>
      <w:r>
        <w:rPr>
          <w:rFonts w:ascii="Arial" w:cs="Arial" w:eastAsia="Arial" w:hAnsi="Arial"/>
          <w:b/>
          <w:bCs/>
          <w:color w:val="375623"/>
          <w:sz w:val="23"/>
          <w:szCs w:val="23"/>
        </w:rPr>
        <w:t xml:space="preserve">Study Questions — Three Parts</w:t>
      </w:r>
    </w:p>
    <w:p>
      <w:pPr>
        <w:spacing w:after="160"/>
      </w:pPr>
      <w:r>
        <w:rPr>
          <w:rFonts w:ascii="Arial" w:cs="Arial" w:eastAsia="Arial" w:hAnsi="Arial"/>
          <w:sz w:val="22"/>
          <w:szCs w:val="22"/>
        </w:rPr>
        <w:t xml:space="preserve">Part 1 — From the Commentary: two-column review table.</w:t>
      </w:r>
    </w:p>
    <w:p>
      <w:pPr>
        <w:spacing w:after="160"/>
      </w:pPr>
      <w:r>
        <w:rPr>
          <w:rFonts w:ascii="Arial" w:cs="Arial" w:eastAsia="Arial" w:hAnsi="Arial"/>
          <w:sz w:val="22"/>
          <w:szCs w:val="22"/>
        </w:rPr>
        <w:t xml:space="preserve">Part 2 — Study Questions: 5 questions, each with a leader answer box drawn from commentary and Greek word study.</w:t>
      </w:r>
    </w:p>
    <w:p>
      <w:pPr>
        <w:spacing w:after="160"/>
      </w:pPr>
      <w:r>
        <w:rPr>
          <w:rFonts w:ascii="Arial" w:cs="Arial" w:eastAsia="Arial" w:hAnsi="Arial"/>
          <w:sz w:val="22"/>
          <w:szCs w:val="22"/>
        </w:rPr>
        <w:t xml:space="preserve">Part 3 — Passage Summary: three-column table.</w:t>
      </w:r>
    </w:p>
    <w:p>
      <w:pPr>
        <w:pStyle w:val="Heading2"/>
        <w:spacing w:after="140" w:before="260"/>
      </w:pPr>
      <w:r>
        <w:rPr>
          <w:rFonts w:ascii="Arial" w:cs="Arial" w:eastAsia="Arial" w:hAnsi="Arial"/>
          <w:b/>
          <w:bCs/>
          <w:color w:val="2E5496"/>
          <w:sz w:val="26"/>
          <w:szCs w:val="26"/>
        </w:rPr>
        <w:t xml:space="preserve">⑤ Application</w:t>
      </w:r>
    </w:p>
    <w:p>
      <w:pPr>
        <w:spacing w:after="160"/>
      </w:pPr>
      <w:r>
        <w:rPr>
          <w:rFonts w:ascii="Arial" w:cs="Arial" w:eastAsia="Arial" w:hAnsi="Arial"/>
          <w:sz w:val="22"/>
          <w:szCs w:val="22"/>
        </w:rPr>
        <w:t xml:space="preserve">3–4 applications. May draw from Commentary ③, Devotional ②, Self-Study Guide ④, and/or FGR.docx.</w:t>
      </w:r>
    </w:p>
    <w:p>
      <w:pPr>
        <w:spacing w:after="160"/>
      </w:pPr>
      <w:r>
        <w:rPr>
          <w:rFonts w:ascii="Arial" w:cs="Arial" w:eastAsia="Arial" w:hAnsi="Arial"/>
          <w:sz w:val="22"/>
          <w:szCs w:val="22"/>
        </w:rPr>
        <w:t xml:space="preserve">Each application carries a source reference note identifying which section it draws from.</w:t>
      </w:r>
    </w:p>
    <w:p>
      <w:pPr>
        <w:spacing w:after="160"/>
      </w:pPr>
      <w:r>
        <w:rPr>
          <w:rFonts w:ascii="Arial" w:cs="Arial" w:eastAsia="Arial" w:hAnsi="Arial"/>
          <w:sz w:val="22"/>
          <w:szCs w:val="22"/>
        </w:rPr>
        <w:t xml:space="preserve">Format: Title · Scripture anchor · Source reference note · Body paragraph · Reflection · Practical Step.</w:t>
      </w:r>
    </w:p>
    <w:p>
      <w:pPr>
        <w:spacing w:after="160"/>
      </w:pPr>
      <w:r>
        <w:rPr>
          <w:rFonts w:ascii="Arial" w:cs="Arial" w:eastAsia="Arial" w:hAnsi="Arial"/>
          <w:sz w:val="22"/>
          <w:szCs w:val="22"/>
        </w:rPr>
        <w:t xml:space="preserve">Ends: 'End of Study · [Passage]' centered italic.</w:t>
      </w:r>
    </w:p>
    <w:p>
      <w:r>
        <w:br w:type="page"/>
      </w:r>
    </w:p>
    <w:p>
      <w:pPr>
        <w:pStyle w:val="Heading1"/>
        <w:spacing w:after="160" w:before="320"/>
      </w:pPr>
      <w:r>
        <w:rPr>
          <w:rFonts w:ascii="Arial" w:cs="Arial" w:eastAsia="Arial" w:hAnsi="Arial"/>
          <w:b/>
          <w:bCs/>
          <w:color w:val="1F3864"/>
          <w:sz w:val="30"/>
          <w:szCs w:val="30"/>
        </w:rPr>
        <w:t xml:space="preserve">Formatting Rules</w:t>
      </w:r>
    </w:p>
    <w:p>
      <w:pPr>
        <w:pStyle w:val="Heading3"/>
        <w:spacing w:after="120" w:before="200"/>
      </w:pPr>
      <w:r>
        <w:rPr>
          <w:rFonts w:ascii="Arial" w:cs="Arial" w:eastAsia="Arial" w:hAnsi="Arial"/>
          <w:b/>
          <w:bCs/>
          <w:color w:val="375623"/>
          <w:sz w:val="23"/>
          <w:szCs w:val="23"/>
        </w:rPr>
        <w:t xml:space="preserve">Heading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c>
          <w:tcPr>
            <w:tcW w:type="dxa" w:w="14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Level</w:t>
            </w:r>
          </w:p>
        </w:tc>
        <w:tc>
          <w:tcPr>
            <w:tcW w:type="dxa" w:w="17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Hex Color</w:t>
            </w:r>
          </w:p>
        </w:tc>
        <w:tc>
          <w:tcPr>
            <w:tcW w:type="dxa" w:w="62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Used For</w:t>
            </w:r>
          </w:p>
        </w:tc>
      </w:tr>
      <w:tr>
        <w:tc>
          <w:tcPr>
            <w:tcW w:type="dxa" w:w="1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H1</w:t>
            </w:r>
          </w:p>
        </w:tc>
        <w:tc>
          <w:tcPr>
            <w:tcW w:type="dxa" w:w="1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#1F3864</w:t>
            </w:r>
          </w:p>
        </w:tc>
        <w:tc>
          <w:tcPr>
            <w:tcW w:type="dxa" w:w="62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Major outline points (I. II. III.) and section titles</w:t>
            </w:r>
          </w:p>
        </w:tc>
      </w:tr>
      <w:tr>
        <w:tc>
          <w:tcPr>
            <w:tcW w:type="dxa" w:w="1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H2</w:t>
            </w:r>
          </w:p>
        </w:tc>
        <w:tc>
          <w:tcPr>
            <w:tcW w:type="dxa" w:w="17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#2E5496</w:t>
            </w:r>
          </w:p>
        </w:tc>
        <w:tc>
          <w:tcPr>
            <w:tcW w:type="dxa" w:w="62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Sub-points (A. B. C.) and study sub-sections</w:t>
            </w:r>
          </w:p>
        </w:tc>
      </w:tr>
      <w:tr>
        <w:tc>
          <w:tcPr>
            <w:tcW w:type="dxa" w:w="1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H3</w:t>
            </w:r>
          </w:p>
        </w:tc>
        <w:tc>
          <w:tcPr>
            <w:tcW w:type="dxa" w:w="17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#375623</w:t>
            </w:r>
          </w:p>
        </w:tc>
        <w:tc>
          <w:tcPr>
            <w:tcW w:type="dxa" w:w="62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Sub-sub-points (1. 2. 3.) and study detail headings</w:t>
            </w:r>
          </w:p>
        </w:tc>
      </w:tr>
    </w:tbl>
    <w:p>
      <w:pPr>
        <w:pStyle w:val="Heading3"/>
        <w:spacing w:after="120" w:before="200"/>
      </w:pPr>
      <w:r>
        <w:rPr>
          <w:rFonts w:ascii="Arial" w:cs="Arial" w:eastAsia="Arial" w:hAnsi="Arial"/>
          <w:b/>
          <w:bCs/>
          <w:color w:val="375623"/>
          <w:sz w:val="23"/>
          <w:szCs w:val="23"/>
        </w:rPr>
        <w:t xml:space="preserve">Section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Symbol</w:t>
            </w:r>
          </w:p>
        </w:tc>
        <w:tc>
          <w:tcPr>
            <w:tcW w:type="dxa" w:w="25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Section</w:t>
            </w:r>
          </w:p>
        </w:tc>
        <w:tc>
          <w:tcPr>
            <w:tcW w:type="dxa" w:w="40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Color</w:t>
            </w:r>
          </w:p>
        </w:tc>
      </w:tr>
      <w:tr>
        <w:tc>
          <w:tcPr>
            <w:tcW w:type="dxa" w:w="2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① BIBLICAL TEXT</w:t>
            </w:r>
          </w:p>
        </w:tc>
        <w:tc>
          <w:tcPr>
            <w:tcW w:type="dxa" w:w="25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 Biblical Text</w:t>
            </w:r>
          </w:p>
        </w:tc>
        <w:tc>
          <w:tcPr>
            <w:tcW w:type="dxa" w:w="4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Navy #1F3864, navy underline</w:t>
            </w:r>
          </w:p>
        </w:tc>
      </w:tr>
      <w:tr>
        <w:tc>
          <w:tcPr>
            <w:tcW w:type="dxa" w:w="2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② DEVOTIONAL</w:t>
            </w:r>
          </w:p>
        </w:tc>
        <w:tc>
          <w:tcPr>
            <w:tcW w:type="dxa" w:w="25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Devotional</w:t>
            </w:r>
          </w:p>
        </w:tc>
        <w:tc>
          <w:tcPr>
            <w:tcW w:type="dxa" w:w="4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Green #375623, green underline</w:t>
            </w:r>
          </w:p>
        </w:tc>
      </w:tr>
      <w:tr>
        <w:tc>
          <w:tcPr>
            <w:tcW w:type="dxa" w:w="2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③ COMMENTARY</w:t>
            </w:r>
          </w:p>
        </w:tc>
        <w:tc>
          <w:tcPr>
            <w:tcW w:type="dxa" w:w="25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Commentary</w:t>
            </w:r>
          </w:p>
        </w:tc>
        <w:tc>
          <w:tcPr>
            <w:tcW w:type="dxa" w:w="4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Blue #2E5496, blue underline</w:t>
            </w:r>
          </w:p>
        </w:tc>
      </w:tr>
      <w:tr>
        <w:tc>
          <w:tcPr>
            <w:tcW w:type="dxa" w:w="2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④ SELF-STUDY GUIDE</w:t>
            </w:r>
          </w:p>
        </w:tc>
        <w:tc>
          <w:tcPr>
            <w:tcW w:type="dxa" w:w="25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Self-Study Guide</w:t>
            </w:r>
          </w:p>
        </w:tc>
        <w:tc>
          <w:tcPr>
            <w:tcW w:type="dxa" w:w="40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Purple #7030A0, purple underline</w:t>
            </w:r>
          </w:p>
        </w:tc>
      </w:tr>
      <w:tr>
        <w:tc>
          <w:tcPr>
            <w:tcW w:type="dxa" w:w="2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⑤ APPLICATION</w:t>
            </w:r>
          </w:p>
        </w:tc>
        <w:tc>
          <w:tcPr>
            <w:tcW w:type="dxa" w:w="25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Application</w:t>
            </w:r>
          </w:p>
        </w:tc>
        <w:tc>
          <w:tcPr>
            <w:tcW w:type="dxa" w:w="40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Navy #1F3864, navy underline</w:t>
            </w:r>
          </w:p>
        </w:tc>
      </w:tr>
    </w:tbl>
    <w:p>
      <w:pPr>
        <w:pStyle w:val="Heading3"/>
        <w:spacing w:after="120" w:before="200"/>
      </w:pPr>
      <w:r>
        <w:rPr>
          <w:rFonts w:ascii="Arial" w:cs="Arial" w:eastAsia="Arial" w:hAnsi="Arial"/>
          <w:b/>
          <w:bCs/>
          <w:color w:val="375623"/>
          <w:sz w:val="23"/>
          <w:szCs w:val="23"/>
        </w:rPr>
        <w:t xml:space="preserve">Tables, Boxes</w:t>
      </w:r>
    </w:p>
    <w:p>
      <w:pPr>
        <w:spacing w:after="160"/>
      </w:pPr>
      <w:r>
        <w:rPr>
          <w:rFonts w:ascii="Arial" w:cs="Arial" w:eastAsia="Arial" w:hAnsi="Arial"/>
          <w:sz w:val="22"/>
          <w:szCs w:val="22"/>
        </w:rPr>
        <w:t xml:space="preserve">Tables: header row blue fill #2E5496, white bold text; data rows alternate white and light blue #F2F6FC.</w:t>
      </w:r>
    </w:p>
    <w:p>
      <w:pPr>
        <w:spacing w:after="160"/>
      </w:pPr>
      <w:r>
        <w:rPr>
          <w:rFonts w:ascii="Arial" w:cs="Arial" w:eastAsia="Arial" w:hAnsi="Arial"/>
          <w:sz w:val="22"/>
          <w:szCs w:val="22"/>
        </w:rPr>
        <w:t xml:space="preserve">Devotional pull-quote box: fill #F0F4EE, thick green left border 18pt #375623.</w:t>
      </w:r>
    </w:p>
    <w:p>
      <w:pPr>
        <w:spacing w:after="160"/>
      </w:pPr>
      <w:r>
        <w:rPr>
          <w:rFonts w:ascii="Arial" w:cs="Arial" w:eastAsia="Arial" w:hAnsi="Arial"/>
          <w:sz w:val="22"/>
          <w:szCs w:val="22"/>
        </w:rPr>
        <w:t xml:space="preserve">Answer boxes: left border blue 6pt #2E5496, fill light blue-grey #F7F9FC.</w:t>
      </w:r>
    </w:p>
    <w:p>
      <w:pPr>
        <w:pStyle w:val="Heading1"/>
        <w:spacing w:after="160" w:before="320"/>
      </w:pPr>
      <w:r>
        <w:rPr>
          <w:rFonts w:ascii="Arial" w:cs="Arial" w:eastAsia="Arial" w:hAnsi="Arial"/>
          <w:b/>
          <w:bCs/>
          <w:color w:val="1F3864"/>
          <w:sz w:val="30"/>
          <w:szCs w:val="30"/>
        </w:rPr>
        <w:t xml:space="preserve">Reference Sources — Full List — Revised in Version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c>
          <w:tcPr>
            <w:tcW w:type="dxa" w:w="11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Code</w:t>
            </w:r>
          </w:p>
        </w:tc>
        <w:tc>
          <w:tcPr>
            <w:tcW w:type="dxa" w:w="35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Source</w:t>
            </w:r>
          </w:p>
        </w:tc>
        <w:tc>
          <w:tcPr>
            <w:tcW w:type="dxa" w:w="47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When to use</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FGR</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FGR.docx</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Word definitions, doctrinal notes, cross-references, dispensational framework. May also be used in Application.</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RTR</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RTR.docx</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Expository depth, pastoral application, illustrative comments. Commentary Modes B and C.</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BLB</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Blue Letter Bible</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Greek and Hebrew grammatical parsing and lexical forms. Required source for ④ word tables.</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Strong's Concordance</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Core gloss / definition (Greek or Hebrew). Cite when sufficient on its own.</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THAY</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Thayer's Greek Lexicon</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Expanded scholarly definition and nuance (Greek).</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ATR</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A.T. Robertson, Word Pictures in the NT</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Syntactical commentary on grammatical forms in context (Greek).</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VINE</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W.E. Vine, Expository Dictionary</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Cross-passage usage (Greek).</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MRV</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Marvin R. Vincent, Word Studies in the NT</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Classical and Hellenistic Greek background.</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LXX</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Septuagint usage</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OT theological background via the Greek OT; also connects a Hebrew term to NT Greek vocabulary.</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BDB</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Brown-Driver-Briggs Hebrew and English Lexicon</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Standard scholarly Hebrew definition and nuance. Added in Version 16.</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HALOT</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 Hebrew and Aramaic Lexicon of the Old Testament</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Expanded scholarly Hebrew definition, ANE comparative background. Added in Version 16.</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TWOT</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Theological Wordbook of the Old Testament</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Theological/doctrinal usage of a Hebrew term across the OT. Added in Version 16.</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GHL</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Gesenius' Hebrew-Aramaic Lexicon of the OT</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Historical, classical, and etymological Hebrew background. Added in Version 16.</w:t>
            </w:r>
          </w:p>
        </w:tc>
      </w:tr>
      <w:tr>
        <w:tc>
          <w:tcPr>
            <w:tcW w:type="dxa" w:w="11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JLT</w:t>
            </w:r>
          </w:p>
        </w:tc>
        <w:tc>
          <w:tcPr>
            <w:tcW w:type="dxa" w:w="35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Jewish Liturgical Tradition (Siddur, Haggadah, related usage)</w:t>
            </w:r>
          </w:p>
        </w:tc>
        <w:tc>
          <w:tcPr>
            <w:tcW w:type="dxa" w:w="4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Living devotional/liturgical use of a Hebrew term. Added in Version 16.</w:t>
            </w:r>
          </w:p>
        </w:tc>
      </w:tr>
      <w:tr>
        <w:tc>
          <w:tcPr>
            <w:tcW w:type="dxa" w:w="11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IDR</w:t>
            </w:r>
          </w:p>
        </w:tc>
        <w:tc>
          <w:tcPr>
            <w:tcW w:type="dxa" w:w="35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International &amp; Digital Research Candidates — claude/international-digital-research-orgs-candidates.md</w:t>
            </w:r>
          </w:p>
        </w:tc>
        <w:tc>
          <w:tcPr>
            <w:tcW w:type="dxa" w:w="4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Culture, trend, and demographic research: global baseline (Pew Research, Center for the Study of Global Christianity, Operation World, Lausanne Movement), Europe (Evangelical Alliance UK, European Evangelical Alliance), Asia/Asia-Pacific (Pew Asia studies, National Church Life Survey, Asia Evangelical Alliance), and digital-ministry trends (Barna Group). Mode C (white paper) only — check for one supporting statistic or trend finding; not a doctrinal source. Added in Version 17.</w:t>
            </w:r>
          </w:p>
        </w:tc>
      </w:tr>
    </w:tbl>
    <w:p>
      <w:pPr>
        <w:pStyle w:val="Heading1"/>
        <w:spacing w:after="160" w:before="320"/>
      </w:pPr>
      <w:r>
        <w:rPr>
          <w:rFonts w:ascii="Arial" w:cs="Arial" w:eastAsia="Arial" w:hAnsi="Arial"/>
          <w:b/>
          <w:bCs/>
          <w:color w:val="1F3864"/>
          <w:sz w:val="30"/>
          <w:szCs w:val="30"/>
        </w:rPr>
        <w:t xml:space="preserve">Theological Default — Free Grace / GES</w:t>
      </w:r>
    </w:p>
    <w:p>
      <w:pPr>
        <w:spacing w:after="160"/>
      </w:pPr>
      <w:r>
        <w:rPr>
          <w:rFonts w:ascii="Arial" w:cs="Arial" w:eastAsia="Arial" w:hAnsi="Arial"/>
          <w:sz w:val="22"/>
          <w:szCs w:val="22"/>
        </w:rPr>
        <w:t xml:space="preserve">This is a deliberate, standing theological commitment — not a formatting note. It governs how soteriology, sanctification, and perseverance are framed throughout the Commentary and the Greek Word Study whenever no sermon governs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Mode</w:t>
            </w:r>
          </w:p>
        </w:tc>
        <w:tc>
          <w:tcPr>
            <w:tcW w:type="dxa" w:w="27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Theological Lens</w:t>
            </w:r>
          </w:p>
        </w:tc>
        <w:tc>
          <w:tcPr>
            <w:tcW w:type="dxa" w:w="42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Rule</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A — Sermon-based</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 sermon's own theology, as preached</w:t>
            </w:r>
          </w:p>
        </w:tc>
        <w:tc>
          <w:tcPr>
            <w:tcW w:type="dxa" w:w="42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The provided sermon's content always governs. Free Grace/GES is NOT applied to reinterpret or override a sermon's actual content or framing.</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B — Research-based (no sermon)</w:t>
            </w:r>
          </w:p>
        </w:tc>
        <w:tc>
          <w:tcPr>
            <w:tcW w:type="dxa" w:w="27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Free Grace / GES — DEFAULT</w:t>
            </w:r>
          </w:p>
        </w:tc>
        <w:tc>
          <w:tcPr>
            <w:tcW w:type="dxa" w:w="42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In the absence of a sermon, commentary defaults to a Free Grace / GES interpretive framework unless special notes instruct otherwise.</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Mode C — Formal / White Paper</w:t>
            </w:r>
          </w:p>
        </w:tc>
        <w:tc>
          <w:tcPr>
            <w:tcW w:type="dxa" w:w="27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Free Grace / GES, with optional noted alternative</w:t>
            </w:r>
          </w:p>
        </w:tc>
        <w:tc>
          <w:tcPr>
            <w:tcW w:type="dxa" w:w="42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Same default as Mode B. A brief alternative reading MAY appear via endnote; GES remains the commentary's own stated position.</w:t>
            </w:r>
          </w:p>
        </w:tc>
      </w:tr>
    </w:tbl>
    <w:p>
      <w:pPr>
        <w:spacing w:after="160"/>
      </w:pPr>
      <w:r>
        <w:rPr>
          <w:rFonts w:ascii="Arial" w:cs="Arial" w:eastAsia="Arial" w:hAnsi="Arial"/>
          <w:sz w:val="22"/>
          <w:szCs w:val="22"/>
        </w:rPr>
        <w:t xml:space="preserve">Eternal life is received by faith alone in Christ alone, the moment a person believes — a settled, permanent, unconditional gift, not contingent on subsequent perseverance, fruit, or works. A clear distinction is maintained between the gift of eternal life and the call to discipleship, sanctification, and reward. Warnings and exhortations are read as addressed to genuine believers regarding their present walk and future reward — not as implicit tests of whether saving faith was ever genuine.</w:t>
      </w:r>
    </w:p>
    <w:p>
      <w:pPr>
        <w:spacing w:after="160"/>
      </w:pPr>
      <w:r>
        <w:rPr>
          <w:rFonts w:ascii="Arial" w:cs="Arial" w:eastAsia="Arial" w:hAnsi="Arial"/>
          <w:sz w:val="22"/>
          <w:szCs w:val="22"/>
        </w:rPr>
        <w:t xml:space="preserve">Overriding the default: add to Special Notes, e.g., 'Use Reformed framing this week' or 'Present both Free Grace and Reformed views.' Without such an instruction, and without a governing sermon, GES is the standing default for every Mode B and Mode C study.</w:t>
      </w:r>
    </w:p>
    <w:p>
      <w:pPr>
        <w:pStyle w:val="Heading1"/>
        <w:spacing w:after="160" w:before="320"/>
      </w:pPr>
      <w:r>
        <w:rPr>
          <w:rFonts w:ascii="Arial" w:cs="Arial" w:eastAsia="Arial" w:hAnsi="Arial"/>
          <w:b/>
          <w:bCs/>
          <w:color w:val="1F3864"/>
          <w:sz w:val="30"/>
          <w:szCs w:val="30"/>
        </w:rPr>
        <w:t xml:space="preserve">Commentary Tone and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Principle</w:t>
            </w:r>
          </w:p>
        </w:tc>
        <w:tc>
          <w:tcPr>
            <w:tcW w:type="dxa" w:w="353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What it means</w:t>
            </w:r>
          </w:p>
        </w:tc>
        <w:tc>
          <w:tcPr>
            <w:tcW w:type="dxa" w:w="353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What it avoids</w:t>
            </w:r>
          </w:p>
        </w:tc>
      </w:tr>
      <w:tr>
        <w:tc>
          <w:tcPr>
            <w:tcW w:type="dxa" w:w="23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Warm</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Writes to a person, not at an audience.</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Cold, clinical, or detached prose.</w:t>
            </w:r>
          </w:p>
        </w:tc>
      </w:tr>
      <w:tr>
        <w:tc>
          <w:tcPr>
            <w:tcW w:type="dxa" w:w="23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Illustrative</w:t>
            </w:r>
          </w:p>
        </w:tc>
        <w:tc>
          <w:tcPr>
            <w:tcW w:type="dxa" w:w="353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Uses word pictures, analogies, and brief stories.</w:t>
            </w:r>
          </w:p>
        </w:tc>
        <w:tc>
          <w:tcPr>
            <w:tcW w:type="dxa" w:w="353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Abstract theology without grounding in human experience.</w:t>
            </w:r>
          </w:p>
        </w:tc>
      </w:tr>
      <w:tr>
        <w:tc>
          <w:tcPr>
            <w:tcW w:type="dxa" w:w="23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Pastoral</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Keeps the reader's spiritual life in view.</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Commentary that informs but never applies or engages the heart.</w:t>
            </w:r>
          </w:p>
        </w:tc>
      </w:tr>
      <w:tr>
        <w:tc>
          <w:tcPr>
            <w:tcW w:type="dxa" w:w="23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Personal</w:t>
            </w:r>
          </w:p>
        </w:tc>
        <w:tc>
          <w:tcPr>
            <w:tcW w:type="dxa" w:w="353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May use first-person reference comments to illustrate.</w:t>
            </w:r>
          </w:p>
        </w:tc>
        <w:tc>
          <w:tcPr>
            <w:tcW w:type="dxa" w:w="353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Excessive personal anecdote that replaces biblical content.</w:t>
            </w:r>
          </w:p>
        </w:tc>
      </w:tr>
      <w:tr>
        <w:tc>
          <w:tcPr>
            <w:tcW w:type="dxa" w:w="23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In-depth where needed</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Engages theological weight honestly, with warmth.</w:t>
            </w:r>
          </w:p>
        </w:tc>
        <w:tc>
          <w:tcPr>
            <w:tcW w:type="dxa" w:w="353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Superficial handling of hard texts OR unnecessarily dense treatment.</w:t>
            </w:r>
          </w:p>
        </w:tc>
      </w:tr>
    </w:tbl>
    <w:p>
      <w:pPr>
        <w:pStyle w:val="Heading1"/>
        <w:spacing w:after="160" w:before="320"/>
      </w:pPr>
      <w:r>
        <w:rPr>
          <w:rFonts w:ascii="Arial" w:cs="Arial" w:eastAsia="Arial" w:hAnsi="Arial"/>
          <w:b/>
          <w:bCs/>
          <w:color w:val="1F3864"/>
          <w:sz w:val="30"/>
          <w:szCs w:val="30"/>
        </w:rPr>
        <w:t xml:space="preserve">How to Start a New Study</w:t>
      </w:r>
    </w:p>
    <w:p>
      <w:pPr>
        <w:spacing w:after="160"/>
      </w:pPr>
      <w:r>
        <w:rPr>
          <w:rFonts w:ascii="Arial" w:cs="Arial" w:eastAsia="Arial" w:hAnsi="Arial"/>
          <w:sz w:val="22"/>
          <w:szCs w:val="22"/>
        </w:rPr>
        <w:t xml:space="preserve">Each new study requires: (1) the standing preamble pasted in full, and (2) the week-specific content.</w:t>
      </w:r>
    </w:p>
    <w:p>
      <w:pPr>
        <w:pStyle w:val="Heading2"/>
        <w:spacing w:after="140" w:before="260"/>
      </w:pPr>
      <w:r>
        <w:rPr>
          <w:rFonts w:ascii="Arial" w:cs="Arial" w:eastAsia="Arial" w:hAnsi="Arial"/>
          <w:b/>
          <w:bCs/>
          <w:color w:val="2E5496"/>
          <w:sz w:val="26"/>
          <w:szCs w:val="26"/>
        </w:rPr>
        <w:t xml:space="preserve">What to Provide Each Week — Revised in Version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Item</w:t>
            </w:r>
          </w:p>
        </w:tc>
        <w:tc>
          <w:tcPr>
            <w:tcW w:type="dxa" w:w="216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When required</w:t>
            </w:r>
          </w:p>
        </w:tc>
        <w:tc>
          <w:tcPr>
            <w:tcW w:type="dxa" w:w="4800"/>
            <w:shd w:fill="2E5496" w:val="clear"/>
            <w:tcMar>
              <w:top w:type="dxa" w:w="80"/>
              <w:left w:type="dxa" w:w="100"/>
              <w:bottom w:type="dxa" w:w="80"/>
              <w:right w:type="dxa" w:w="100"/>
            </w:tcMar>
            <w:vAlign w:val="center"/>
          </w:tcPr>
          <w:p>
            <w:r>
              <w:rPr>
                <w:rFonts w:ascii="Arial" w:cs="Arial" w:eastAsia="Arial" w:hAnsi="Arial"/>
                <w:b/>
                <w:bCs/>
                <w:color w:val="FFFFFF"/>
                <w:sz w:val="20"/>
                <w:szCs w:val="20"/>
              </w:rPr>
              <w:t xml:space="preserve">How to provide it</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Passage reference</w:t>
            </w:r>
          </w:p>
        </w:tc>
        <w:tc>
          <w:tcPr>
            <w:tcW w:type="dxa" w:w="21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Every week</w:t>
            </w:r>
          </w:p>
        </w:tc>
        <w:tc>
          <w:tcPr>
            <w:tcW w:type="dxa" w:w="4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e.g., 1 Thessalonians 5:23–28</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Source</w:t>
            </w:r>
          </w:p>
        </w:tc>
        <w:tc>
          <w:tcPr>
            <w:tcW w:type="dxa" w:w="21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Every week — live input</w:t>
            </w:r>
          </w:p>
        </w:tc>
        <w:tc>
          <w:tcPr>
            <w:tcW w:type="dxa" w:w="4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Gathered live at draft time. If not given, the assistant asks for it directly rather than inferring it from file metadata, transcript audio, or context. If deferred, a blank input line is rendered on the title page instead of a guess.</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Editor</w:t>
            </w:r>
          </w:p>
        </w:tc>
        <w:tc>
          <w:tcPr>
            <w:tcW w:type="dxa" w:w="21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As applicable — live input</w:t>
            </w:r>
          </w:p>
        </w:tc>
        <w:tc>
          <w:tcPr>
            <w:tcW w:type="dxa" w:w="4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Same handling as Source: asked directly if not given, never inferred. Leave blank or state 'No editor' to render a blank line.</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File name</w:t>
            </w:r>
          </w:p>
        </w:tc>
        <w:tc>
          <w:tcPr>
            <w:tcW w:type="dxa" w:w="21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Optional</w:t>
            </w:r>
          </w:p>
        </w:tc>
        <w:tc>
          <w:tcPr>
            <w:tcW w:type="dxa" w:w="4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Exact file name to use, or state 'use default.'</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Sermon transcript</w:t>
            </w:r>
          </w:p>
        </w:tc>
        <w:tc>
          <w:tcPr>
            <w:tcW w:type="dxa" w:w="21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When available</w:t>
            </w:r>
          </w:p>
        </w:tc>
        <w:tc>
          <w:tcPr>
            <w:tcW w:type="dxa" w:w="4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Paste as plain text after the preamble (Mode A).</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No-sermon instruction</w:t>
            </w:r>
          </w:p>
        </w:tc>
        <w:tc>
          <w:tcPr>
            <w:tcW w:type="dxa" w:w="21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When no sermon exists</w:t>
            </w:r>
          </w:p>
        </w:tc>
        <w:tc>
          <w:tcPr>
            <w:tcW w:type="dxa" w:w="4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Add: 'No sermon — develop commentary from the passage. Use FGR / RTR as advised.' (Mode B)</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Formal output instruction</w:t>
            </w:r>
          </w:p>
        </w:tc>
        <w:tc>
          <w:tcPr>
            <w:tcW w:type="dxa" w:w="21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For scholarly / white paper</w:t>
            </w:r>
          </w:p>
        </w:tc>
        <w:tc>
          <w:tcPr>
            <w:tcW w:type="dxa" w:w="4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Add: 'Formal output — use endnote citations.' (Mode C) Optionally also check IDR (International &amp; Digital Research Candidates, claude/international-digital-research-orgs-candidates.md) for one supporting statistic or trend finding — new in Version 17.</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Existing outline</w:t>
            </w:r>
          </w:p>
        </w:tc>
        <w:tc>
          <w:tcPr>
            <w:tcW w:type="dxa" w:w="21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If available</w:t>
            </w:r>
          </w:p>
        </w:tc>
        <w:tc>
          <w:tcPr>
            <w:tcW w:type="dxa" w:w="4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Paste after sermon; add 'merge commentary into this outline.'</w:t>
            </w:r>
          </w:p>
        </w:tc>
      </w:tr>
      <w:tr>
        <w:tc>
          <w:tcPr>
            <w:tcW w:type="dxa" w:w="24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Translation</w:t>
            </w:r>
          </w:p>
        </w:tc>
        <w:tc>
          <w:tcPr>
            <w:tcW w:type="dxa" w:w="216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Each week</w:t>
            </w:r>
          </w:p>
        </w:tc>
        <w:tc>
          <w:tcPr>
            <w:tcW w:type="dxa" w:w="4800"/>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Specify NKJV (default) or NASB.</w:t>
            </w:r>
          </w:p>
        </w:tc>
      </w:tr>
      <w:tr>
        <w:tc>
          <w:tcPr>
            <w:tcW w:type="dxa" w:w="24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Special notes</w:t>
            </w:r>
          </w:p>
        </w:tc>
        <w:tc>
          <w:tcPr>
            <w:tcW w:type="dxa" w:w="216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As needed</w:t>
            </w:r>
          </w:p>
        </w:tc>
        <w:tc>
          <w:tcPr>
            <w:tcW w:type="dxa" w:w="4800"/>
            <w:shd w:fill="F2F6FC" w:val="clear"/>
            <w:tcMar>
              <w:top w:type="dxa" w:w="80"/>
              <w:left w:type="dxa" w:w="100"/>
              <w:bottom w:type="dxa" w:w="80"/>
              <w:right w:type="dxa" w:w="100"/>
            </w:tcMar>
            <w:vAlign w:val="center"/>
          </w:tcPr>
          <w:p>
            <w:r>
              <w:rPr>
                <w:rFonts w:ascii="Arial" w:cs="Arial" w:eastAsia="Arial" w:hAnsi="Arial"/>
                <w:b w:val="false"/>
                <w:bCs w:val="false"/>
                <w:color w:val="000000"/>
                <w:sz w:val="20"/>
                <w:szCs w:val="20"/>
              </w:rPr>
              <w:t xml:space="preserve">e.g., 'skip Greek this week,' 'skip Hebrew this week,' 'include FGR note on v.4,' 'skip verification.'</w:t>
            </w:r>
          </w:p>
        </w:tc>
      </w:tr>
    </w:tbl>
    <w:p>
      <w:pPr>
        <w:pStyle w:val="Heading2"/>
        <w:spacing w:after="140" w:before="260"/>
      </w:pPr>
      <w:r>
        <w:rPr>
          <w:rFonts w:ascii="Arial" w:cs="Arial" w:eastAsia="Arial" w:hAnsi="Arial"/>
          <w:b/>
          <w:bCs/>
          <w:color w:val="2E5496"/>
          <w:sz w:val="26"/>
          <w:szCs w:val="26"/>
        </w:rPr>
        <w:t xml:space="preserve">Verification Pass — Recap</w:t>
      </w:r>
    </w:p>
    <w:p>
      <w:pPr>
        <w:spacing w:after="160"/>
      </w:pPr>
      <w:r>
        <w:rPr>
          <w:rFonts w:ascii="Arial" w:cs="Arial" w:eastAsia="Arial" w:hAnsi="Arial"/>
          <w:sz w:val="22"/>
          <w:szCs w:val="22"/>
        </w:rPr>
        <w:t xml:space="preserve">For Mode A studies, the assistant automatically runs the full Verification Pass — a Content-Unit Checklist built before drafting, then a Proper-Noun/Number/Citation Pass and a Mechanical Comparison Pass after drafting — before delivering the document, and reports corrections, a Numbered Findings Table, and a word-count transparency figure in an Editorial Notes list alongside the finished file. Under Version 14, the Commentary is a lightly cleaned transcript rather than a condensed paraphrase, so the word-count ratio should typically run 90–100%+ of the source; a materially lower ratio is a signal to re-run the Mechanical Comparison Pass. None of this is gated by word count as a pass/fail threshold. Add 'skip verification' to Special notes only if this check should be skipped for that week's draft.</w:t>
      </w:r>
    </w:p>
    <w:p>
      <w:pPr>
        <w:pStyle w:val="Heading2"/>
        <w:spacing w:after="140" w:before="260"/>
      </w:pPr>
      <w:r>
        <w:rPr>
          <w:rFonts w:ascii="Arial" w:cs="Arial" w:eastAsia="Arial" w:hAnsi="Arial"/>
          <w:b/>
          <w:bCs/>
          <w:color w:val="2E5496"/>
          <w:sz w:val="26"/>
          <w:szCs w:val="26"/>
        </w:rPr>
        <w:t xml:space="preserve">Suggested Wording for the "Special Notes" Field</w:t>
      </w:r>
    </w:p>
    <w:p>
      <w:pPr>
        <w:spacing w:after="160"/>
        <w:jc w:val="left"/>
      </w:pPr>
      <w:r>
        <w:rPr>
          <w:rFonts w:ascii="Arial" w:cs="Arial" w:eastAsia="Arial" w:hAnsi="Arial"/>
          <w:i/>
          <w:iCs/>
          <w:sz w:val="22"/>
          <w:szCs w:val="22"/>
        </w:rPr>
        <w:t xml:space="preserve">"Full merge — treat the outline as placement only, not a filter. Include all sermon/outline content per the default near-verbatim standard; only trim disfluencies, false starts, and very minor grammar."</w:t>
      </w:r>
    </w:p>
    <w:p>
      <w:pPr>
        <w:spacing w:after="160"/>
        <w:jc w:val="left"/>
      </w:pPr>
      <w:r>
        <w:rPr>
          <w:rFonts w:ascii="Arial" w:cs="Arial" w:eastAsia="Arial" w:hAnsi="Arial"/>
          <w:i/>
          <w:iCs/>
          <w:sz w:val="22"/>
          <w:szCs w:val="22"/>
        </w:rPr>
        <w:t xml:space="preserve">"Condensed merge this week — tighten to the main expository points only; illustrations and asides may be trimmed for length." (An explicit opt-out of the Version 14 near-verbatim default for that week only.)</w:t>
      </w:r>
    </w:p>
    <w:p>
      <w:pPr>
        <w:spacing w:after="160"/>
        <w:jc w:val="left"/>
      </w:pPr>
      <w:r>
        <w:rPr>
          <w:rFonts w:ascii="Arial" w:cs="Arial" w:eastAsia="Arial" w:hAnsi="Arial"/>
          <w:i/>
          <w:iCs/>
          <w:sz w:val="22"/>
          <w:szCs w:val="22"/>
        </w:rPr>
        <w:t xml:space="preserve">"Skip verification this week — no need for the Editorial Notes report; proceed directly to final draft without the fidelity pass."</w:t>
      </w:r>
    </w:p>
    <w:p>
      <w:r>
        <w:br w:type="page"/>
      </w:r>
    </w:p>
    <w:p>
      <w:pPr>
        <w:pStyle w:val="Heading1"/>
        <w:spacing w:after="160" w:before="320"/>
      </w:pPr>
      <w:r>
        <w:rPr>
          <w:rFonts w:ascii="Arial" w:cs="Arial" w:eastAsia="Arial" w:hAnsi="Arial"/>
          <w:b/>
          <w:bCs/>
          <w:color w:val="1F3864"/>
          <w:sz w:val="30"/>
          <w:szCs w:val="30"/>
        </w:rPr>
        <w:t xml:space="preserve">The Full Preamble — Copy and Paste This Every Time</w:t>
      </w:r>
    </w:p>
    <w:p>
      <w:pPr>
        <w:spacing w:after="160"/>
      </w:pPr>
      <w:r>
        <w:rPr>
          <w:rFonts w:ascii="Arial" w:cs="Arial" w:eastAsia="Arial" w:hAnsi="Arial"/>
          <w:sz w:val="22"/>
          <w:szCs w:val="22"/>
        </w:rPr>
        <w:t xml:space="preserve">Everything between the lines is permanent. Only the 'This week's study' section changes.</w:t>
      </w:r>
    </w:p>
    <w:p>
      <w:pPr>
        <w:spacing w:after="160"/>
      </w:pPr>
      <w:r>
        <w:rPr>
          <w:rFonts w:ascii="Arial" w:cs="Arial" w:eastAsia="Arial" w:hAnsi="Arial"/>
          <w:sz w:val="22"/>
          <w:szCs w:val="22"/>
        </w:rPr>
        <w:t xml:space="preserve">STANDING FORMAT INSTRUCTIONS — Small Group Bible Study Series · Version 17. Paste this block before every new study request. Document format: Single Word (.docx) file, named '[Passage Reference] - [Sermon/Study Title].docx' (colons → periods, no version suffixes) · Arial font · US Letter · 1-inch margins · Page X of XX footer bottom-right every page. Each major section starts on a new page. Section sequence — always: ① The Biblical Text — NKJV or NASB. Verse numbers purple bold. Verse text italic dark grey. ② Devotional — immediately after the text, drawn from the sermon text and outline. Body 150–200 words. Structure: pull-quote → 2–3 paragraphs → 3 reflection questions → closing italic line. ③ Commentary — labeled 'Teacher preparation resource · Full text organized under outline headings'. Opens with proposition box. SOURCE RULES: if sermon provided, organize all text under outline headings (Mode A) — sermon content always governs, and the Commentary is a lightly cleaned transcript, not a condensed paraphrase: repeated emphasis, re-announced headings, and expressive illustrations are retained as spoken, not collapsed. Only three things may be trimmed without being itemized: (a) references to a physical visual aid not reproducible in text; (b) verbal disfluencies, false starts, and accidental dictation repeats; (c) very minor grammar/punctuation smoothing, including obvious transcription slips, disclosed as 'X corrected to Y.' Administrative/self-promotional asides are folded in rather than deleted by default. A repeated claim is kept every time it recurs. IN-DOCUMENT FLAGGING: when a content judgment call falls outside the three named exceptions (visual aids; disfluencies/false starts; minor grammar) — most often a source detail that may echo a real, identifiable person or event, or an ambiguous transcription Claude can't resolve with confidence — do not decide silently and do not pause to ask; leave the material in its original or nearest-original form and render it bold and underlined in the delivered document, so the requester spots and resolves it during their own editorial pass. Reserve this for genuine judgment calls, not routine cleanup — disfluencies and confident corrections (disclosed in Editorial Notes as 'X corrected to Y') are still handled silently. Word-count ratio should typically run 90–100%+ of the source; a materially lower ratio signals the Mechanical Comparison Pass should be re-run. VERIFICATION (automatic, Mode A, every week unless 'skip verification' is specified): (1) build a numbered Content-Unit Checklist before drafting and track each item Included or Omitted-with-reason; (2) after drafting, individually check every proper noun, number, and Scripture citation against the drafted text; (3) run a sentence-level Mechanical Comparison Pass, not a re-read; (4) present candidates as a Numbered Findings Table in the Editorial Notes, restorable by item number. Deliver the finished document together with a short Editorial Notes list disclosing corrections, the Numbered Findings Table, and confirmation all verification steps were run — a transparency report, not an approval gate. If no sermon: develop from passage using FGR / RTR as advised (Mode B). If formal output: use endnote citations (Mode C) — also check IDR (International &amp; Digital Research Candidates, claude/international-digital-research-orgs-candidates.md) for one supporting cultural or statistical citation relevant to the paper's argument, where relevant; not a doctrinal source, and this is a check-for-one-find step, not a survey requirement. THEOLOGICAL DEFAULT: in Mode B and Mode C, commentary defaults to Free Grace / GES for soteriology, sanctification, and perseverance, UNLESS a governing sermon is provided (Mode A) or special notes instruct otherwise. TONE: warm, illustrative, pastoral. Ends with 'Lord, thank You.' centered italic. ④ Self-Study Guide — labeled 'For use during the group meeting · Focused on the commentary text'. Greek Word Study: four-column table — Verse / Greek word (purple bold) + English translation (italic, same cell) / Strong's # + transliteration + grammatical form / Definition &amp; Significance. Six named sources available per word (STR, THAY, ATR, VINE, MRV, LXX) — cite selectively. Grammar key below table. HEBREW WORD STUDY (Version 16): added after the Greek Word Study — not for every passage that merely cites an OT book or verse in passing, but specifically when a Hebrew/Aramaic term or a piece of Jewish prayer/liturgical content is itself a significant, developed point in the message. If the week's primary passage is itself Old Testament, the Hebrew Word Study is the primary table instead, built the same way (10–14 significant terms). Same four-column structure as the Greek table, with Strong's H-numbers and seven named sources available (STR, BDB, HALOT, TWOT, GHL, LXX, JLT) — cite selectively; JLT is cited specifically for a term's living Jewish prayer/liturgical use. Hebrew grammar key (stem, state, aspect, gender, number, person) below the table. Study Questions: Part 1 commentary review table; Part 2 five questions with leader answer boxes; Part 3 passage summary table. ⑤ Application — 3–4 applications drawing from Commentary, Devotional, Self-Study Guide, and/or FGR.docx. Each: Title · Scripture anchor · Source reference note · Body paragraph · Reflection · Practical Step. Ends: 'End of Study · [Passage]' centered italic. Title page: passage reference · series title · attribution · three-row flow guide. SOURCE AND EDITOR ARE LIVE INPUTS — ask for them directly at draft time if not already given; never infer either from file metadata, transcript audio, or context; if deferred, render a blank input line ('Source: _______________' / 'Editor: _______________') rather than guessing. Heading colors: H1 navy #1F3864 · H2 blue #2E5496 · H3 green #375623. Section labels: ① navy · ② green · ③ blue · ④ purple · ⑤ navy. Tables: blue header row #2E5496, white text, alternating white/#F2F6FC rows. Body text: Arial 11pt, indent 360 DXA, line spacing 1.15.</w:t>
      </w:r>
    </w:p>
    <w:p>
      <w:pPr>
        <w:pBdr>
          <w:top w:val="single" w:color="999999" w:sz="6"/>
        </w:pBdr>
        <w:spacing w:after="200" w:before="200"/>
      </w:pPr>
    </w:p>
    <w:p>
      <w:pPr>
        <w:spacing w:after="160"/>
      </w:pPr>
      <w:r>
        <w:rPr>
          <w:rFonts w:ascii="Arial" w:cs="Arial" w:eastAsia="Arial" w:hAnsi="Arial"/>
          <w:b/>
          <w:bCs/>
          <w:sz w:val="22"/>
          <w:szCs w:val="22"/>
        </w:rPr>
        <w:t xml:space="preserve">This week's study:</w:t>
      </w:r>
    </w:p>
    <w:p>
      <w:pPr>
        <w:spacing w:after="160"/>
      </w:pPr>
      <w:r>
        <w:rPr>
          <w:rFonts w:ascii="Arial" w:cs="Arial" w:eastAsia="Arial" w:hAnsi="Arial"/>
          <w:sz w:val="22"/>
          <w:szCs w:val="22"/>
        </w:rPr>
        <w:t xml:space="preserve">Passage: [paste passage reference here]</w:t>
      </w:r>
    </w:p>
    <w:p>
      <w:pPr>
        <w:spacing w:after="160"/>
      </w:pPr>
      <w:r>
        <w:rPr>
          <w:rFonts w:ascii="Arial" w:cs="Arial" w:eastAsia="Arial" w:hAnsi="Arial"/>
          <w:sz w:val="22"/>
          <w:szCs w:val="22"/>
        </w:rPr>
        <w:t xml:space="preserve">Translation: [NKJV / NASB]</w:t>
      </w:r>
    </w:p>
    <w:p>
      <w:pPr>
        <w:spacing w:after="160"/>
      </w:pPr>
      <w:r>
        <w:rPr>
          <w:rFonts w:ascii="Arial" w:cs="Arial" w:eastAsia="Arial" w:hAnsi="Arial"/>
          <w:sz w:val="22"/>
          <w:szCs w:val="22"/>
        </w:rPr>
        <w:t xml:space="preserve">Source: [author/ministry name to credit — leave blank and say 'ask me' if you'd like this gathered live]</w:t>
      </w:r>
    </w:p>
    <w:p>
      <w:pPr>
        <w:spacing w:after="160"/>
      </w:pPr>
      <w:r>
        <w:rPr>
          <w:rFonts w:ascii="Arial" w:cs="Arial" w:eastAsia="Arial" w:hAnsi="Arial"/>
          <w:sz w:val="22"/>
          <w:szCs w:val="22"/>
        </w:rPr>
        <w:t xml:space="preserve">Editor: [name preparing this document, if different from Source — or state 'No editor']</w:t>
      </w:r>
    </w:p>
    <w:p>
      <w:pPr>
        <w:spacing w:after="160"/>
      </w:pPr>
      <w:r>
        <w:rPr>
          <w:rFonts w:ascii="Arial" w:cs="Arial" w:eastAsia="Arial" w:hAnsi="Arial"/>
          <w:sz w:val="22"/>
          <w:szCs w:val="22"/>
        </w:rPr>
        <w:t xml:space="preserve">File name: [exact .docx name to use — or state 'use default']</w:t>
      </w:r>
    </w:p>
    <w:p>
      <w:pPr>
        <w:spacing w:after="160"/>
      </w:pPr>
      <w:r>
        <w:rPr>
          <w:rFonts w:ascii="Arial" w:cs="Arial" w:eastAsia="Arial" w:hAnsi="Arial"/>
          <w:sz w:val="22"/>
          <w:szCs w:val="22"/>
        </w:rPr>
        <w:t xml:space="preserve">Sermon transcript: [paste if available — or state 'No sermon provided']</w:t>
      </w:r>
    </w:p>
    <w:p>
      <w:pPr>
        <w:spacing w:after="160"/>
      </w:pPr>
      <w:r>
        <w:rPr>
          <w:rFonts w:ascii="Arial" w:cs="Arial" w:eastAsia="Arial" w:hAnsi="Arial"/>
          <w:sz w:val="22"/>
          <w:szCs w:val="22"/>
        </w:rPr>
        <w:t xml:space="preserve">Commentary mode: [Mode A (sermon) / Mode B (research) / Mode C (formal)]</w:t>
      </w:r>
    </w:p>
    <w:p>
      <w:pPr>
        <w:spacing w:after="160"/>
      </w:pPr>
      <w:r>
        <w:rPr>
          <w:rFonts w:ascii="Arial" w:cs="Arial" w:eastAsia="Arial" w:hAnsi="Arial"/>
          <w:sz w:val="22"/>
          <w:szCs w:val="22"/>
        </w:rPr>
        <w:t xml:space="preserve">Reference sources: [FGR / RTR / IDR / combination / none] — IDR (International &amp; Digital Research Candidates) applies to Mode C only, new in Version 17</w:t>
      </w:r>
    </w:p>
    <w:p>
      <w:pPr>
        <w:spacing w:after="160"/>
      </w:pPr>
      <w:r>
        <w:rPr>
          <w:rFonts w:ascii="Arial" w:cs="Arial" w:eastAsia="Arial" w:hAnsi="Arial"/>
          <w:sz w:val="22"/>
          <w:szCs w:val="22"/>
        </w:rPr>
        <w:t xml:space="preserve">Outline: [paste here if available + add 'merge commentary into this outline']</w:t>
      </w:r>
    </w:p>
    <w:p>
      <w:pPr>
        <w:spacing w:after="160"/>
      </w:pPr>
      <w:r>
        <w:rPr>
          <w:rFonts w:ascii="Arial" w:cs="Arial" w:eastAsia="Arial" w:hAnsi="Arial"/>
          <w:sz w:val="22"/>
          <w:szCs w:val="22"/>
        </w:rPr>
        <w:t xml:space="preserve">Special notes: [e.g. 'condensed merge' to opt out of the near-verbatim default this week; 'skip verification' to bypass the fidelity pass; 'skip Hebrew this week' to omit the Hebrew Word Study even if a qualifying term appears]</w:t>
      </w:r>
    </w:p>
    <w:p>
      <w:pPr>
        <w:spacing w:before="300"/>
      </w:pPr>
    </w:p>
    <w:p>
      <w:pPr>
        <w:spacing w:after="160"/>
        <w:jc w:val="center"/>
      </w:pPr>
      <w:r>
        <w:rPr>
          <w:rFonts w:ascii="Arial" w:cs="Arial" w:eastAsia="Arial" w:hAnsi="Arial"/>
          <w:i/>
          <w:iCs/>
          <w:sz w:val="22"/>
          <w:szCs w:val="22"/>
        </w:rPr>
        <w:t xml:space="preserve">Small Group Bible Study Series · Standing Format Instructions · Version 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2026-09-07T23:25:13.866Z</dcterms:created>
  <dcterms:modified xsi:type="dcterms:W3CDTF">2026-09-07T23:25:13.877Z</dcterms:modified>
</cp:coreProperties>
</file>

<file path=docProps/custom.xml><?xml version="1.0" encoding="utf-8"?>
<Properties xmlns="http://schemas.openxmlformats.org/officeDocument/2006/custom-properties" xmlns:vt="http://schemas.openxmlformats.org/officeDocument/2006/docPropsVTypes"/>
</file>