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Noto Sans CJK SC" w:hAnsi="Noto Sans CJK SC" w:eastAsia="Noto Sans CJK SC"/>
          <w:b/>
          <w:color w:val="1F4E79"/>
          <w:sz w:val="38"/>
        </w:rPr>
        <w:t>神鹿合成科技有限公司（虚构主体）</w:t>
        <w:br/>
        <w:t>智慧运维服务项目投标文件</w:t>
        <w:br/>
        <w:t>（Reasoning Demo 合成示例）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第 1 页：项目团队与明确证据</w:t>
      </w:r>
    </w:p>
    <w:p>
      <w:pPr>
        <w:spacing w:after="300"/>
      </w:pPr>
      <w:r>
        <w:rPr>
          <w:rFonts w:ascii="Noto Sans CJK SC" w:hAnsi="Noto Sans CJK SC" w:eastAsia="Noto Sans CJK SC"/>
          <w:b/>
          <w:color w:val="C0504D"/>
          <w:sz w:val="20"/>
        </w:rPr>
        <w:t>合成示例声明：本页所有主体、人员、证书、服务和项目内容均为虚构，不对应任何真实客户、投标活动或个人。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项目经理：张小鹿（虚构人员）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职称：高级工程师（合成字段）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近 6 个月连续社保证明：已提供（合成字段）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合成认证信息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证书名称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证书编号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有效期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认证范围</w:t>
            </w:r>
          </w:p>
        </w:tc>
      </w:tr>
      <w:tr>
        <w:tc>
          <w:tcPr>
            <w:tcW w:type="dxa" w:w="240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信息安全管理体系认证证书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SYN-SEC-REASONING-2026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2028年12月31日</w:t>
            </w:r>
          </w:p>
        </w:tc>
        <w:tc>
          <w:tcPr>
            <w:tcW w:type="dxa" w:w="240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智慧运维服务</w:t>
            </w:r>
          </w:p>
        </w:tc>
      </w:tr>
    </w:tbl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说明：以上人员、社保描述和证书字段均为合成内容，不包含真实证明、证书影像、签章或二维码。</w:t>
      </w:r>
    </w:p>
    <w:p>
      <w:r>
        <w:br w:type="page"/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36"/>
        </w:rPr>
        <w:t>第 2 页：等价表达与语义判断</w:t>
      </w:r>
    </w:p>
    <w:p>
      <w:pPr>
        <w:spacing w:after="300"/>
      </w:pPr>
      <w:r>
        <w:rPr>
          <w:rFonts w:ascii="Noto Sans CJK SC" w:hAnsi="Noto Sans CJK SC" w:eastAsia="Noto Sans CJK SC"/>
          <w:b/>
          <w:color w:val="C0504D"/>
          <w:sz w:val="20"/>
        </w:rPr>
        <w:t>合成示例声明：本页所有主体、人员、证书、服务和项目内容均为虚构，不对应任何真实客户、投标活动或个人。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服务描述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服务周期：36个月（合成期限）。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在服务周期内提供版本迭代、补丁更新和功能优化服务（合成描述）。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服务费用边界及术语对应关系未在本页进一步定义，需结合检查要求人工复核。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数据保护描述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系统运行期间定期备份业务数据（合成描述）。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本页未给出具体备份频率，仅用于展示模糊候选文字的人工复核场景。</w:t>
      </w:r>
    </w:p>
    <w:p>
      <w:r>
        <w:br w:type="page"/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36"/>
        </w:rPr>
        <w:t>第 3 页：原厂支持与证据充分性</w:t>
      </w:r>
    </w:p>
    <w:p>
      <w:pPr>
        <w:spacing w:after="300"/>
      </w:pPr>
      <w:r>
        <w:rPr>
          <w:rFonts w:ascii="Noto Sans CJK SC" w:hAnsi="Noto Sans CJK SC" w:eastAsia="Noto Sans CJK SC"/>
          <w:b/>
          <w:color w:val="C0504D"/>
          <w:sz w:val="20"/>
        </w:rPr>
        <w:t>合成示例声明：本页所有主体、人员、证书、服务和项目内容均为虚构，不对应任何真实客户、投标活动或个人。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可协调原厂提供技术支持（合成描述）。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可根据项目需要提供授权协助（合成描述）。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现有文字未列示正式授权函编号、授权范围、授权期限或签发主体。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说明：以上内容只用于展示存在相关文字但材料不充分的人工复核场景，不代表任何真实授权关系。</w:t>
      </w:r>
    </w:p>
    <w:p>
      <w:r>
        <w:br w:type="page"/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36"/>
        </w:rPr>
        <w:t>第 4 页：冲突证据</w:t>
      </w:r>
    </w:p>
    <w:p>
      <w:pPr>
        <w:spacing w:after="300"/>
      </w:pPr>
      <w:r>
        <w:rPr>
          <w:rFonts w:ascii="Noto Sans CJK SC" w:hAnsi="Noto Sans CJK SC" w:eastAsia="Noto Sans CJK SC"/>
          <w:b/>
          <w:color w:val="C0504D"/>
          <w:sz w:val="20"/>
        </w:rPr>
        <w:t>合成示例声明：本页所有主体、人员、证书、服务和项目内容均为虚构，不对应任何真实客户、投标活动或个人。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售后服务章节（合成）</w:t>
      </w:r>
    </w:p>
    <w:p>
      <w:pPr>
        <w:pStyle w:val="ListBullet"/>
        <w:spacing w:after="520" w:line="312" w:lineRule="auto"/>
      </w:pPr>
      <w:r>
        <w:rPr>
          <w:rFonts w:ascii="Noto Sans CJK SC" w:hAnsi="Noto Sans CJK SC" w:eastAsia="Noto Sans CJK SC"/>
          <w:b w:val="0"/>
          <w:sz w:val="22"/>
        </w:rPr>
        <w:t>P1 级故障 30 分钟内响应。</w:t>
      </w:r>
    </w:p>
    <w:p>
      <w:pPr>
        <w:spacing w:after="400" w:line="312" w:lineRule="auto"/>
      </w:pPr>
      <w:r>
        <w:rPr>
          <w:rFonts w:ascii="Noto Sans CJK SC" w:hAnsi="Noto Sans CJK SC" w:eastAsia="Noto Sans CJK SC"/>
          <w:b w:val="0"/>
          <w:sz w:val="22"/>
        </w:rPr>
        <w:t>本章节描述用于演示第一处候选文字，需与其他章节共同人工复核。</w:t>
      </w:r>
    </w:p>
    <w:p>
      <w:pPr>
        <w:spacing w:after="480"/>
      </w:pPr>
      <w:r>
        <w:rPr>
          <w:rFonts w:ascii="Noto Sans CJK SC" w:hAnsi="Noto Sans CJK SC" w:eastAsia="Noto Sans CJK SC"/>
          <w:b w:val="0"/>
          <w:sz w:val="8"/>
        </w:rPr>
        <w:t xml:space="preserve"> 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附录服务说明（合成）</w:t>
      </w:r>
    </w:p>
    <w:p>
      <w:pPr>
        <w:pStyle w:val="ListBullet"/>
        <w:spacing w:after="480" w:line="312" w:lineRule="auto"/>
      </w:pPr>
      <w:r>
        <w:rPr>
          <w:rFonts w:ascii="Noto Sans CJK SC" w:hAnsi="Noto Sans CJK SC" w:eastAsia="Noto Sans CJK SC"/>
          <w:b w:val="0"/>
          <w:sz w:val="22"/>
        </w:rPr>
        <w:t>P1 级故障 2 小时内响应。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两处时限均为合成内容，文件不指定优先级，需人工核对适用章节和最终版本。</w:t>
      </w:r>
    </w:p>
    <w:p>
      <w:r>
        <w:br w:type="page"/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36"/>
        </w:rPr>
        <w:t>第 5 页：附件缺失与明确时限</w:t>
      </w:r>
    </w:p>
    <w:p>
      <w:pPr>
        <w:spacing w:after="300"/>
      </w:pPr>
      <w:r>
        <w:rPr>
          <w:rFonts w:ascii="Noto Sans CJK SC" w:hAnsi="Noto Sans CJK SC" w:eastAsia="Noto Sans CJK SC"/>
          <w:b/>
          <w:color w:val="C0504D"/>
          <w:sz w:val="20"/>
        </w:rPr>
        <w:t>合成示例声明：本页所有主体、人员、证书、服务和项目内容均为虚构，不对应任何真实客户、投标活动或个人。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附件清单（合成）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现场服务人员名单：详见附件三《现场服务人员名单》。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本合成文件未包含附件三正文，现有文字不足以核对人员数量和服务周期。</w:t>
      </w:r>
    </w:p>
    <w:p>
      <w:pPr>
        <w:spacing w:before="80" w:after="240"/>
      </w:pPr>
      <w:r>
        <w:rPr>
          <w:rFonts w:ascii="Noto Sans CJK SC" w:hAnsi="Noto Sans CJK SC" w:eastAsia="Noto Sans CJK SC"/>
          <w:b/>
          <w:color w:val="1F4E79"/>
          <w:sz w:val="26"/>
        </w:rPr>
        <w:t>实施时限（合成）</w:t>
      </w:r>
    </w:p>
    <w:p>
      <w:pPr>
        <w:pStyle w:val="ListBullet"/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90 个自然日内完成终验资料提交。</w:t>
      </w:r>
    </w:p>
    <w:p>
      <w:pPr>
        <w:spacing w:after="160" w:line="312" w:lineRule="auto"/>
      </w:pPr>
      <w:r>
        <w:rPr>
          <w:rFonts w:ascii="Noto Sans CJK SC" w:hAnsi="Noto Sans CJK SC" w:eastAsia="Noto Sans CJK SC"/>
          <w:b w:val="0"/>
          <w:sz w:val="22"/>
        </w:rPr>
        <w:t>说明：附件引用和实施时限仅用于状态演示，不对应任何真实项目、合同或客户。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95959"/>
        <w:sz w:val="18"/>
      </w:rPr>
      <w:t xml:space="preserve">Reasoning Demo 合成示例 · 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color w:val="595959"/>
        <w:sz w:val="18"/>
      </w:rPr>
      <w:t xml:space="preserve"> 页 · 仅供公开演示与回归验证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95959"/>
        <w:sz w:val="18"/>
      </w:rPr>
      <w:t>智慧运维服务项目投标文件（Reasoning Demo 合成示例）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智慧运维服务项目投标文件（Reasoning Demo 合成示例）</dc:title>
  <dc:subject>proposal-point-checker reasoning-status synthetic demo</dc:subject>
  <dc:creator>Synthetic demo generator</dc:creator>
  <cp:keywords/>
  <dc:description>All content is synthetic and intended for public demos.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