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759B" w14:textId="4ECEAF16" w:rsidR="00653F78" w:rsidRPr="005B665D" w:rsidRDefault="00653F78" w:rsidP="005B665D">
      <w:pPr>
        <w:spacing w:line="276" w:lineRule="auto"/>
        <w:jc w:val="right"/>
        <w:rPr>
          <w:rFonts w:ascii="Times New Roman" w:hAnsi="Times New Roman" w:cs="Times New Roman"/>
          <w:i/>
          <w:sz w:val="20"/>
          <w:lang w:val="en-US"/>
        </w:rPr>
      </w:pPr>
      <w:r w:rsidRPr="00653F78">
        <w:rPr>
          <w:rFonts w:cs="Times New Roman"/>
          <w:b/>
          <w:bCs/>
          <w:sz w:val="20"/>
          <w:szCs w:val="20"/>
        </w:rPr>
        <w:t xml:space="preserve">Вопрос 1. Логический язык первого порядка. Понятия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универса</w:t>
      </w:r>
      <w:proofErr w:type="spellEnd"/>
      <w:r w:rsidRPr="00653F78">
        <w:rPr>
          <w:rFonts w:cs="Times New Roman"/>
          <w:b/>
          <w:bCs/>
          <w:sz w:val="20"/>
          <w:szCs w:val="20"/>
        </w:rPr>
        <w:t xml:space="preserve">, константы, переменной, функции, терма, предиката. Число всех k-местных предикатов и функций на n-элементном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универсе</w:t>
      </w:r>
      <w:proofErr w:type="spellEnd"/>
      <w:r w:rsidRPr="00653F78">
        <w:rPr>
          <w:rFonts w:cs="Times New Roman"/>
          <w:b/>
          <w:bCs/>
          <w:sz w:val="20"/>
          <w:szCs w:val="20"/>
        </w:rPr>
        <w:t>. Синтаксис логического языка первого порядка: описание алфавита, построение переменных, термов и формул, примеры. Понятие подформулы, области действия квантора, связанной и свободной переменной, предложения.</w:t>
      </w:r>
      <w:r>
        <w:rPr>
          <w:rFonts w:cs="Times New Roman"/>
          <w:b/>
          <w:bCs/>
          <w:sz w:val="20"/>
          <w:szCs w:val="20"/>
        </w:rPr>
        <w:t xml:space="preserve"> </w:t>
      </w:r>
      <w:r w:rsidRPr="00653F78">
        <w:rPr>
          <w:rFonts w:cs="Times New Roman"/>
          <w:b/>
          <w:bCs/>
          <w:sz w:val="20"/>
          <w:szCs w:val="20"/>
        </w:rPr>
        <w:t>Примеры</w:t>
      </w:r>
      <w:r w:rsidR="005B665D">
        <w:rPr>
          <w:rFonts w:cs="Times New Roman"/>
          <w:b/>
          <w:bCs/>
          <w:sz w:val="20"/>
          <w:szCs w:val="20"/>
        </w:rPr>
        <w:br/>
      </w:r>
      <w:r w:rsidR="005B665D" w:rsidRPr="005B665D">
        <w:rPr>
          <w:rFonts w:ascii="Times New Roman" w:hAnsi="Times New Roman" w:cs="Times New Roman"/>
          <w:i/>
          <w:sz w:val="20"/>
        </w:rPr>
        <w:t xml:space="preserve">Билеты </w:t>
      </w:r>
      <w:r w:rsidR="005B665D">
        <w:rPr>
          <w:rFonts w:ascii="Times New Roman" w:hAnsi="Times New Roman" w:cs="Times New Roman"/>
          <w:i/>
          <w:sz w:val="20"/>
          <w:lang w:val="en-US"/>
        </w:rPr>
        <w:t>1</w:t>
      </w:r>
      <w:r w:rsidR="005B665D" w:rsidRPr="005B665D">
        <w:rPr>
          <w:rFonts w:ascii="Times New Roman" w:hAnsi="Times New Roman" w:cs="Times New Roman"/>
          <w:i/>
          <w:sz w:val="20"/>
        </w:rPr>
        <w:t xml:space="preserve">, </w:t>
      </w:r>
      <w:r w:rsidR="005B665D">
        <w:rPr>
          <w:rFonts w:ascii="Times New Roman" w:hAnsi="Times New Roman" w:cs="Times New Roman"/>
          <w:i/>
          <w:sz w:val="20"/>
          <w:lang w:val="en-US"/>
        </w:rPr>
        <w:t>1</w:t>
      </w:r>
      <w:bookmarkStart w:id="0" w:name="_GoBack"/>
      <w:bookmarkEnd w:id="0"/>
      <w:r w:rsidR="005B665D">
        <w:rPr>
          <w:rFonts w:ascii="Times New Roman" w:hAnsi="Times New Roman" w:cs="Times New Roman"/>
          <w:i/>
          <w:sz w:val="20"/>
          <w:lang w:val="en-US"/>
        </w:rPr>
        <w:t>5</w:t>
      </w:r>
    </w:p>
    <w:p w14:paraId="36259AEB" w14:textId="47D38057" w:rsidR="00653F78" w:rsidRDefault="00653F78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Pr="00653F78">
        <w:rPr>
          <w:rFonts w:cs="Times New Roman"/>
          <w:i/>
          <w:i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</w:t>
      </w:r>
      <w:proofErr w:type="spellStart"/>
      <w:r w:rsidRPr="00653F78">
        <w:rPr>
          <w:rFonts w:cs="Times New Roman"/>
          <w:sz w:val="20"/>
          <w:szCs w:val="20"/>
        </w:rPr>
        <w:t>универс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>(конечный или счетный), являющийся множеством математических объектов</w:t>
      </w:r>
      <w:r w:rsidR="00E45539">
        <w:rPr>
          <w:rFonts w:cs="Times New Roman"/>
          <w:sz w:val="20"/>
          <w:szCs w:val="20"/>
        </w:rPr>
        <w:t>.</w:t>
      </w:r>
    </w:p>
    <w:p w14:paraId="0450F273" w14:textId="6838D054" w:rsidR="00003ACB" w:rsidRDefault="005B665D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653F78">
        <w:rPr>
          <w:rFonts w:cs="Times New Roman"/>
          <w:sz w:val="20"/>
          <w:szCs w:val="20"/>
        </w:rPr>
        <w:t xml:space="preserve"> –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-ая декартова степень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DC0586" w:rsidRPr="00DC0586">
        <w:rPr>
          <w:rFonts w:cs="Times New Roman"/>
          <w:sz w:val="20"/>
          <w:szCs w:val="20"/>
        </w:rPr>
        <w:t xml:space="preserve">, </w:t>
      </w:r>
      <w:r w:rsidR="00DC0586">
        <w:rPr>
          <w:rFonts w:cs="Times New Roman"/>
          <w:sz w:val="20"/>
          <w:szCs w:val="20"/>
        </w:rPr>
        <w:t xml:space="preserve">т.е. </w:t>
      </w:r>
      <w:r w:rsidR="00653F78" w:rsidRPr="00653F78">
        <w:rPr>
          <w:rFonts w:cs="Times New Roman"/>
          <w:sz w:val="20"/>
          <w:szCs w:val="20"/>
        </w:rPr>
        <w:t>множество</w:t>
      </w:r>
      <w:r w:rsidR="00653F78">
        <w:rPr>
          <w:rFonts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∈U,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</m:t>
            </m:r>
          </m:e>
        </m:d>
      </m:oMath>
      <w:r w:rsidR="00003ACB" w:rsidRPr="00003ACB">
        <w:rPr>
          <w:rFonts w:cs="Times New Roman"/>
          <w:sz w:val="20"/>
          <w:szCs w:val="20"/>
        </w:rPr>
        <w:t xml:space="preserve">. </w:t>
      </w:r>
      <w:r w:rsidR="00003ACB">
        <w:rPr>
          <w:rFonts w:cs="Times New Roman"/>
          <w:sz w:val="20"/>
          <w:szCs w:val="2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E45539">
        <w:rPr>
          <w:rFonts w:cs="Times New Roman"/>
          <w:sz w:val="20"/>
          <w:szCs w:val="20"/>
        </w:rPr>
        <w:t>.</w:t>
      </w:r>
    </w:p>
    <w:p w14:paraId="3DE2C5B2" w14:textId="034C6077" w:rsidR="00E45539" w:rsidRPr="002D1C92" w:rsidRDefault="00E45539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>-местная функция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</m:oMath>
      <w:r w:rsidR="00653F78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(местность = арность = кол-во аргументов) </w:t>
      </w:r>
      <w:r w:rsidR="00653F78" w:rsidRPr="00653F78">
        <w:rPr>
          <w:rFonts w:cs="Times New Roman"/>
          <w:sz w:val="20"/>
          <w:szCs w:val="20"/>
        </w:rPr>
        <w:t>– произвольное отображение вида</w:t>
      </w:r>
      <w:r>
        <w:rPr>
          <w:rFonts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→U</m:t>
        </m:r>
      </m:oMath>
      <w:r>
        <w:rPr>
          <w:rFonts w:cs="Times New Roman"/>
          <w:sz w:val="20"/>
          <w:szCs w:val="20"/>
        </w:rPr>
        <w:t xml:space="preserve">, т.е. </w:t>
      </w:r>
      <w:r w:rsidR="00653F78" w:rsidRPr="00653F78">
        <w:rPr>
          <w:rFonts w:cs="Times New Roman"/>
          <w:sz w:val="20"/>
          <w:szCs w:val="20"/>
        </w:rPr>
        <w:t xml:space="preserve">отображение, ставящее каждому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-местному набору элементов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653F78" w:rsidRPr="00653F78">
        <w:rPr>
          <w:rFonts w:cs="Times New Roman"/>
          <w:sz w:val="20"/>
          <w:szCs w:val="20"/>
        </w:rPr>
        <w:t xml:space="preserve"> некоторый элемент из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3718B7" w:rsidRPr="003718B7">
        <w:rPr>
          <w:rFonts w:cs="Times New Roman"/>
          <w:sz w:val="20"/>
          <w:szCs w:val="20"/>
        </w:rPr>
        <w:t xml:space="preserve">. </w:t>
      </w:r>
      <w:r w:rsidR="003718B7">
        <w:rPr>
          <w:rFonts w:cs="Times New Roman"/>
          <w:sz w:val="20"/>
          <w:szCs w:val="20"/>
        </w:rPr>
        <w:t>О</w:t>
      </w:r>
      <w:r w:rsidR="00653F78" w:rsidRPr="00653F78">
        <w:rPr>
          <w:rFonts w:cs="Times New Roman"/>
          <w:sz w:val="20"/>
          <w:szCs w:val="20"/>
        </w:rPr>
        <w:t xml:space="preserve">бщее количество 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>
        <w:rPr>
          <w:rFonts w:cs="Times New Roman"/>
          <w:sz w:val="20"/>
          <w:szCs w:val="20"/>
        </w:rPr>
        <w:t xml:space="preserve">-местных функций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>
        <w:rPr>
          <w:rFonts w:cs="Times New Roman"/>
          <w:sz w:val="20"/>
          <w:szCs w:val="20"/>
        </w:rPr>
        <w:t xml:space="preserve"> элементным универсом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E45539">
        <w:rPr>
          <w:rFonts w:cs="Times New Roman"/>
          <w:sz w:val="20"/>
          <w:szCs w:val="20"/>
        </w:rPr>
        <w:t>.</w:t>
      </w:r>
      <w:r w:rsidR="002D1C92" w:rsidRPr="002D1C92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Любые константы из </w:t>
      </w:r>
      <w:proofErr w:type="spellStart"/>
      <w:r w:rsidR="002D1C92">
        <w:rPr>
          <w:rFonts w:cs="Times New Roman"/>
          <w:sz w:val="20"/>
          <w:szCs w:val="20"/>
        </w:rPr>
        <w:t>универса</w:t>
      </w:r>
      <w:proofErr w:type="spellEnd"/>
      <w:r w:rsidR="002D1C92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2D1C92">
        <w:rPr>
          <w:rFonts w:cs="Times New Roman"/>
          <w:iCs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3718B7">
        <w:rPr>
          <w:rFonts w:cs="Times New Roman"/>
          <w:iCs/>
          <w:sz w:val="20"/>
          <w:szCs w:val="20"/>
        </w:rPr>
        <w:t>-</w:t>
      </w:r>
      <w:r w:rsidR="002D1C92">
        <w:rPr>
          <w:rFonts w:cs="Times New Roman"/>
          <w:iCs/>
          <w:sz w:val="20"/>
          <w:szCs w:val="20"/>
        </w:rPr>
        <w:t>местные функции.</w:t>
      </w:r>
    </w:p>
    <w:p w14:paraId="1F51C092" w14:textId="722F8F93" w:rsidR="00693DC9" w:rsidRDefault="00653F78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 xml:space="preserve">-местный предикат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Pr="00653F78">
        <w:rPr>
          <w:rFonts w:cs="Times New Roman"/>
          <w:sz w:val="20"/>
          <w:szCs w:val="20"/>
        </w:rPr>
        <w:t xml:space="preserve"> (отношение)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произвольное отношение вида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</m:t>
            </m:r>
          </m:e>
        </m:d>
      </m:oMath>
      <w:r w:rsidR="00693DC9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653F78">
        <w:rPr>
          <w:rFonts w:cs="Times New Roman"/>
          <w:sz w:val="20"/>
          <w:szCs w:val="20"/>
        </w:rPr>
        <w:t xml:space="preserve"> и</w:t>
      </w:r>
      <w:r w:rsidR="00693DC9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Pr="00653F78">
        <w:rPr>
          <w:rFonts w:cs="Times New Roman"/>
          <w:sz w:val="20"/>
          <w:szCs w:val="20"/>
        </w:rPr>
        <w:t xml:space="preserve">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логические константы</w:t>
      </w:r>
      <w:r w:rsidR="003718B7">
        <w:rPr>
          <w:rFonts w:cs="Times New Roman"/>
          <w:sz w:val="20"/>
          <w:szCs w:val="20"/>
        </w:rPr>
        <w:t>. О</w:t>
      </w:r>
      <w:r w:rsidRPr="00653F78">
        <w:rPr>
          <w:rFonts w:cs="Times New Roman"/>
          <w:sz w:val="20"/>
          <w:szCs w:val="20"/>
        </w:rPr>
        <w:t xml:space="preserve">бщее количество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93DC9">
        <w:rPr>
          <w:rFonts w:cs="Times New Roman"/>
          <w:sz w:val="20"/>
          <w:szCs w:val="20"/>
        </w:rPr>
        <w:t>-</w:t>
      </w:r>
      <w:r w:rsidRPr="00653F78">
        <w:rPr>
          <w:rFonts w:cs="Times New Roman"/>
          <w:sz w:val="20"/>
          <w:szCs w:val="20"/>
        </w:rPr>
        <w:t xml:space="preserve">местных предикат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="00693DC9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элементным множеством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653F78">
        <w:rPr>
          <w:rFonts w:cs="Times New Roman"/>
          <w:sz w:val="20"/>
          <w:szCs w:val="20"/>
        </w:rPr>
        <w:t xml:space="preserve">. </w:t>
      </w:r>
      <w:r w:rsidR="006B16B1">
        <w:rPr>
          <w:rFonts w:cs="Times New Roman"/>
          <w:sz w:val="20"/>
          <w:szCs w:val="20"/>
        </w:rPr>
        <w:t xml:space="preserve">Логические константы </w:t>
      </w:r>
      <w:r w:rsidR="003718B7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653F78">
        <w:rPr>
          <w:rFonts w:cs="Times New Roman"/>
          <w:sz w:val="20"/>
          <w:szCs w:val="20"/>
        </w:rPr>
        <w:t xml:space="preserve"> и</w:t>
      </w:r>
      <w:r w:rsidR="006B16B1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="006B16B1">
        <w:rPr>
          <w:rFonts w:cs="Times New Roman"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>
        <w:rPr>
          <w:rFonts w:cs="Times New Roman"/>
          <w:sz w:val="20"/>
          <w:szCs w:val="20"/>
        </w:rPr>
        <w:t>-местные предикаты.</w:t>
      </w:r>
    </w:p>
    <w:p w14:paraId="605D1345" w14:textId="5C0C69BA" w:rsidR="00693DC9" w:rsidRPr="002D1C92" w:rsidRDefault="00693DC9" w:rsidP="002D1C9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="00653F78"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>.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0,1,2,3,4</m:t>
            </m:r>
          </m:e>
        </m:d>
      </m:oMath>
      <w:r>
        <w:rPr>
          <w:rFonts w:cs="Times New Roman"/>
          <w:iCs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0"/>
                <w:szCs w:val="20"/>
              </w:rPr>
              <m:t>,z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="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nor/>
          </m:rPr>
          <w:rPr>
            <w:rFonts w:cs="Times New Roman"/>
            <w:sz w:val="20"/>
            <w:szCs w:val="20"/>
          </w:rPr>
          <m:t>делить на 3</m:t>
        </m:r>
        <m:r>
          <w:rPr>
            <w:rFonts w:ascii="Cambria Math" w:hAnsi="Cambria Math" w:cs="Times New Roman"/>
            <w:sz w:val="20"/>
            <w:szCs w:val="20"/>
          </w:rPr>
          <m:t>"</m:t>
        </m:r>
      </m:oMath>
      <w:r w:rsidRPr="00693DC9"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∈P</m:t>
        </m:r>
      </m:oMath>
      <w:r w:rsidRPr="00693DC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2D1C92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∉P</m:t>
        </m:r>
      </m:oMath>
      <w:r w:rsidR="002D1C92" w:rsidRPr="00693DC9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2D1C92">
        <w:rPr>
          <w:rFonts w:cs="Times New Roman"/>
          <w:sz w:val="20"/>
          <w:szCs w:val="20"/>
        </w:rPr>
        <w:t>.</w:t>
      </w:r>
    </w:p>
    <w:p w14:paraId="446A0F85" w14:textId="77777777" w:rsidR="00F56B07" w:rsidRDefault="00F56B07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</w:p>
    <w:p w14:paraId="716F75FD" w14:textId="13086727" w:rsidR="00F06ACD" w:rsidRDefault="006B16B1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>Синтаксис логического языка 1 порядк</w:t>
      </w:r>
      <w:r>
        <w:rPr>
          <w:rFonts w:cs="Times New Roman"/>
          <w:sz w:val="20"/>
          <w:szCs w:val="20"/>
        </w:rPr>
        <w:t>а</w:t>
      </w:r>
    </w:p>
    <w:p w14:paraId="1A10A9E7" w14:textId="19F1EF21" w:rsidR="002D1C92" w:rsidRDefault="006B16B1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Алфавит языка состоит из трех групп символов:</w:t>
      </w:r>
    </w:p>
    <w:p w14:paraId="7188C48D" w14:textId="107D5CAF" w:rsidR="006B16B1" w:rsidRDefault="006B16B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Логические символы</w:t>
      </w:r>
      <w:r w:rsidR="00367511">
        <w:rPr>
          <w:rFonts w:cs="Times New Roman"/>
          <w:sz w:val="20"/>
          <w:szCs w:val="20"/>
        </w:rPr>
        <w:t xml:space="preserve">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&amp;,∨,→,↔,¬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логические связки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,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∀,∃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кванторы</m:t>
            </m:r>
          </m:lim>
        </m:limLow>
      </m:oMath>
    </w:p>
    <w:p w14:paraId="34596976" w14:textId="4E176FFF" w:rsidR="00367511" w:rsidRDefault="0036751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Вспомогательные символы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[,]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скобки</m:t>
            </m:r>
          </m:lim>
        </m:limLow>
      </m:oMath>
    </w:p>
    <w:p w14:paraId="4254D6EE" w14:textId="02046C32" w:rsidR="007D750F" w:rsidRPr="007D750F" w:rsidRDefault="005B665D" w:rsidP="007D750F">
      <w:pPr>
        <w:pStyle w:val="Standard"/>
        <w:spacing w:line="276" w:lineRule="auto"/>
        <w:ind w:left="720"/>
        <w:rPr>
          <w:rFonts w:cs="Times New Roman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символы переменных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(возможно с индек</m:t>
                  </m:r>
                  <m:r>
                    <m:rPr>
                      <m:nor/>
                    </m:rPr>
                    <w:rPr>
                      <w:rFonts w:ascii="Cambria Math" w:cs="Times New Roman"/>
                      <w:sz w:val="20"/>
                      <w:szCs w:val="20"/>
                    </w:rPr>
                    <m:t>с</m:t>
                  </m:r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ом)</m:t>
                  </m:r>
                </m:e>
              </m:eqAr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констант из универса</m:t>
              </m: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0,1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логических констант</m:t>
              </m:r>
            </m:lim>
          </m:limLow>
        </m:oMath>
      </m:oMathPara>
    </w:p>
    <w:p w14:paraId="576FF60A" w14:textId="4CE5E443" w:rsidR="007D750F" w:rsidRDefault="007D750F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Нелогические сигнатуры</w:t>
      </w:r>
    </w:p>
    <w:p w14:paraId="2A72BACE" w14:textId="645D8E23" w:rsidR="007D750F" w:rsidRDefault="007D750F" w:rsidP="00F06ACD">
      <w:pPr>
        <w:pStyle w:val="Standard"/>
        <w:spacing w:line="276" w:lineRule="auto"/>
        <w:ind w:left="108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заранее незафиксированный набор предикатов и функциональных символов. По умолчанию предполагается, что среди предикатов всегда содержится предикат равенства. </w:t>
      </w:r>
      <w:r w:rsidR="00F06ACD">
        <w:rPr>
          <w:rFonts w:cs="Times New Roman"/>
          <w:sz w:val="20"/>
          <w:szCs w:val="20"/>
        </w:rPr>
        <w:br/>
      </w:r>
      <w:r>
        <w:rPr>
          <w:rFonts w:cs="Times New Roman"/>
          <w:sz w:val="20"/>
          <w:szCs w:val="20"/>
        </w:rPr>
        <w:t xml:space="preserve">Тип сигнатуры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ν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="00F06ACD" w:rsidRPr="00F06ACD">
        <w:rPr>
          <w:rFonts w:cs="Times New Roman"/>
          <w:sz w:val="20"/>
          <w:szCs w:val="20"/>
        </w:rPr>
        <w:t xml:space="preserve">, </w:t>
      </w:r>
      <w:r w:rsidR="00F06ACD">
        <w:rPr>
          <w:rFonts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 xml:space="preserve"> – </w:t>
      </w:r>
      <w:r w:rsidR="00F06ACD">
        <w:rPr>
          <w:rFonts w:cs="Times New Roman"/>
          <w:sz w:val="20"/>
          <w:szCs w:val="20"/>
        </w:rPr>
        <w:t xml:space="preserve">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j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– 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>.</w:t>
      </w:r>
    </w:p>
    <w:p w14:paraId="7422C09C" w14:textId="2F6CD765" w:rsidR="00F06ACD" w:rsidRDefault="00F06ACD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термов (имен)</w:t>
      </w:r>
    </w:p>
    <w:p w14:paraId="7D901AC0" w14:textId="4CBDE0D1" w:rsidR="00F06ACD" w:rsidRP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Любая константа или переменная из </w:t>
      </w:r>
      <w:proofErr w:type="spellStart"/>
      <w:r>
        <w:rPr>
          <w:rFonts w:cs="Times New Roman"/>
          <w:sz w:val="20"/>
          <w:szCs w:val="20"/>
        </w:rPr>
        <w:t>универса</w:t>
      </w:r>
      <w:proofErr w:type="spellEnd"/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>
        <w:rPr>
          <w:rFonts w:cs="Times New Roman"/>
          <w:iCs/>
          <w:sz w:val="20"/>
          <w:szCs w:val="20"/>
        </w:rPr>
        <w:t xml:space="preserve"> является термой (простейшой термой или именем)</w:t>
      </w:r>
    </w:p>
    <w:p w14:paraId="2B6697C1" w14:textId="2FABBC38" w:rsid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D549B2" w:rsidRPr="00653F78">
        <w:rPr>
          <w:rFonts w:cs="Times New Roman"/>
          <w:sz w:val="20"/>
          <w:szCs w:val="20"/>
        </w:rPr>
        <w:t>-мест</w:t>
      </w:r>
      <w:r w:rsidR="00D549B2">
        <w:rPr>
          <w:rFonts w:cs="Times New Roman"/>
          <w:sz w:val="20"/>
          <w:szCs w:val="20"/>
        </w:rPr>
        <w:t>ного</w:t>
      </w:r>
      <w:r w:rsidR="00D549B2" w:rsidRPr="00653F78">
        <w:rPr>
          <w:rFonts w:cs="Times New Roman"/>
          <w:sz w:val="20"/>
          <w:szCs w:val="20"/>
        </w:rPr>
        <w:t xml:space="preserve"> </w:t>
      </w:r>
      <w:r w:rsidR="00D549B2">
        <w:rPr>
          <w:rFonts w:cs="Times New Roman"/>
          <w:sz w:val="20"/>
          <w:szCs w:val="20"/>
        </w:rPr>
        <w:t xml:space="preserve">функционального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 w:rsidR="00D549B2">
        <w:rPr>
          <w:rFonts w:cs="Times New Roman"/>
          <w:sz w:val="20"/>
          <w:szCs w:val="20"/>
        </w:rPr>
        <w:t xml:space="preserve"> – тоже терм</w:t>
      </w:r>
    </w:p>
    <w:p w14:paraId="6A608AA1" w14:textId="6CFB24F4" w:rsidR="00D549B2" w:rsidRDefault="00D549B2" w:rsidP="00D549B2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функций</w:t>
      </w:r>
    </w:p>
    <w:p w14:paraId="79C5860B" w14:textId="1D3009E2" w:rsidR="00D549B2" w:rsidRDefault="00D549B2" w:rsidP="00D549B2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>-мест</w:t>
      </w:r>
      <w:r>
        <w:rPr>
          <w:rFonts w:cs="Times New Roman"/>
          <w:sz w:val="20"/>
          <w:szCs w:val="20"/>
        </w:rPr>
        <w:t>ного</w:t>
      </w:r>
      <w:r w:rsidRPr="00653F78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предикатного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cs="Times New Roman"/>
          <w:sz w:val="20"/>
          <w:szCs w:val="20"/>
        </w:rPr>
        <w:t xml:space="preserve"> – 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cs="Times New Roman"/>
          <w:sz w:val="20"/>
          <w:szCs w:val="20"/>
        </w:rPr>
        <w:t xml:space="preserve"> – атомарная формула</w:t>
      </w:r>
    </w:p>
    <w:p w14:paraId="589A1582" w14:textId="01896D2E" w:rsidR="00D70A57" w:rsidRDefault="00D549B2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уже построенные формулы, 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 &amp; 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A∨B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A→B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A↔B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¬A</m:t>
        </m:r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¬B</m:t>
        </m:r>
      </m:oMath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тоже формулы</w:t>
      </w:r>
      <w:r w:rsidR="00D70A57">
        <w:rPr>
          <w:rFonts w:cs="Times New Roman"/>
          <w:sz w:val="20"/>
          <w:szCs w:val="20"/>
        </w:rPr>
        <w:br/>
      </w:r>
      <w:r w:rsidR="00D70A57" w:rsidRPr="00D70A57">
        <w:rPr>
          <w:rFonts w:cs="Times New Roman"/>
          <w:sz w:val="20"/>
          <w:szCs w:val="20"/>
        </w:rPr>
        <w:t>Приоритет операций в порядке уменьшения: скобки, отрицание, конъюнкция, все остальное с равным приоритетом.</w:t>
      </w:r>
    </w:p>
    <w:p w14:paraId="102E1EC2" w14:textId="2D0CE9FA" w:rsidR="00D70A57" w:rsidRDefault="00D70A57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– уже построенная формула, то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D70A57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тоже формулы</w:t>
      </w:r>
    </w:p>
    <w:p w14:paraId="1942AA3B" w14:textId="4A485977" w:rsidR="00D70A57" w:rsidRDefault="00D70A57" w:rsidP="004F25EA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Подформула – это любая подряд идущая последовательность символов, которая сама по себе является формулой, т.е. </w:t>
      </w:r>
      <w:r w:rsidR="004F25EA">
        <w:rPr>
          <w:rFonts w:cs="Times New Roman"/>
          <w:sz w:val="20"/>
          <w:szCs w:val="20"/>
        </w:rPr>
        <w:t>корректно построена по правилам</w:t>
      </w:r>
      <w:r w:rsidR="00586ECA">
        <w:rPr>
          <w:rFonts w:cs="Times New Roman"/>
          <w:sz w:val="20"/>
          <w:szCs w:val="20"/>
        </w:rPr>
        <w:t xml:space="preserve"> (сама формула также является подформулой).</w:t>
      </w:r>
    </w:p>
    <w:p w14:paraId="54D50956" w14:textId="5F6A7B48" w:rsidR="004F25EA" w:rsidRPr="00F56B07" w:rsidRDefault="004F25EA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>
        <w:rPr>
          <w:rFonts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2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5</m:t>
        </m:r>
      </m:oMath>
      <w:r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x+2</m:t>
        </m:r>
      </m:oMath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термы</w:t>
      </w:r>
      <w:r w:rsidR="00586ECA">
        <w:rPr>
          <w:rFonts w:cs="Times New Roman"/>
          <w:sz w:val="20"/>
          <w:szCs w:val="20"/>
        </w:rPr>
        <w:t>;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>
        <w:rPr>
          <w:rFonts w:cs="Times New Roman"/>
          <w:sz w:val="20"/>
          <w:szCs w:val="20"/>
        </w:rPr>
        <w:t xml:space="preserve"> – атомарные формулы</w:t>
      </w:r>
      <w:r w:rsidR="00586ECA">
        <w:rPr>
          <w:rFonts w:cs="Times New Roman"/>
          <w:sz w:val="20"/>
          <w:szCs w:val="20"/>
        </w:rPr>
        <w:t xml:space="preserve">; </w:t>
      </w:r>
      <w:r w:rsidR="00586ECA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 w:rsidR="00586ECA">
        <w:rPr>
          <w:rFonts w:cs="Times New Roman"/>
          <w:sz w:val="20"/>
          <w:szCs w:val="20"/>
        </w:rPr>
        <w:t xml:space="preserve"> – подформулы; а вот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</m:oMath>
      <w:r w:rsidR="00586ECA">
        <w:rPr>
          <w:rFonts w:cs="Times New Roman"/>
          <w:sz w:val="20"/>
          <w:szCs w:val="20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 – подформулами не являются.</w:t>
      </w:r>
    </w:p>
    <w:p w14:paraId="098B5921" w14:textId="77777777" w:rsidR="00F56B07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0548DFA" w14:textId="54CA5CE9" w:rsidR="00DA4F00" w:rsidRDefault="00586ECA" w:rsidP="00F56B07">
      <w:pPr>
        <w:spacing w:line="276" w:lineRule="auto"/>
        <w:ind w:firstLine="708"/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</w:pPr>
      <w:r>
        <w:rPr>
          <w:rFonts w:ascii="Times New Roman" w:hAnsi="Times New Roman" w:cs="Times New Roman"/>
          <w:sz w:val="20"/>
          <w:szCs w:val="20"/>
        </w:rPr>
        <w:t xml:space="preserve">Область действия квантора по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подформула непосредственно следующая за символами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или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>. Вхождение переменной в формулу называется связанным, если она находится</w:t>
      </w:r>
      <w:r w:rsidR="00F56B07"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в области действия квантора по данной переменной. В противном случае называется свободным.</w:t>
      </w:r>
    </w:p>
    <w:p w14:paraId="6A6B451B" w14:textId="29B3DC8F" w:rsidR="00F56B07" w:rsidRDefault="00F56B07" w:rsidP="00E606E4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Предложением (замкнутой формулой) называется формула, не содержащая свободных вхождений переменных.</w:t>
      </w:r>
    </w:p>
    <w:p w14:paraId="60B8123A" w14:textId="6B101B0D" w:rsidR="00F56B07" w:rsidRDefault="00F56B07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∨Q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F56B07">
        <w:rPr>
          <w:rFonts w:cs="Times New Roman"/>
          <w:sz w:val="20"/>
          <w:szCs w:val="20"/>
        </w:rPr>
        <w:t>,</w:t>
      </w:r>
      <w:r w:rsidR="00E606E4">
        <w:rPr>
          <w:rFonts w:cs="Times New Roman"/>
          <w:sz w:val="20"/>
          <w:szCs w:val="20"/>
        </w:rPr>
        <w:t xml:space="preserve"> где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в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– свободная, т.е. данная формула не является предложением.</w:t>
      </w:r>
    </w:p>
    <w:p w14:paraId="63EABE8D" w14:textId="5BE602AA" w:rsidR="00E606E4" w:rsidRDefault="005B665D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незамкнутая формула (не предложение), т.к.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 w:rsidRPr="003718B7">
        <w:rPr>
          <w:rFonts w:cs="Times New Roman"/>
          <w:sz w:val="20"/>
          <w:szCs w:val="20"/>
        </w:rPr>
        <w:t xml:space="preserve"> – </w:t>
      </w:r>
      <w:r w:rsidR="00E606E4">
        <w:rPr>
          <w:rFonts w:cs="Times New Roman"/>
          <w:sz w:val="20"/>
          <w:szCs w:val="20"/>
        </w:rPr>
        <w:t>свободная.</w:t>
      </w:r>
    </w:p>
    <w:p w14:paraId="22011AE6" w14:textId="286444E5" w:rsidR="00E606E4" w:rsidRPr="00E606E4" w:rsidRDefault="005B665D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предложение, обе переменные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>
        <w:rPr>
          <w:rFonts w:cs="Times New Roman"/>
          <w:sz w:val="20"/>
          <w:szCs w:val="20"/>
        </w:rPr>
        <w:t xml:space="preserve"> – связанные.</w:t>
      </w:r>
    </w:p>
    <w:p w14:paraId="3278D60A" w14:textId="77777777" w:rsidR="00F56B07" w:rsidRPr="00586ECA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sectPr w:rsidR="00F56B07" w:rsidRPr="00586ECA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A2D"/>
    <w:multiLevelType w:val="hybridMultilevel"/>
    <w:tmpl w:val="C5AE4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611"/>
    <w:multiLevelType w:val="hybridMultilevel"/>
    <w:tmpl w:val="6D76A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6E85CA4"/>
    <w:multiLevelType w:val="hybridMultilevel"/>
    <w:tmpl w:val="8828F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D03B56"/>
    <w:multiLevelType w:val="hybridMultilevel"/>
    <w:tmpl w:val="140C84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ED60F4"/>
    <w:multiLevelType w:val="hybridMultilevel"/>
    <w:tmpl w:val="8906381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03ACB"/>
    <w:rsid w:val="000210B7"/>
    <w:rsid w:val="002D1C92"/>
    <w:rsid w:val="003361FB"/>
    <w:rsid w:val="00367511"/>
    <w:rsid w:val="003718B7"/>
    <w:rsid w:val="00495F19"/>
    <w:rsid w:val="004D466D"/>
    <w:rsid w:val="004F25EA"/>
    <w:rsid w:val="00586ECA"/>
    <w:rsid w:val="005B665D"/>
    <w:rsid w:val="00653F78"/>
    <w:rsid w:val="00693DC9"/>
    <w:rsid w:val="0069715B"/>
    <w:rsid w:val="006B16B1"/>
    <w:rsid w:val="00704901"/>
    <w:rsid w:val="007452EA"/>
    <w:rsid w:val="00792E80"/>
    <w:rsid w:val="007A11D2"/>
    <w:rsid w:val="007D750F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549B2"/>
    <w:rsid w:val="00D70A57"/>
    <w:rsid w:val="00D83F45"/>
    <w:rsid w:val="00DA4F00"/>
    <w:rsid w:val="00DC0586"/>
    <w:rsid w:val="00E04619"/>
    <w:rsid w:val="00E10EA9"/>
    <w:rsid w:val="00E45539"/>
    <w:rsid w:val="00E606E4"/>
    <w:rsid w:val="00EB451A"/>
    <w:rsid w:val="00EC4F24"/>
    <w:rsid w:val="00F06ACD"/>
    <w:rsid w:val="00F13D3B"/>
    <w:rsid w:val="00F56B07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  <w:style w:type="paragraph" w:customStyle="1" w:styleId="Standard">
    <w:name w:val="Standard"/>
    <w:rsid w:val="00653F78"/>
    <w:pPr>
      <w:widowControl w:val="0"/>
      <w:suppressAutoHyphens/>
      <w:autoSpaceDN w:val="0"/>
    </w:pPr>
    <w:rPr>
      <w:rFonts w:ascii="Times New Roman" w:eastAsia="SimSun" w:hAnsi="Times New Roman" w:cs="Mang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2C2A-E777-4FCD-8E70-B71C8769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9</cp:revision>
  <cp:lastPrinted>2019-06-23T05:16:00Z</cp:lastPrinted>
  <dcterms:created xsi:type="dcterms:W3CDTF">2019-06-22T07:32:00Z</dcterms:created>
  <dcterms:modified xsi:type="dcterms:W3CDTF">2019-06-23T05:19:00Z</dcterms:modified>
</cp:coreProperties>
</file>