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8792" w14:textId="77777777" w:rsidR="00304305" w:rsidRPr="00304305" w:rsidRDefault="00304305" w:rsidP="00304305">
      <w:pPr>
        <w:spacing w:line="276" w:lineRule="auto"/>
        <w:ind w:firstLine="0"/>
        <w:jc w:val="left"/>
        <w:rPr>
          <w:b/>
          <w:szCs w:val="20"/>
        </w:rPr>
      </w:pPr>
      <w:r w:rsidRPr="00304305">
        <w:rPr>
          <w:b/>
          <w:szCs w:val="20"/>
        </w:rPr>
        <w:t xml:space="preserve">9. Логический вывод. Формальные понятия доказательства и правила вывода, пример. Разветвляющие и </w:t>
      </w:r>
      <w:proofErr w:type="spellStart"/>
      <w:r w:rsidRPr="00304305">
        <w:rPr>
          <w:b/>
          <w:szCs w:val="20"/>
        </w:rPr>
        <w:t>неразветвляющие</w:t>
      </w:r>
      <w:proofErr w:type="spellEnd"/>
      <w:r w:rsidRPr="00304305">
        <w:rPr>
          <w:b/>
          <w:szCs w:val="20"/>
        </w:rPr>
        <w:t xml:space="preserve"> правила. Существование конечного числа правил вывода и математического понятия доказательства, при помощи которых можно ответить на вопрос: “Верно ли, что Γ</w:t>
      </w:r>
      <w:r w:rsidRPr="00304305">
        <w:rPr>
          <w:rFonts w:ascii="Cambria Math" w:hAnsi="Cambria Math" w:cs="Cambria Math"/>
          <w:b/>
          <w:szCs w:val="20"/>
        </w:rPr>
        <w:t>⇒</w:t>
      </w:r>
      <w:r w:rsidRPr="00304305">
        <w:rPr>
          <w:b/>
          <w:szCs w:val="20"/>
        </w:rPr>
        <w:t>A?”. Пример</w:t>
      </w:r>
    </w:p>
    <w:p w14:paraId="00ADC6E1" w14:textId="5CDFB622" w:rsidR="00C04883" w:rsidRPr="00735E38" w:rsidRDefault="00735E38" w:rsidP="00304305">
      <w:pPr>
        <w:spacing w:line="276" w:lineRule="auto"/>
        <w:ind w:firstLine="0"/>
        <w:jc w:val="right"/>
        <w:rPr>
          <w:i/>
        </w:rPr>
      </w:pPr>
      <w:r w:rsidRPr="00735E38">
        <w:rPr>
          <w:i/>
        </w:rPr>
        <w:t xml:space="preserve">Билеты </w:t>
      </w:r>
      <w:r w:rsidR="004468A9">
        <w:rPr>
          <w:i/>
        </w:rPr>
        <w:t>5, 19</w:t>
      </w:r>
    </w:p>
    <w:p w14:paraId="779D31BC" w14:textId="2569B4E1" w:rsidR="00304305" w:rsidRDefault="00304305" w:rsidP="00304305">
      <w:pPr>
        <w:spacing w:line="276" w:lineRule="auto"/>
        <w:ind w:firstLine="720"/>
        <w:jc w:val="left"/>
        <w:rPr>
          <w:szCs w:val="20"/>
        </w:rPr>
      </w:pPr>
      <w:r>
        <w:rPr>
          <w:szCs w:val="20"/>
        </w:rPr>
        <w:t xml:space="preserve">Логический вывод — это рассуждение, в ходе которого осуществляется переход от исходного суждения (высказывания, формулы) с помощью логических правил к заключению — новому суждению (формуле). </w:t>
      </w:r>
      <w:r>
        <w:rPr>
          <w:szCs w:val="20"/>
        </w:rPr>
        <w:t>Доказательство – система утверждений, каждое из которых очевидно истинно или следует из уже доказанных утверждений.</w:t>
      </w:r>
    </w:p>
    <w:p w14:paraId="71B362F0" w14:textId="14959D76" w:rsidR="00D625E2" w:rsidRDefault="00304305" w:rsidP="00304305">
      <w:pPr>
        <w:spacing w:line="276" w:lineRule="auto"/>
        <w:ind w:firstLine="720"/>
        <w:jc w:val="left"/>
        <w:rPr>
          <w:szCs w:val="20"/>
        </w:rPr>
      </w:pPr>
      <w:r>
        <w:rPr>
          <w:szCs w:val="20"/>
        </w:rPr>
        <w:t xml:space="preserve">Пример. Допустим мы доказали утверждение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szCs w:val="20"/>
        </w:rPr>
        <w:t xml:space="preserve">, затем доказали, что из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szCs w:val="20"/>
        </w:rPr>
        <w:t xml:space="preserve"> следует утверждение </w:t>
      </w:r>
      <m:oMath>
        <m:r>
          <w:rPr>
            <w:rFonts w:ascii="Cambria Math" w:hAnsi="Cambria Math"/>
            <w:szCs w:val="20"/>
          </w:rPr>
          <m:t>B</m:t>
        </m:r>
      </m:oMath>
      <w:r>
        <w:rPr>
          <w:szCs w:val="20"/>
        </w:rPr>
        <w:t>, тогда мы делаем вывод</w:t>
      </w:r>
      <w:r w:rsidR="00943547">
        <w:rPr>
          <w:szCs w:val="20"/>
        </w:rPr>
        <w:t xml:space="preserve">, что истинно утверждение </w:t>
      </w:r>
      <m:oMath>
        <m:r>
          <w:rPr>
            <w:rFonts w:ascii="Cambria Math" w:hAnsi="Cambria Math"/>
            <w:szCs w:val="20"/>
          </w:rPr>
          <m:t>B</m:t>
        </m:r>
      </m:oMath>
      <w:r w:rsidR="00943547">
        <w:rPr>
          <w:szCs w:val="20"/>
        </w:rPr>
        <w:t xml:space="preserve">. Считая </w:t>
      </w:r>
      <m:oMath>
        <m:r>
          <w:rPr>
            <w:rFonts w:ascii="Cambria Math" w:hAnsi="Cambria Math"/>
            <w:szCs w:val="20"/>
          </w:rPr>
          <m:t>A</m:t>
        </m:r>
      </m:oMath>
      <w:r w:rsidR="00943547" w:rsidRPr="008A02BA">
        <w:rPr>
          <w:szCs w:val="20"/>
        </w:rPr>
        <w:t xml:space="preserve"> </w:t>
      </w:r>
      <w:r w:rsidR="00943547">
        <w:rPr>
          <w:szCs w:val="20"/>
        </w:rPr>
        <w:t xml:space="preserve">и </w:t>
      </w:r>
      <m:oMath>
        <m:r>
          <w:rPr>
            <w:rFonts w:ascii="Cambria Math" w:hAnsi="Cambria Math"/>
            <w:szCs w:val="20"/>
          </w:rPr>
          <m:t>B</m:t>
        </m:r>
      </m:oMath>
      <w:r w:rsidR="00943547">
        <w:rPr>
          <w:szCs w:val="20"/>
        </w:rPr>
        <w:t xml:space="preserve"> предложениями логического языка</w:t>
      </w:r>
      <w:r w:rsidR="008A02BA">
        <w:rPr>
          <w:szCs w:val="20"/>
        </w:rPr>
        <w:t>, можно возвести такую ситуацию в ранг правила, по которому из истинности предложений (</w:t>
      </w:r>
      <w:r w:rsidR="004468A9">
        <w:rPr>
          <w:szCs w:val="20"/>
        </w:rPr>
        <w:t>посылок</w:t>
      </w:r>
      <w:r w:rsidR="008A02BA">
        <w:rPr>
          <w:szCs w:val="20"/>
        </w:rPr>
        <w:t>)</w:t>
      </w:r>
      <w:r w:rsidR="004468A9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</m:t>
        </m:r>
      </m:oMath>
      <w:r w:rsidR="004468A9">
        <w:rPr>
          <w:szCs w:val="20"/>
        </w:rPr>
        <w:t xml:space="preserve"> и </w:t>
      </w:r>
      <m:oMath>
        <m:r>
          <w:rPr>
            <w:rFonts w:ascii="Cambria Math" w:hAnsi="Cambria Math"/>
            <w:szCs w:val="20"/>
          </w:rPr>
          <m:t>A</m:t>
        </m:r>
        <m:r>
          <w:rPr>
            <w:rFonts w:ascii="Cambria Math" w:hAnsi="Cambria Math"/>
            <w:szCs w:val="20"/>
          </w:rPr>
          <m:t>→B</m:t>
        </m:r>
      </m:oMath>
      <w:r w:rsidR="004468A9" w:rsidRPr="004468A9">
        <w:rPr>
          <w:szCs w:val="20"/>
        </w:rPr>
        <w:t xml:space="preserve"> </w:t>
      </w:r>
      <w:r w:rsidR="004468A9">
        <w:rPr>
          <w:szCs w:val="20"/>
        </w:rPr>
        <w:t xml:space="preserve">можно в качестве заключения вывести истинность предложения </w:t>
      </w:r>
      <m:oMath>
        <m:r>
          <w:rPr>
            <w:rFonts w:ascii="Cambria Math" w:hAnsi="Cambria Math"/>
            <w:szCs w:val="20"/>
          </w:rPr>
          <m:t>B</m:t>
        </m:r>
      </m:oMath>
      <w:r w:rsidR="004468A9" w:rsidRPr="004468A9">
        <w:rPr>
          <w:szCs w:val="20"/>
        </w:rPr>
        <w:t>.</w:t>
      </w:r>
    </w:p>
    <w:p w14:paraId="5F3C7ED1" w14:textId="7EB3893F" w:rsidR="004468A9" w:rsidRPr="00D13FB8" w:rsidRDefault="004468A9" w:rsidP="004468A9">
      <w:pPr>
        <w:spacing w:line="276" w:lineRule="auto"/>
        <w:jc w:val="left"/>
        <w:rPr>
          <w:szCs w:val="20"/>
        </w:rPr>
      </w:pPr>
      <w:r>
        <w:rPr>
          <w:i/>
          <w:szCs w:val="20"/>
        </w:rPr>
        <w:tab/>
      </w:r>
      <w:r>
        <w:rPr>
          <w:szCs w:val="20"/>
        </w:rPr>
        <w:t>Правила вывода</w:t>
      </w:r>
      <w:r w:rsidR="00D13FB8">
        <w:rPr>
          <w:szCs w:val="20"/>
        </w:rPr>
        <w:t xml:space="preserve"> (сверху – посылка, снизу – заключение)</w:t>
      </w:r>
      <w:r w:rsidR="006F5E89" w:rsidRPr="00D13FB8">
        <w:rPr>
          <w:szCs w:val="20"/>
        </w:rPr>
        <w:t>:</w:t>
      </w:r>
    </w:p>
    <w:p w14:paraId="4AC67EE6" w14:textId="3427F7A3" w:rsidR="004468A9" w:rsidRPr="00D13FB8" w:rsidRDefault="004468A9" w:rsidP="004468A9">
      <w:pPr>
        <w:spacing w:line="276" w:lineRule="auto"/>
        <w:jc w:val="left"/>
        <w:rPr>
          <w:i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A&amp;B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B</m:t>
                  </m:r>
                </m:e>
              </m:eqArr>
            </m:den>
          </m:f>
          <m:r>
            <w:rPr>
              <w:rFonts w:ascii="Cambria Math" w:hAnsi="Cambria Math"/>
              <w:szCs w:val="20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A</m:t>
              </m:r>
              <m:r>
                <w:rPr>
                  <w:rFonts w:ascii="Cambria Math" w:hAnsi="Cambria Math"/>
                  <w:szCs w:val="20"/>
                </w:rPr>
                <m:t>∨</m:t>
              </m:r>
              <m:r>
                <w:rPr>
                  <w:rFonts w:ascii="Cambria Math" w:hAnsi="Cambria Math"/>
                  <w:szCs w:val="20"/>
                </w:rPr>
                <m:t>B</m:t>
              </m:r>
            </m:num>
            <m:den>
              <m:r>
                <w:rPr>
                  <w:rFonts w:ascii="Cambria Math" w:hAnsi="Cambria Math"/>
                  <w:szCs w:val="20"/>
                </w:rPr>
                <m:t>A|B</m:t>
              </m:r>
            </m:den>
          </m:f>
          <m:r>
            <w:rPr>
              <w:rFonts w:ascii="Cambria Math" w:hAnsi="Cambria Math"/>
              <w:szCs w:val="20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A</m:t>
              </m:r>
              <m:r>
                <w:rPr>
                  <w:rFonts w:ascii="Cambria Math" w:hAnsi="Cambria Math"/>
                  <w:szCs w:val="20"/>
                </w:rPr>
                <m:t>→</m:t>
              </m:r>
              <m:r>
                <w:rPr>
                  <w:rFonts w:ascii="Cambria Math" w:hAnsi="Cambria Math"/>
                  <w:szCs w:val="20"/>
                </w:rPr>
                <m:t>B</m:t>
              </m:r>
            </m:num>
            <m:den>
              <m:r>
                <w:rPr>
                  <w:rFonts w:ascii="Cambria Math" w:hAnsi="Cambria Math"/>
                  <w:szCs w:val="20"/>
                </w:rPr>
                <m:t>¬</m:t>
              </m:r>
              <m:r>
                <w:rPr>
                  <w:rFonts w:ascii="Cambria Math" w:hAnsi="Cambria Math"/>
                  <w:szCs w:val="20"/>
                </w:rPr>
                <m:t>A|B</m:t>
              </m:r>
            </m:den>
          </m:f>
          <m:r>
            <w:rPr>
              <w:rFonts w:ascii="Cambria Math" w:hAnsi="Cambria Math"/>
              <w:szCs w:val="20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A&amp;B</m:t>
                  </m:r>
                </m:e>
              </m:d>
            </m:num>
            <m:den>
              <m:r>
                <w:rPr>
                  <w:rFonts w:ascii="Cambria Math" w:hAnsi="Cambria Math"/>
                  <w:szCs w:val="20"/>
                </w:rPr>
                <m:t>¬A|¬B</m:t>
              </m:r>
            </m:den>
          </m:f>
          <m:r>
            <w:rPr>
              <w:rFonts w:ascii="Cambria Math" w:hAnsi="Cambria Math"/>
              <w:szCs w:val="20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  <m:r>
                    <w:rPr>
                      <w:rFonts w:ascii="Cambria Math" w:hAnsi="Cambria Math"/>
                      <w:szCs w:val="20"/>
                    </w:rPr>
                    <m:t>∨</m:t>
                  </m:r>
                  <m:r>
                    <w:rPr>
                      <w:rFonts w:ascii="Cambria Math" w:hAnsi="Cambria Math"/>
                      <w:szCs w:val="20"/>
                    </w:rPr>
                    <m:t>B</m:t>
                  </m:r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¬A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¬B</m:t>
                  </m:r>
                </m:e>
              </m:eqArr>
            </m:den>
          </m:f>
          <m:r>
            <w:rPr>
              <w:rFonts w:ascii="Cambria Math" w:hAnsi="Cambria Math"/>
              <w:szCs w:val="20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A→B</m:t>
                  </m:r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¬B</m:t>
                  </m:r>
                </m:e>
              </m:eqArr>
            </m:den>
          </m:f>
          <m:r>
            <w:rPr>
              <w:rFonts w:ascii="Cambria Math" w:hAnsi="Cambria Math"/>
              <w:szCs w:val="20"/>
            </w:rPr>
            <m:t xml:space="preserve">,  </m:t>
          </m:r>
          <m:r>
            <w:rPr>
              <w:rFonts w:ascii="Cambria Math" w:hAnsi="Cambria Math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∀x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α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A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∀x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α</m:t>
                      </m:r>
                      <m:r>
                        <w:rPr>
                          <w:rFonts w:ascii="Cambria Math" w:hAnsi="Cambria Math"/>
                          <w:szCs w:val="20"/>
                        </w:rPr>
                        <m:t>,b</m:t>
                      </m:r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b</m:t>
                      </m:r>
                    </m:e>
                  </m:d>
                </m:e>
              </m:eqArr>
            </m:den>
          </m:f>
          <m:r>
            <w:rPr>
              <w:rFonts w:ascii="Cambria Math" w:hAnsi="Cambria Math"/>
              <w:szCs w:val="20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∃</m:t>
                  </m:r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α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Cs w:val="20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∀x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α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∃x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α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¬</m:t>
              </m:r>
              <m:r>
                <w:rPr>
                  <w:rFonts w:ascii="Cambria Math" w:hAnsi="Cambria Math"/>
                  <w:szCs w:val="20"/>
                </w:rPr>
                <m:t>A</m:t>
              </m:r>
            </m:den>
          </m:f>
          <m:r>
            <w:rPr>
              <w:rFonts w:ascii="Cambria Math" w:hAnsi="Cambria Math"/>
              <w:szCs w:val="20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∃x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α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∀x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α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¬</m:t>
              </m:r>
              <m:r>
                <w:rPr>
                  <w:rFonts w:ascii="Cambria Math" w:hAnsi="Cambria Math"/>
                  <w:szCs w:val="20"/>
                </w:rPr>
                <m:t>A</m:t>
              </m:r>
            </m:den>
          </m:f>
          <m:r>
            <w:rPr>
              <w:rFonts w:ascii="Cambria Math" w:hAnsi="Cambria Math"/>
              <w:szCs w:val="20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¬¬A</m:t>
              </m:r>
            </m:num>
            <m:den>
              <m:r>
                <w:rPr>
                  <w:rFonts w:ascii="Cambria Math" w:hAnsi="Cambria Math"/>
                  <w:szCs w:val="20"/>
                </w:rPr>
                <m:t>A</m:t>
              </m:r>
            </m:den>
          </m:f>
        </m:oMath>
      </m:oMathPara>
    </w:p>
    <w:p w14:paraId="7C53FC0E" w14:textId="7A11577E" w:rsidR="00D13FB8" w:rsidRDefault="00D13FB8" w:rsidP="004468A9">
      <w:pPr>
        <w:spacing w:line="276" w:lineRule="auto"/>
        <w:jc w:val="left"/>
        <w:rPr>
          <w:szCs w:val="20"/>
        </w:rPr>
      </w:pPr>
      <w:proofErr w:type="spellStart"/>
      <w:r>
        <w:rPr>
          <w:szCs w:val="20"/>
        </w:rPr>
        <w:t>Неразветвляющее</w:t>
      </w:r>
      <w:proofErr w:type="spellEnd"/>
      <w:r>
        <w:rPr>
          <w:szCs w:val="20"/>
        </w:rPr>
        <w:t xml:space="preserve"> правило: к каждому узлу приписывается одна вершина, т.е. утверждается истинность всех формул заключения.</w:t>
      </w:r>
    </w:p>
    <w:p w14:paraId="06566647" w14:textId="48A53544" w:rsidR="00D13FB8" w:rsidRDefault="00D13FB8" w:rsidP="004468A9">
      <w:pPr>
        <w:spacing w:line="276" w:lineRule="auto"/>
        <w:jc w:val="left"/>
        <w:rPr>
          <w:szCs w:val="20"/>
        </w:rPr>
      </w:pPr>
      <w:r>
        <w:rPr>
          <w:szCs w:val="20"/>
        </w:rPr>
        <w:t>Разветвляющее правило: к каждому узлу приписываем узлы, соответствующие разветвлению, т.е. утверждается истинность хотя бы одной формулы заключения.</w:t>
      </w:r>
    </w:p>
    <w:p w14:paraId="24C59D40" w14:textId="3A0A5762" w:rsidR="00521257" w:rsidRDefault="00D13FB8" w:rsidP="00521257">
      <w:pPr>
        <w:spacing w:line="276" w:lineRule="auto"/>
        <w:jc w:val="left"/>
        <w:rPr>
          <w:szCs w:val="20"/>
        </w:rPr>
      </w:pPr>
      <w:r>
        <w:rPr>
          <w:szCs w:val="20"/>
        </w:rPr>
        <w:t xml:space="preserve">Для ответа на вопрос «Верно ли, </w:t>
      </w:r>
      <w:r w:rsidRPr="00D13FB8">
        <w:rPr>
          <w:szCs w:val="20"/>
        </w:rPr>
        <w:t>что Γ</w:t>
      </w:r>
      <w:r w:rsidRPr="00D13FB8">
        <w:rPr>
          <w:rFonts w:ascii="Cambria Math" w:hAnsi="Cambria Math" w:cs="Cambria Math"/>
          <w:szCs w:val="20"/>
        </w:rPr>
        <w:t>⇒</w:t>
      </w:r>
      <w:r w:rsidRPr="00D13FB8">
        <w:rPr>
          <w:szCs w:val="20"/>
        </w:rPr>
        <w:t>A?</w:t>
      </w:r>
      <w:r w:rsidRPr="00D13FB8">
        <w:rPr>
          <w:szCs w:val="20"/>
        </w:rPr>
        <w:t>»</w:t>
      </w:r>
      <w:r w:rsidR="0052043C">
        <w:rPr>
          <w:szCs w:val="20"/>
        </w:rPr>
        <w:t xml:space="preserve"> используются поисковые деревья. Решение методом от противного, пусть </w:t>
      </w:r>
      <m:oMath>
        <m:r>
          <m:rPr>
            <m:sty m:val="p"/>
          </m:rPr>
          <w:rPr>
            <w:rFonts w:ascii="Cambria Math" w:hAnsi="Cambria Math"/>
            <w:szCs w:val="20"/>
          </w:rPr>
          <m:t>Γ</m:t>
        </m:r>
        <m:r>
          <w:rPr>
            <w:rFonts w:ascii="Cambria Math" w:hAnsi="Cambria Math"/>
            <w:szCs w:val="20"/>
          </w:rPr>
          <m:t>⊭A</m:t>
        </m:r>
      </m:oMath>
      <w:r w:rsidR="0052043C">
        <w:rPr>
          <w:szCs w:val="20"/>
        </w:rPr>
        <w:t xml:space="preserve">, тогда существует такая модель </w:t>
      </w:r>
      <m:oMath>
        <m:r>
          <m:rPr>
            <m:sty m:val="p"/>
          </m:rPr>
          <w:rPr>
            <w:rFonts w:ascii="Cambria Math" w:hAnsi="Cambria Math"/>
            <w:szCs w:val="20"/>
          </w:rPr>
          <m:t>Γ</m:t>
        </m:r>
      </m:oMath>
      <w:r w:rsidR="0052043C">
        <w:rPr>
          <w:szCs w:val="20"/>
        </w:rPr>
        <w:t xml:space="preserve">, что она не являются моделью </w:t>
      </w:r>
      <m:oMath>
        <m:r>
          <w:rPr>
            <w:rFonts w:ascii="Cambria Math" w:hAnsi="Cambria Math"/>
            <w:szCs w:val="20"/>
          </w:rPr>
          <m:t>A</m:t>
        </m:r>
      </m:oMath>
      <w:r w:rsidR="0052043C">
        <w:rPr>
          <w:szCs w:val="20"/>
        </w:rPr>
        <w:t xml:space="preserve">, т.е. </w:t>
      </w:r>
      <m:oMath>
        <m:r>
          <w:rPr>
            <w:rFonts w:ascii="Cambria Math" w:hAnsi="Cambria Math"/>
            <w:szCs w:val="20"/>
          </w:rPr>
          <m:t>∃I</m:t>
        </m:r>
      </m:oMath>
      <w:r w:rsidR="0052043C" w:rsidRPr="00521257">
        <w:rPr>
          <w:szCs w:val="20"/>
        </w:rPr>
        <w:t xml:space="preserve">, </w:t>
      </w:r>
      <w:r w:rsidR="0052043C">
        <w:rPr>
          <w:szCs w:val="20"/>
        </w:rPr>
        <w:t xml:space="preserve">что </w:t>
      </w:r>
      <m:oMath>
        <m:sSubSup>
          <m:sSubSupPr>
            <m:ctrlPr>
              <w:rPr>
                <w:rFonts w:ascii="Cambria Math" w:hAnsi="Cambria Math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szCs w:val="20"/>
          </w:rPr>
          <m:t>,…,</m:t>
        </m:r>
        <m:sSubSup>
          <m:sSubSupPr>
            <m:ctrlPr>
              <w:rPr>
                <w:rFonts w:ascii="Cambria Math" w:hAnsi="Cambria Math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szCs w:val="20"/>
          </w:rPr>
          <m:t>=1</m:t>
        </m:r>
      </m:oMath>
      <w:r w:rsidR="0052043C">
        <w:rPr>
          <w:szCs w:val="20"/>
        </w:rPr>
        <w:t xml:space="preserve">, </w:t>
      </w:r>
      <w:r w:rsidR="0052043C">
        <w:rPr>
          <w:szCs w:val="20"/>
        </w:rPr>
        <w:br/>
        <w:t xml:space="preserve">а </w:t>
      </w:r>
      <m:oMath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/>
            <w:szCs w:val="20"/>
          </w:rPr>
          <m:t>=0⇒¬</m:t>
        </m:r>
        <m:sSup>
          <m:sSup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A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/>
            <w:szCs w:val="20"/>
          </w:rPr>
          <m:t>=1</m:t>
        </m:r>
      </m:oMath>
      <w:r w:rsidR="0052043C" w:rsidRPr="00521257">
        <w:rPr>
          <w:szCs w:val="20"/>
        </w:rPr>
        <w:t>.</w:t>
      </w:r>
      <w:r w:rsidR="00521257">
        <w:rPr>
          <w:szCs w:val="20"/>
        </w:rPr>
        <w:t xml:space="preserve"> Дерево вывода</w:t>
      </w:r>
      <w:r w:rsidR="00A023F7">
        <w:rPr>
          <w:szCs w:val="20"/>
        </w:rPr>
        <w:t xml:space="preserve"> – является деревом доказательств, если каждая из его ветвей блокирована. Ветвь в дереве называется блокированной, если в ней одновременно получены формулы </w:t>
      </w:r>
      <m:oMath>
        <m:r>
          <w:rPr>
            <w:rFonts w:ascii="Cambria Math" w:hAnsi="Cambria Math"/>
            <w:szCs w:val="20"/>
          </w:rPr>
          <m:t>F</m:t>
        </m:r>
      </m:oMath>
      <w:r w:rsidR="00A023F7">
        <w:rPr>
          <w:szCs w:val="20"/>
        </w:rPr>
        <w:t xml:space="preserve"> и </w:t>
      </w:r>
      <m:oMath>
        <m:r>
          <w:rPr>
            <w:rFonts w:ascii="Cambria Math" w:hAnsi="Cambria Math"/>
            <w:szCs w:val="20"/>
          </w:rPr>
          <m:t>¬</m:t>
        </m:r>
        <m:r>
          <w:rPr>
            <w:rFonts w:ascii="Cambria Math" w:hAnsi="Cambria Math"/>
            <w:szCs w:val="20"/>
          </w:rPr>
          <m:t>F</m:t>
        </m:r>
      </m:oMath>
      <w:r w:rsidR="00A023F7">
        <w:rPr>
          <w:szCs w:val="20"/>
        </w:rPr>
        <w:t>.</w:t>
      </w:r>
      <w:bookmarkStart w:id="0" w:name="_GoBack"/>
      <w:bookmarkEnd w:id="0"/>
    </w:p>
    <w:p w14:paraId="39C711DC" w14:textId="61F18BD7" w:rsidR="00A023F7" w:rsidRPr="00A023F7" w:rsidRDefault="00A023F7" w:rsidP="00A023F7">
      <w:pPr>
        <w:spacing w:line="276" w:lineRule="auto"/>
        <w:jc w:val="center"/>
        <w:rPr>
          <w:i/>
          <w:szCs w:val="20"/>
        </w:rPr>
      </w:pPr>
      <w:r w:rsidRPr="00A023F7">
        <w:rPr>
          <w:i/>
          <w:szCs w:val="20"/>
        </w:rPr>
        <w:drawing>
          <wp:inline distT="0" distB="0" distL="0" distR="0" wp14:anchorId="0A8E96DE" wp14:editId="737B66C0">
            <wp:extent cx="3244918" cy="4405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885" cy="44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3F7" w:rsidRPr="00A023F7" w:rsidSect="008925B3">
      <w:footerReference w:type="default" r:id="rId9"/>
      <w:footerReference w:type="first" r:id="rId10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DE63B" w14:textId="77777777" w:rsidR="007D01C7" w:rsidRDefault="007D01C7" w:rsidP="00135281">
      <w:pPr>
        <w:spacing w:line="240" w:lineRule="auto"/>
      </w:pPr>
      <w:r>
        <w:separator/>
      </w:r>
    </w:p>
  </w:endnote>
  <w:endnote w:type="continuationSeparator" w:id="0">
    <w:p w14:paraId="6CD62DD9" w14:textId="77777777" w:rsidR="007D01C7" w:rsidRDefault="007D01C7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9150C" w14:textId="77777777" w:rsidR="005F1A3A" w:rsidRDefault="005F1A3A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1591FCA" w14:textId="77777777" w:rsidR="005F1A3A" w:rsidRDefault="005F1A3A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D886D" w14:textId="77777777" w:rsidR="005F1A3A" w:rsidRDefault="005F1A3A">
    <w:pPr>
      <w:pStyle w:val="aff9"/>
      <w:jc w:val="right"/>
    </w:pPr>
  </w:p>
  <w:p w14:paraId="38C7ACF1" w14:textId="77777777" w:rsidR="005F1A3A" w:rsidRDefault="005F1A3A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7CF04" w14:textId="77777777" w:rsidR="007D01C7" w:rsidRDefault="007D01C7" w:rsidP="00135281">
      <w:pPr>
        <w:spacing w:line="240" w:lineRule="auto"/>
      </w:pPr>
      <w:r>
        <w:separator/>
      </w:r>
    </w:p>
  </w:footnote>
  <w:footnote w:type="continuationSeparator" w:id="0">
    <w:p w14:paraId="57667B38" w14:textId="77777777" w:rsidR="007D01C7" w:rsidRDefault="007D01C7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D1D13"/>
    <w:multiLevelType w:val="hybridMultilevel"/>
    <w:tmpl w:val="46A0E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212720D"/>
    <w:multiLevelType w:val="multilevel"/>
    <w:tmpl w:val="F91C35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9463F"/>
    <w:multiLevelType w:val="hybridMultilevel"/>
    <w:tmpl w:val="8ECE0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05324B"/>
    <w:multiLevelType w:val="hybridMultilevel"/>
    <w:tmpl w:val="0C1E3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34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2"/>
  </w:num>
  <w:num w:numId="13">
    <w:abstractNumId w:val="44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8"/>
  </w:num>
  <w:num w:numId="18">
    <w:abstractNumId w:val="29"/>
  </w:num>
  <w:num w:numId="19">
    <w:abstractNumId w:val="41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40"/>
  </w:num>
  <w:num w:numId="25">
    <w:abstractNumId w:val="12"/>
  </w:num>
  <w:num w:numId="26">
    <w:abstractNumId w:val="12"/>
  </w:num>
  <w:num w:numId="27">
    <w:abstractNumId w:val="12"/>
  </w:num>
  <w:num w:numId="28">
    <w:abstractNumId w:val="38"/>
  </w:num>
  <w:num w:numId="29">
    <w:abstractNumId w:val="31"/>
  </w:num>
  <w:num w:numId="30">
    <w:abstractNumId w:val="37"/>
  </w:num>
  <w:num w:numId="31">
    <w:abstractNumId w:val="17"/>
  </w:num>
  <w:num w:numId="32">
    <w:abstractNumId w:val="35"/>
  </w:num>
  <w:num w:numId="33">
    <w:abstractNumId w:val="25"/>
  </w:num>
  <w:num w:numId="34">
    <w:abstractNumId w:val="45"/>
  </w:num>
  <w:num w:numId="35">
    <w:abstractNumId w:val="16"/>
  </w:num>
  <w:num w:numId="36">
    <w:abstractNumId w:val="30"/>
  </w:num>
  <w:num w:numId="37">
    <w:abstractNumId w:val="26"/>
  </w:num>
  <w:num w:numId="38">
    <w:abstractNumId w:val="21"/>
  </w:num>
  <w:num w:numId="39">
    <w:abstractNumId w:val="14"/>
  </w:num>
  <w:num w:numId="40">
    <w:abstractNumId w:val="24"/>
  </w:num>
  <w:num w:numId="41">
    <w:abstractNumId w:val="43"/>
  </w:num>
  <w:num w:numId="42">
    <w:abstractNumId w:val="13"/>
  </w:num>
  <w:num w:numId="43">
    <w:abstractNumId w:val="47"/>
  </w:num>
  <w:num w:numId="44">
    <w:abstractNumId w:val="20"/>
  </w:num>
  <w:num w:numId="45">
    <w:abstractNumId w:val="19"/>
  </w:num>
  <w:num w:numId="46">
    <w:abstractNumId w:val="32"/>
  </w:num>
  <w:num w:numId="47">
    <w:abstractNumId w:val="42"/>
  </w:num>
  <w:num w:numId="48">
    <w:abstractNumId w:val="36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3"/>
  </w:num>
  <w:num w:numId="62">
    <w:abstractNumId w:val="39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4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6"/>
  </w:num>
  <w:num w:numId="70">
    <w:abstractNumId w:val="18"/>
  </w:num>
  <w:num w:numId="71">
    <w:abstractNumId w:val="2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6438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733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97FFE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984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5A7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04305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272EC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65A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468A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43C"/>
    <w:rsid w:val="005208BF"/>
    <w:rsid w:val="0052108B"/>
    <w:rsid w:val="00521257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0E3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6A78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1A3A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213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5E89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5E38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1C7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02BA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3547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B7B52"/>
    <w:rsid w:val="009C0621"/>
    <w:rsid w:val="009C0E98"/>
    <w:rsid w:val="009C22DF"/>
    <w:rsid w:val="009C2C90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3F7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48E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0850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4883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3FB8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5E2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B7479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3DB5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54A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2B5A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67409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071733"/>
    <w:pPr>
      <w:keepNext/>
      <w:keepLines/>
      <w:spacing w:before="240" w:line="259" w:lineRule="auto"/>
      <w:ind w:firstLine="0"/>
      <w:jc w:val="left"/>
      <w:outlineLvl w:val="0"/>
    </w:pPr>
    <w:rPr>
      <w:b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71733"/>
    <w:rPr>
      <w:rFonts w:ascii="Times New Roman" w:hAnsi="Times New Roman"/>
      <w:b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s4">
    <w:name w:val="s4"/>
    <w:basedOn w:val="a5"/>
    <w:rsid w:val="00C0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30070-CBC5-4D85-9285-96809630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10</cp:revision>
  <cp:lastPrinted>2019-06-24T06:29:00Z</cp:lastPrinted>
  <dcterms:created xsi:type="dcterms:W3CDTF">2019-06-04T20:09:00Z</dcterms:created>
  <dcterms:modified xsi:type="dcterms:W3CDTF">2019-06-24T06:29:00Z</dcterms:modified>
</cp:coreProperties>
</file>