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center"/>
      </w:pPr>
      <w:r>
        <w:rPr>
          <w:rFonts w:ascii="Arial" w:hAnsi="Arial" w:cs="Arial"/>
          <w:b/>
          <w:sz w:val="22"/>
        </w:rPr>
        <w:t>McDONALD'S MARKETING STATS SHEET</w:t>
      </w:r>
    </w:p>
    <w:p>
      <w:pPr>
        <w:spacing w:before="80" w:after="20" w:line="276" w:lineRule="auto"/>
      </w:pPr>
      <w:r>
        <w:rPr>
          <w:rFonts w:ascii="Arial" w:hAnsi="Arial" w:cs="Arial"/>
          <w:b/>
          <w:sz w:val="20"/>
        </w:rPr>
        <w:t>McDonald's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Revenue (2024) — </w:t>
      </w:r>
      <w:r>
        <w:rPr>
          <w:rFonts w:ascii="Arial" w:hAnsi="Arial" w:cs="Arial"/>
          <w:b w:val="0"/>
          <w:sz w:val="18"/>
        </w:rPr>
        <w:t>$25.9B USD (+2% from 2023)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Revenue (2025) — </w:t>
      </w:r>
      <w:r>
        <w:rPr>
          <w:rFonts w:ascii="Arial" w:hAnsi="Arial" w:cs="Arial"/>
          <w:b w:val="0"/>
          <w:sz w:val="18"/>
        </w:rPr>
        <w:t>$26.9B USD (+3.7% from 2024)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Net Income (2024) — </w:t>
      </w:r>
      <w:r>
        <w:rPr>
          <w:rFonts w:ascii="Arial" w:hAnsi="Arial" w:cs="Arial"/>
          <w:b w:val="0"/>
          <w:sz w:val="18"/>
        </w:rPr>
        <w:t>$8.22B USD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Net Income (2025) — </w:t>
      </w:r>
      <w:r>
        <w:rPr>
          <w:rFonts w:ascii="Arial" w:hAnsi="Arial" w:cs="Arial"/>
          <w:b w:val="0"/>
          <w:sz w:val="18"/>
        </w:rPr>
        <w:t>$8.56B USD (+4.1%)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Systemwide Sales (2025) — </w:t>
      </w:r>
      <w:r>
        <w:rPr>
          <w:rFonts w:ascii="Arial" w:hAnsi="Arial" w:cs="Arial"/>
          <w:b w:val="0"/>
          <w:sz w:val="18"/>
        </w:rPr>
        <w:t>$139B USD (+7% YoY)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Comparable Sales (2025) — </w:t>
      </w:r>
      <w:r>
        <w:rPr>
          <w:rFonts w:ascii="Arial" w:hAnsi="Arial" w:cs="Arial"/>
          <w:b w:val="0"/>
          <w:sz w:val="18"/>
        </w:rPr>
        <w:t>+3.1%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Restaurants (end 2024) — </w:t>
      </w:r>
      <w:r>
        <w:rPr>
          <w:rFonts w:ascii="Arial" w:hAnsi="Arial" w:cs="Arial"/>
          <w:b w:val="0"/>
          <w:sz w:val="18"/>
        </w:rPr>
        <w:t>43,477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Restaurants (end 2025) — </w:t>
      </w:r>
      <w:r>
        <w:rPr>
          <w:rFonts w:ascii="Arial" w:hAnsi="Arial" w:cs="Arial"/>
          <w:b w:val="0"/>
          <w:sz w:val="18"/>
        </w:rPr>
        <w:t>45,356 (+1,879 net new)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Target Restaurants by 2027 — </w:t>
      </w:r>
      <w:r>
        <w:rPr>
          <w:rFonts w:ascii="Arial" w:hAnsi="Arial" w:cs="Arial"/>
          <w:b w:val="0"/>
          <w:sz w:val="18"/>
        </w:rPr>
        <w:t>50,000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Market Share (QSR) — </w:t>
      </w:r>
      <w:r>
        <w:rPr>
          <w:rFonts w:ascii="Arial" w:hAnsi="Arial" w:cs="Arial"/>
          <w:b w:val="0"/>
          <w:sz w:val="18"/>
        </w:rPr>
        <w:t>#1 globally by revenue and systemwide sales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Revenue (2024) — </w:t>
      </w:r>
      <w:r>
        <w:rPr>
          <w:rFonts w:ascii="Arial" w:hAnsi="Arial" w:cs="Arial"/>
          <w:b w:val="0"/>
          <w:sz w:val="18"/>
        </w:rPr>
        <w:t>$2.22B AUD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Restaurants (end 2024) — </w:t>
      </w:r>
      <w:r>
        <w:rPr>
          <w:rFonts w:ascii="Arial" w:hAnsi="Arial" w:cs="Arial"/>
          <w:b w:val="0"/>
          <w:sz w:val="18"/>
        </w:rPr>
        <w:t>1,068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Restaurants (end 2025) — </w:t>
      </w:r>
      <w:r>
        <w:rPr>
          <w:rFonts w:ascii="Arial" w:hAnsi="Arial" w:cs="Arial"/>
          <w:b w:val="0"/>
          <w:sz w:val="18"/>
        </w:rPr>
        <w:t>1,092 (+2.25%)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Market Share — </w:t>
      </w:r>
      <w:r>
        <w:rPr>
          <w:rFonts w:ascii="Arial" w:hAnsi="Arial" w:cs="Arial"/>
          <w:b w:val="0"/>
          <w:sz w:val="18"/>
        </w:rPr>
        <w:t>~23.2% of fast food revenue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Customers Per Day — </w:t>
      </w:r>
      <w:r>
        <w:rPr>
          <w:rFonts w:ascii="Arial" w:hAnsi="Arial" w:cs="Arial"/>
          <w:b w:val="0"/>
          <w:sz w:val="18"/>
        </w:rPr>
        <w:t>1.7 million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Employees — </w:t>
      </w:r>
      <w:r>
        <w:rPr>
          <w:rFonts w:ascii="Arial" w:hAnsi="Arial" w:cs="Arial"/>
          <w:b w:val="0"/>
          <w:sz w:val="18"/>
        </w:rPr>
        <w:t>110,000+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Employees — </w:t>
      </w:r>
      <w:r>
        <w:rPr>
          <w:rFonts w:ascii="Arial" w:hAnsi="Arial" w:cs="Arial"/>
          <w:b w:val="0"/>
          <w:sz w:val="18"/>
        </w:rPr>
        <w:t>2+ million systemwide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Customers Per Day (Global) — </w:t>
      </w:r>
      <w:r>
        <w:rPr>
          <w:rFonts w:ascii="Arial" w:hAnsi="Arial" w:cs="Arial"/>
          <w:b w:val="0"/>
          <w:sz w:val="18"/>
        </w:rPr>
        <w:t>70+ million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Advertising Spend (2024) — </w:t>
      </w:r>
      <w:r>
        <w:rPr>
          <w:rFonts w:ascii="Arial" w:hAnsi="Arial" w:cs="Arial"/>
          <w:b w:val="0"/>
          <w:sz w:val="18"/>
        </w:rPr>
        <w:t>~$1.4B USD globally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Digital Sales (2025) — </w:t>
      </w:r>
      <w:r>
        <w:rPr>
          <w:rFonts w:ascii="Arial" w:hAnsi="Arial" w:cs="Arial"/>
          <w:b w:val="0"/>
          <w:sz w:val="18"/>
        </w:rPr>
        <w:t>$10B+ (20% of system revenue)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Digital Revenue Target (2027) — </w:t>
      </w:r>
      <w:r>
        <w:rPr>
          <w:rFonts w:ascii="Arial" w:hAnsi="Arial" w:cs="Arial"/>
          <w:b w:val="0"/>
          <w:sz w:val="18"/>
        </w:rPr>
        <w:t>40% of total revenue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Loyalty Members (Global) — </w:t>
      </w:r>
      <w:r>
        <w:rPr>
          <w:rFonts w:ascii="Arial" w:hAnsi="Arial" w:cs="Arial"/>
          <w:b w:val="0"/>
          <w:sz w:val="18"/>
        </w:rPr>
        <w:t>150M+ active members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Loyalty Sales (2025) — </w:t>
      </w:r>
      <w:r>
        <w:rPr>
          <w:rFonts w:ascii="Arial" w:hAnsi="Arial" w:cs="Arial"/>
          <w:b w:val="0"/>
          <w:sz w:val="18"/>
        </w:rPr>
        <w:t>$40B systemwide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Loyalty Target (2027) — </w:t>
      </w:r>
      <w:r>
        <w:rPr>
          <w:rFonts w:ascii="Arial" w:hAnsi="Arial" w:cs="Arial"/>
          <w:b w:val="0"/>
          <w:sz w:val="18"/>
        </w:rPr>
        <w:t>250M active members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Drive-Thru % of AU Sales — </w:t>
      </w:r>
      <w:r>
        <w:rPr>
          <w:rFonts w:ascii="Arial" w:hAnsi="Arial" w:cs="Arial"/>
          <w:b w:val="0"/>
          <w:sz w:val="18"/>
        </w:rPr>
        <w:t>60-70%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Franchise % Globally — </w:t>
      </w:r>
      <w:r>
        <w:rPr>
          <w:rFonts w:ascii="Arial" w:hAnsi="Arial" w:cs="Arial"/>
          <w:b w:val="0"/>
          <w:sz w:val="18"/>
        </w:rPr>
        <w:t>~95%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Franchise % in AU — </w:t>
      </w:r>
      <w:r>
        <w:rPr>
          <w:rFonts w:ascii="Arial" w:hAnsi="Arial" w:cs="Arial"/>
          <w:b w:val="0"/>
          <w:sz w:val="18"/>
        </w:rPr>
        <w:t>80%+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Market Capitalisation (2025) — </w:t>
      </w:r>
      <w:r>
        <w:rPr>
          <w:rFonts w:ascii="Arial" w:hAnsi="Arial" w:cs="Arial"/>
          <w:b w:val="0"/>
          <w:sz w:val="18"/>
        </w:rPr>
        <w:t>~$215B USD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Ad Spend (US only) — </w:t>
      </w:r>
      <w:r>
        <w:rPr>
          <w:rFonts w:ascii="Arial" w:hAnsi="Arial" w:cs="Arial"/>
          <w:b w:val="0"/>
          <w:sz w:val="18"/>
        </w:rPr>
        <w:t>~$1.1B USD</w:t>
      </w:r>
    </w:p>
    <w:p>
      <w:pPr>
        <w:spacing w:before="80" w:after="20" w:line="276" w:lineRule="auto"/>
      </w:pPr>
      <w:r>
        <w:rPr>
          <w:rFonts w:ascii="Arial" w:hAnsi="Arial" w:cs="Arial"/>
          <w:b/>
          <w:sz w:val="20"/>
        </w:rPr>
        <w:t>KFC (Yum! Brands)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Revenue (2024) — </w:t>
      </w:r>
      <w:r>
        <w:rPr>
          <w:rFonts w:ascii="Arial" w:hAnsi="Arial" w:cs="Arial"/>
          <w:b w:val="0"/>
          <w:sz w:val="18"/>
        </w:rPr>
        <w:t>~$3.1B USD (Yum! KFC Division)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Systemwide Sales — </w:t>
      </w:r>
      <w:r>
        <w:rPr>
          <w:rFonts w:ascii="Arial" w:hAnsi="Arial" w:cs="Arial"/>
          <w:b w:val="0"/>
          <w:sz w:val="18"/>
        </w:rPr>
        <w:t>~$36B+ USD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Restaurants (2025) — </w:t>
      </w:r>
      <w:r>
        <w:rPr>
          <w:rFonts w:ascii="Arial" w:hAnsi="Arial" w:cs="Arial"/>
          <w:b w:val="0"/>
          <w:sz w:val="18"/>
        </w:rPr>
        <w:t>31,980+ across 150 countries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Brand Value (2024) — </w:t>
      </w:r>
      <w:r>
        <w:rPr>
          <w:rFonts w:ascii="Arial" w:hAnsi="Arial" w:cs="Arial"/>
          <w:b w:val="0"/>
          <w:sz w:val="18"/>
        </w:rPr>
        <w:t>$12.87B USD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Locations — </w:t>
      </w:r>
      <w:r>
        <w:rPr>
          <w:rFonts w:ascii="Arial" w:hAnsi="Arial" w:cs="Arial"/>
          <w:b w:val="0"/>
          <w:sz w:val="18"/>
        </w:rPr>
        <w:t>700+ (Collins Foods operates 288)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Market Share — </w:t>
      </w:r>
      <w:r>
        <w:rPr>
          <w:rFonts w:ascii="Arial" w:hAnsi="Arial" w:cs="Arial"/>
          <w:b w:val="0"/>
          <w:sz w:val="18"/>
        </w:rPr>
        <w:t>~18%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Customers Per Week — </w:t>
      </w:r>
      <w:r>
        <w:rPr>
          <w:rFonts w:ascii="Arial" w:hAnsi="Arial" w:cs="Arial"/>
          <w:b w:val="0"/>
          <w:sz w:val="18"/>
        </w:rPr>
        <w:t>6.8 million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Key Differentiator — </w:t>
      </w:r>
      <w:r>
        <w:rPr>
          <w:rFonts w:ascii="Arial" w:hAnsi="Arial" w:cs="Arial"/>
          <w:b w:val="0"/>
          <w:sz w:val="18"/>
        </w:rPr>
        <w:t>Chicken specialist; 'Finger Lickin' Good'</w:t>
      </w:r>
    </w:p>
    <w:p>
      <w:pPr>
        <w:spacing w:before="80" w:after="20" w:line="276" w:lineRule="auto"/>
      </w:pPr>
      <w:r>
        <w:rPr>
          <w:rFonts w:ascii="Arial" w:hAnsi="Arial" w:cs="Arial"/>
          <w:b/>
          <w:sz w:val="20"/>
        </w:rPr>
        <w:t>Hungry Jack's (Burger King / RBI)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Systemwide Sales (2024) — </w:t>
      </w:r>
      <w:r>
        <w:rPr>
          <w:rFonts w:ascii="Arial" w:hAnsi="Arial" w:cs="Arial"/>
          <w:b w:val="0"/>
          <w:sz w:val="18"/>
        </w:rPr>
        <w:t>~$23B USD (Burger King)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Parent Company Revenue (RBI) — </w:t>
      </w:r>
      <w:r>
        <w:rPr>
          <w:rFonts w:ascii="Arial" w:hAnsi="Arial" w:cs="Arial"/>
          <w:b w:val="0"/>
          <w:sz w:val="18"/>
        </w:rPr>
        <w:t>~$47B USD (all brands incl. Tim Hortons, Popeyes)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Restaurants — </w:t>
      </w:r>
      <w:r>
        <w:rPr>
          <w:rFonts w:ascii="Arial" w:hAnsi="Arial" w:cs="Arial"/>
          <w:b w:val="0"/>
          <w:sz w:val="18"/>
        </w:rPr>
        <w:t>19,400+ across 120+ countries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Locations — </w:t>
      </w:r>
      <w:r>
        <w:rPr>
          <w:rFonts w:ascii="Arial" w:hAnsi="Arial" w:cs="Arial"/>
          <w:b w:val="0"/>
          <w:sz w:val="18"/>
        </w:rPr>
        <w:t>476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Revenue (2024) — </w:t>
      </w:r>
      <w:r>
        <w:rPr>
          <w:rFonts w:ascii="Arial" w:hAnsi="Arial" w:cs="Arial"/>
          <w:b w:val="0"/>
          <w:sz w:val="18"/>
        </w:rPr>
        <w:t>$2.37B AUD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Market Share — </w:t>
      </w:r>
      <w:r>
        <w:rPr>
          <w:rFonts w:ascii="Arial" w:hAnsi="Arial" w:cs="Arial"/>
          <w:b w:val="0"/>
          <w:sz w:val="18"/>
        </w:rPr>
        <w:t>~12%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Key Differentiator — </w:t>
      </w:r>
      <w:r>
        <w:rPr>
          <w:rFonts w:ascii="Arial" w:hAnsi="Arial" w:cs="Arial"/>
          <w:b w:val="0"/>
          <w:sz w:val="18"/>
        </w:rPr>
        <w:t>Flame-grilled, not fried; 'Reclaim the Flame' $400M rebrand (2023-24)</w:t>
      </w:r>
    </w:p>
    <w:p>
      <w:pPr>
        <w:spacing w:before="80" w:after="20" w:line="276" w:lineRule="auto"/>
      </w:pPr>
      <w:r>
        <w:rPr>
          <w:rFonts w:ascii="Arial" w:hAnsi="Arial" w:cs="Arial"/>
          <w:b/>
          <w:sz w:val="20"/>
        </w:rPr>
        <w:t>Subway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Revenue — </w:t>
      </w:r>
      <w:r>
        <w:rPr>
          <w:rFonts w:ascii="Arial" w:hAnsi="Arial" w:cs="Arial"/>
          <w:b w:val="0"/>
          <w:sz w:val="18"/>
        </w:rPr>
        <w:t>Private company (~$10B est.)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Restaurants (2024) — </w:t>
      </w:r>
      <w:r>
        <w:rPr>
          <w:rFonts w:ascii="Arial" w:hAnsi="Arial" w:cs="Arial"/>
          <w:b w:val="0"/>
          <w:sz w:val="18"/>
        </w:rPr>
        <w:t>~37,000 across 100+ countries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New Locations Opened (2024) — </w:t>
      </w:r>
      <w:r>
        <w:rPr>
          <w:rFonts w:ascii="Arial" w:hAnsi="Arial" w:cs="Arial"/>
          <w:b w:val="0"/>
          <w:sz w:val="18"/>
        </w:rPr>
        <w:t>1,000+ globally (2nd year of net growth)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Locations — </w:t>
      </w:r>
      <w:r>
        <w:rPr>
          <w:rFonts w:ascii="Arial" w:hAnsi="Arial" w:cs="Arial"/>
          <w:b w:val="0"/>
          <w:sz w:val="18"/>
        </w:rPr>
        <w:t>1,200-1,300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Market Share — </w:t>
      </w:r>
      <w:r>
        <w:rPr>
          <w:rFonts w:ascii="Arial" w:hAnsi="Arial" w:cs="Arial"/>
          <w:b w:val="0"/>
          <w:sz w:val="18"/>
        </w:rPr>
        <w:t>~10%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Key Differentiator — </w:t>
      </w:r>
      <w:r>
        <w:rPr>
          <w:rFonts w:ascii="Arial" w:hAnsi="Arial" w:cs="Arial"/>
          <w:b w:val="0"/>
          <w:sz w:val="18"/>
        </w:rPr>
        <w:t>Health/fresh positioning; 'Eat Fresh'; customisation</w:t>
      </w:r>
    </w:p>
    <w:p>
      <w:pPr>
        <w:spacing w:before="80" w:after="20" w:line="276" w:lineRule="auto"/>
      </w:pPr>
      <w:r>
        <w:rPr>
          <w:rFonts w:ascii="Arial" w:hAnsi="Arial" w:cs="Arial"/>
          <w:b/>
          <w:sz w:val="20"/>
        </w:rPr>
        <w:t>Wendy's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Revenue (2024) — </w:t>
      </w:r>
      <w:r>
        <w:rPr>
          <w:rFonts w:ascii="Arial" w:hAnsi="Arial" w:cs="Arial"/>
          <w:b w:val="0"/>
          <w:sz w:val="18"/>
        </w:rPr>
        <w:t>$2.1B USD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Systemwide Sales (2024) — </w:t>
      </w:r>
      <w:r>
        <w:rPr>
          <w:rFonts w:ascii="Arial" w:hAnsi="Arial" w:cs="Arial"/>
          <w:b w:val="0"/>
          <w:sz w:val="18"/>
        </w:rPr>
        <w:t>$14.5B USD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Restaurants (2024) — </w:t>
      </w:r>
      <w:r>
        <w:rPr>
          <w:rFonts w:ascii="Arial" w:hAnsi="Arial" w:cs="Arial"/>
          <w:b w:val="0"/>
          <w:sz w:val="18"/>
        </w:rPr>
        <w:t>7,240 (US: 5,933, International: 1,307)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Locations — </w:t>
      </w:r>
      <w:r>
        <w:rPr>
          <w:rFonts w:ascii="Arial" w:hAnsi="Arial" w:cs="Arial"/>
          <w:b w:val="0"/>
          <w:sz w:val="18"/>
        </w:rPr>
        <w:t>1 (opened Jan 2025, Gold Coast)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Market Share — </w:t>
      </w:r>
      <w:r>
        <w:rPr>
          <w:rFonts w:ascii="Arial" w:hAnsi="Arial" w:cs="Arial"/>
          <w:b w:val="0"/>
          <w:sz w:val="18"/>
        </w:rPr>
        <w:t>&lt;1% (new entrant)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Expansion Plan — </w:t>
      </w:r>
      <w:r>
        <w:rPr>
          <w:rFonts w:ascii="Arial" w:hAnsi="Arial" w:cs="Arial"/>
          <w:b w:val="0"/>
          <w:sz w:val="18"/>
        </w:rPr>
        <w:t>200 stores by 2034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Key Differentiator — </w:t>
      </w:r>
      <w:r>
        <w:rPr>
          <w:rFonts w:ascii="Arial" w:hAnsi="Arial" w:cs="Arial"/>
          <w:b w:val="0"/>
          <w:sz w:val="18"/>
        </w:rPr>
        <w:t>'Fresh, Never Frozen' beef; viral social media</w:t>
      </w:r>
    </w:p>
    <w:p>
      <w:pPr>
        <w:spacing w:before="80" w:after="20" w:line="276" w:lineRule="auto"/>
      </w:pPr>
      <w:r>
        <w:rPr>
          <w:rFonts w:ascii="Arial" w:hAnsi="Arial" w:cs="Arial"/>
          <w:b/>
          <w:sz w:val="20"/>
        </w:rPr>
        <w:t>Industry Overview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Global Fast Food Market (2024) — </w:t>
      </w:r>
      <w:r>
        <w:rPr>
          <w:rFonts w:ascii="Arial" w:hAnsi="Arial" w:cs="Arial"/>
          <w:b w:val="0"/>
          <w:sz w:val="18"/>
        </w:rPr>
        <w:t>USD $902.1 billion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Fast Food Market (2025) — </w:t>
      </w:r>
      <w:r>
        <w:rPr>
          <w:rFonts w:ascii="Arial" w:hAnsi="Arial" w:cs="Arial"/>
          <w:b w:val="0"/>
          <w:sz w:val="18"/>
        </w:rPr>
        <w:t>AUD $37.95 billion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Market Growth Projection — </w:t>
      </w:r>
      <w:r>
        <w:rPr>
          <w:rFonts w:ascii="Arial" w:hAnsi="Arial" w:cs="Arial"/>
          <w:b w:val="0"/>
          <w:sz w:val="18"/>
        </w:rPr>
        <w:t>AUD $49.06B by 2035 (2.6% CAGR)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QSR Segment Share — </w:t>
      </w:r>
      <w:r>
        <w:rPr>
          <w:rFonts w:ascii="Arial" w:hAnsi="Arial" w:cs="Arial"/>
          <w:b w:val="0"/>
          <w:sz w:val="18"/>
        </w:rPr>
        <w:t>53% of total fast food market (2025)</w:t>
      </w:r>
    </w:p>
    <w:p>
      <w:pPr>
        <w:spacing w:before="0" w:after="0" w:line="276" w:lineRule="auto"/>
        <w:ind w:left="283"/>
      </w:pPr>
      <w:r>
        <w:rPr>
          <w:rFonts w:ascii="Arial" w:hAnsi="Arial" w:cs="Arial"/>
          <w:b/>
          <w:sz w:val="18"/>
        </w:rPr>
        <w:t xml:space="preserve">AU New Outlets Opened (2024) — </w:t>
      </w:r>
      <w:r>
        <w:rPr>
          <w:rFonts w:ascii="Arial" w:hAnsi="Arial" w:cs="Arial"/>
          <w:b w:val="0"/>
          <w:sz w:val="18"/>
        </w:rPr>
        <w:t>178 net new across all brands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