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קומפילציה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1"/>
        </w:rPr>
        <w:t xml:space="preserve">1"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1"/>
        </w:rPr>
        <w:t xml:space="preserve">2", </w:t>
      </w:r>
      <w:r w:rsidDel="00000000" w:rsidR="00000000" w:rsidRPr="00000000">
        <w:rPr>
          <w:rtl w:val="1"/>
        </w:rPr>
        <w:t xml:space="preserve">שהבעיה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1"/>
        </w:rPr>
        <w:t xml:space="preserve">2"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-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1"/>
        </w:rPr>
        <w:t xml:space="preserve">2" </w:t>
      </w:r>
      <w:r w:rsidDel="00000000" w:rsidR="00000000" w:rsidRPr="00000000">
        <w:rPr>
          <w:rtl w:val="1"/>
        </w:rPr>
        <w:t xml:space="preserve">והורדת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הלוכדות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התקיימותו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228600</wp:posOffset>
            </wp:positionV>
            <wp:extent cx="4833938" cy="217071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170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-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1"/>
        </w:rPr>
        <w:t xml:space="preserve">2"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209550</wp:posOffset>
            </wp:positionV>
            <wp:extent cx="4539630" cy="23336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9630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