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EA" w:rsidRDefault="00216A8B">
      <w:pPr>
        <w:jc w:val="center"/>
        <w:rPr>
          <w:b/>
          <w:sz w:val="38"/>
          <w:szCs w:val="38"/>
        </w:rPr>
      </w:pPr>
      <w:r>
        <w:rPr>
          <w:b/>
          <w:sz w:val="38"/>
          <w:szCs w:val="38"/>
        </w:rPr>
        <w:t>The Seed Economy</w:t>
      </w:r>
    </w:p>
    <w:p w:rsidR="005348EA" w:rsidRDefault="00216A8B">
      <w:pPr>
        <w:jc w:val="center"/>
        <w:rPr>
          <w:sz w:val="24"/>
          <w:szCs w:val="24"/>
        </w:rPr>
      </w:pPr>
      <w:r>
        <w:rPr>
          <w:sz w:val="24"/>
          <w:szCs w:val="24"/>
        </w:rPr>
        <w:t>By Steven Adler</w:t>
      </w:r>
    </w:p>
    <w:p w:rsidR="005348EA" w:rsidRDefault="00216A8B">
      <w:pPr>
        <w:jc w:val="center"/>
        <w:rPr>
          <w:sz w:val="24"/>
          <w:szCs w:val="24"/>
        </w:rPr>
      </w:pPr>
      <w:r>
        <w:rPr>
          <w:sz w:val="24"/>
          <w:szCs w:val="24"/>
        </w:rPr>
        <w:t>Contributing Editor and Author:  Shari Lynn Peterson</w:t>
      </w:r>
    </w:p>
    <w:p w:rsidR="005348EA" w:rsidRDefault="003E6292">
      <w:pPr>
        <w:jc w:val="center"/>
        <w:rPr>
          <w:sz w:val="24"/>
          <w:szCs w:val="24"/>
        </w:rPr>
      </w:pPr>
      <w:hyperlink r:id="rId9">
        <w:r w:rsidR="00216A8B">
          <w:rPr>
            <w:color w:val="1155CC"/>
            <w:sz w:val="24"/>
            <w:szCs w:val="24"/>
            <w:u w:val="single"/>
          </w:rPr>
          <w:t>TheSeedEconomy@gmail.com</w:t>
        </w:r>
      </w:hyperlink>
    </w:p>
    <w:p w:rsidR="00ED469D" w:rsidRDefault="003E6292" w:rsidP="00350EB7">
      <w:pPr>
        <w:jc w:val="center"/>
        <w:rPr>
          <w:rStyle w:val="Hyperlink"/>
          <w:color w:val="1155CC"/>
          <w:sz w:val="24"/>
          <w:szCs w:val="24"/>
        </w:rPr>
      </w:pPr>
      <w:hyperlink r:id="rId10" w:history="1">
        <w:r w:rsidR="00350EB7">
          <w:rPr>
            <w:rStyle w:val="Hyperlink"/>
            <w:color w:val="1155CC"/>
            <w:sz w:val="24"/>
            <w:szCs w:val="24"/>
          </w:rPr>
          <w:t>https://TheSeedEconomy.github.io</w:t>
        </w:r>
      </w:hyperlink>
      <w:bookmarkStart w:id="0" w:name="_GoBack"/>
      <w:bookmarkEnd w:id="0"/>
    </w:p>
    <w:p w:rsidR="00350EB7" w:rsidRDefault="00ED469D" w:rsidP="00350EB7">
      <w:pPr>
        <w:jc w:val="center"/>
        <w:rPr>
          <w:sz w:val="24"/>
          <w:szCs w:val="24"/>
        </w:rPr>
      </w:pPr>
      <w:hyperlink r:id="rId11" w:history="1">
        <w:r w:rsidRPr="00E63E29">
          <w:rPr>
            <w:rStyle w:val="Hyperlink"/>
            <w:sz w:val="24"/>
            <w:szCs w:val="24"/>
          </w:rPr>
          <w:t>https://github.com/TheSeedEconomy</w:t>
        </w:r>
      </w:hyperlink>
      <w:r w:rsidR="00350EB7">
        <w:rPr>
          <w:sz w:val="24"/>
          <w:szCs w:val="24"/>
        </w:rPr>
        <w:t xml:space="preserve"> </w:t>
      </w:r>
    </w:p>
    <w:p w:rsidR="005348EA" w:rsidRDefault="005348EA">
      <w:pPr>
        <w:rPr>
          <w:sz w:val="24"/>
          <w:szCs w:val="24"/>
        </w:rPr>
      </w:pPr>
    </w:p>
    <w:p w:rsidR="005348EA" w:rsidRDefault="00216A8B">
      <w:pPr>
        <w:jc w:val="center"/>
        <w:rPr>
          <w:color w:val="222222"/>
          <w:sz w:val="18"/>
          <w:szCs w:val="18"/>
          <w:highlight w:val="white"/>
        </w:rPr>
      </w:pPr>
      <w:r>
        <w:rPr>
          <w:color w:val="222222"/>
          <w:sz w:val="18"/>
          <w:szCs w:val="18"/>
          <w:highlight w:val="white"/>
        </w:rPr>
        <w:t>Copyright (C)  2008-22  Steven Adler, Shari Lynn Peterson.</w:t>
      </w:r>
    </w:p>
    <w:p w:rsidR="005348EA" w:rsidRDefault="00216A8B">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5348EA" w:rsidRDefault="00216A8B">
      <w:pPr>
        <w:jc w:val="center"/>
        <w:rPr>
          <w:color w:val="222222"/>
          <w:sz w:val="18"/>
          <w:szCs w:val="18"/>
          <w:highlight w:val="white"/>
        </w:rPr>
      </w:pPr>
      <w:r>
        <w:rPr>
          <w:color w:val="222222"/>
          <w:sz w:val="18"/>
          <w:szCs w:val="18"/>
          <w:highlight w:val="white"/>
        </w:rPr>
        <w:t xml:space="preserve">    under the terms of the GNU Free Documentation License, Version 1.3</w:t>
      </w:r>
    </w:p>
    <w:p w:rsidR="005348EA" w:rsidRDefault="00216A8B">
      <w:pPr>
        <w:jc w:val="center"/>
        <w:rPr>
          <w:color w:val="222222"/>
          <w:sz w:val="18"/>
          <w:szCs w:val="18"/>
          <w:highlight w:val="white"/>
        </w:rPr>
      </w:pPr>
      <w:r>
        <w:rPr>
          <w:color w:val="222222"/>
          <w:sz w:val="18"/>
          <w:szCs w:val="18"/>
          <w:highlight w:val="white"/>
        </w:rPr>
        <w:t xml:space="preserve">    or any later version published by the Free Software Foundation;</w:t>
      </w:r>
    </w:p>
    <w:p w:rsidR="005348EA" w:rsidRDefault="00216A8B">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5348EA" w:rsidRDefault="00216A8B">
      <w:pPr>
        <w:jc w:val="center"/>
        <w:rPr>
          <w:color w:val="222222"/>
          <w:sz w:val="18"/>
          <w:szCs w:val="18"/>
          <w:highlight w:val="white"/>
        </w:rPr>
      </w:pPr>
      <w:r>
        <w:rPr>
          <w:color w:val="222222"/>
          <w:sz w:val="18"/>
          <w:szCs w:val="18"/>
          <w:highlight w:val="white"/>
        </w:rPr>
        <w:t xml:space="preserve">    A copy of the license is included in the section entitled "GNU</w:t>
      </w:r>
    </w:p>
    <w:p w:rsidR="005348EA" w:rsidRDefault="00216A8B">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5348EA" w:rsidRDefault="00216A8B">
      <w:pPr>
        <w:jc w:val="center"/>
        <w:rPr>
          <w:sz w:val="20"/>
          <w:szCs w:val="20"/>
        </w:rPr>
      </w:pPr>
      <w:r>
        <w:rPr>
          <w:sz w:val="20"/>
          <w:szCs w:val="20"/>
        </w:rPr>
        <w:t xml:space="preserve"> (Note:  The use of gender in writing style is not intended to make any sort of gender based statement.  Please consider the use of the pronoun “he” to mean both “he” and/or “she”.)</w:t>
      </w:r>
    </w:p>
    <w:p w:rsidR="005348EA" w:rsidRDefault="005348EA">
      <w:pPr>
        <w:jc w:val="center"/>
        <w:rPr>
          <w:sz w:val="20"/>
          <w:szCs w:val="20"/>
        </w:rPr>
      </w:pPr>
    </w:p>
    <w:p w:rsidR="005348EA" w:rsidRDefault="00216A8B">
      <w:pPr>
        <w:jc w:val="center"/>
        <w:rPr>
          <w:b/>
        </w:rPr>
      </w:pPr>
      <w:r>
        <w:rPr>
          <w:b/>
        </w:rPr>
        <w:t>Abstract</w:t>
      </w:r>
    </w:p>
    <w:p w:rsidR="005348EA" w:rsidRDefault="00216A8B">
      <w:pPr>
        <w:jc w:val="center"/>
        <w:rPr>
          <w:i/>
        </w:rPr>
      </w:pPr>
      <w:r>
        <w:rPr>
          <w:i/>
        </w:rPr>
        <w: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w:t>
      </w:r>
    </w:p>
    <w:p w:rsidR="005348EA" w:rsidRDefault="005348EA">
      <w:pPr>
        <w:jc w:val="center"/>
        <w:rPr>
          <w:b/>
        </w:rPr>
      </w:pPr>
    </w:p>
    <w:p w:rsidR="005348EA" w:rsidRDefault="00216A8B">
      <w:pPr>
        <w:jc w:val="center"/>
        <w:rPr>
          <w:b/>
          <w:sz w:val="24"/>
          <w:szCs w:val="24"/>
        </w:rPr>
      </w:pPr>
      <w:r>
        <w:rPr>
          <w:sz w:val="24"/>
          <w:szCs w:val="24"/>
        </w:rPr>
        <w:t>“</w:t>
      </w:r>
      <w:r>
        <w:rPr>
          <w:b/>
          <w:sz w:val="24"/>
          <w:szCs w:val="24"/>
        </w:rPr>
        <w:t>We are the ones who aren’t waiting anymore.” – Zan Adu</w:t>
      </w:r>
    </w:p>
    <w:p w:rsidR="005348EA" w:rsidRDefault="00216A8B">
      <w:pPr>
        <w:rPr>
          <w:sz w:val="24"/>
          <w:szCs w:val="24"/>
        </w:rPr>
      </w:pPr>
      <w:r>
        <w:rPr>
          <w:sz w:val="24"/>
          <w:szCs w:val="24"/>
        </w:rPr>
        <w:t xml:space="preserve">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w:t>
      </w:r>
      <w:r>
        <w:rPr>
          <w:sz w:val="24"/>
          <w:szCs w:val="24"/>
        </w:rPr>
        <w:lastRenderedPageBreak/>
        <w:t>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5348EA" w:rsidRDefault="00216A8B">
      <w:pPr>
        <w:rPr>
          <w:sz w:val="24"/>
          <w:szCs w:val="24"/>
        </w:rPr>
      </w:pPr>
      <w:r>
        <w:rPr>
          <w:sz w:val="24"/>
          <w:szCs w:val="24"/>
        </w:rPr>
        <w:t>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5348EA" w:rsidRDefault="00216A8B">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5348EA" w:rsidRDefault="00216A8B">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5348EA" w:rsidRDefault="00216A8B">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5348EA" w:rsidRDefault="00216A8B">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5348EA" w:rsidRDefault="00216A8B">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a nut) as a primary value to themselves and thus making it their currency. Jumping forward to the final analysis, money does indeed grow on trees!  The best seed to begin this whole process with is of course the cacao bean, if only symbolically, in honor of the Aztecs.</w:t>
      </w:r>
    </w:p>
    <w:p w:rsidR="005348EA" w:rsidRDefault="00216A8B">
      <w:pPr>
        <w:rPr>
          <w:sz w:val="24"/>
          <w:szCs w:val="24"/>
        </w:rPr>
      </w:pPr>
      <w:r>
        <w:rPr>
          <w:sz w:val="24"/>
          <w:szCs w:val="24"/>
        </w:rPr>
        <w:t xml:space="preserve">Why do we choose the seed?  The genesis of everything natural begins with a seed, the sacred storehouse of DNA.  </w:t>
      </w:r>
      <w:r w:rsidR="003E1AB0">
        <w:rPr>
          <w:sz w:val="24"/>
          <w:szCs w:val="24"/>
        </w:rPr>
        <w:t xml:space="preserve">The genetic diversity found on Earth is humanity’s true treasure chest.  </w:t>
      </w:r>
      <w:r>
        <w:rPr>
          <w:sz w:val="24"/>
          <w:szCs w:val="24"/>
        </w:rPr>
        <w:t>Even synthetic creations begin with a crystallized thought process born of love and life experience within a context, resulting in a final idea or “seed” from which creation and production ensues.</w:t>
      </w:r>
    </w:p>
    <w:p w:rsidR="005348EA" w:rsidRDefault="00216A8B">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5348EA" w:rsidRDefault="00216A8B">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5348EA" w:rsidRDefault="00216A8B">
      <w:pPr>
        <w:rPr>
          <w:sz w:val="24"/>
          <w:szCs w:val="24"/>
        </w:rPr>
      </w:pPr>
      <w:r>
        <w:rPr>
          <w:sz w:val="24"/>
          <w:szCs w:val="24"/>
        </w:rPr>
        <w:t>What is critical to point out and understand at this point, is that any true human economy has a few characteristics:</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2">
        <w:r>
          <w:rPr>
            <w:color w:val="0000FF"/>
            <w:sz w:val="24"/>
            <w:szCs w:val="24"/>
            <w:u w:val="single"/>
          </w:rPr>
          <w:t>https://www.dailymail.co.uk/sciencetech/article-2267504/The-sealed-bottle-garden-thriving-40-years-fresh-air-water.html</w:t>
        </w:r>
      </w:hyperlink>
      <w:r>
        <w:rPr>
          <w:color w:val="000000"/>
          <w:sz w:val="24"/>
          <w:szCs w:val="24"/>
        </w:rPr>
        <w:t>).</w:t>
      </w:r>
    </w:p>
    <w:p w:rsidR="005348EA" w:rsidRDefault="00216A8B">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5348EA" w:rsidRDefault="00216A8B">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5348EA" w:rsidRDefault="00216A8B">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3">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5348EA" w:rsidRDefault="00216A8B">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5348EA" w:rsidRDefault="00216A8B">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only thing that is catastrophic to this proposed new model is greedy, power hungry, egocentric control freaks buying up huge amounts of farmland for their own profit and control agendas.</w:t>
      </w:r>
    </w:p>
    <w:p w:rsidR="005348EA" w:rsidRDefault="00216A8B">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5348EA" w:rsidRDefault="00216A8B">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5348EA" w:rsidRDefault="00216A8B">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5348EA" w:rsidRDefault="00216A8B">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5348EA" w:rsidRDefault="00216A8B">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5348EA" w:rsidRDefault="00216A8B">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5348EA" w:rsidRDefault="00216A8B">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5348EA" w:rsidRDefault="00216A8B">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5348EA" w:rsidRDefault="00216A8B">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5348EA" w:rsidRDefault="00216A8B">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5348EA" w:rsidRDefault="00216A8B">
      <w:pPr>
        <w:rPr>
          <w:sz w:val="24"/>
          <w:szCs w:val="24"/>
        </w:rPr>
      </w:pPr>
      <w:r>
        <w:rPr>
          <w:sz w:val="24"/>
          <w:szCs w:val="24"/>
        </w:rPr>
        <w:t>Using modern blockchain and smart contract technology, the collection of trade tax mostly can be trustless and automated.</w:t>
      </w:r>
    </w:p>
    <w:p w:rsidR="005348EA" w:rsidRDefault="00216A8B">
      <w:pPr>
        <w:rPr>
          <w:sz w:val="24"/>
          <w:szCs w:val="24"/>
        </w:rPr>
      </w:pPr>
      <w:bookmarkStart w:id="1" w:name="_heading=h.gjdgxs" w:colFirst="0" w:colLast="0"/>
      <w:bookmarkEnd w:id="1"/>
      <w:r>
        <w:rPr>
          <w:sz w:val="24"/>
          <w:szCs w:val="24"/>
        </w:rPr>
        <w:t xml:space="preserve">The Seed Economy will be a self-governing distributed autonomous organization (DAO; </w:t>
      </w:r>
      <w:hyperlink r:id="rId14">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5348EA" w:rsidRDefault="00216A8B">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5348EA" w:rsidRDefault="00216A8B">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5348EA" w:rsidRDefault="00216A8B">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836031" cy="4595813"/>
                    </a:xfrm>
                    <a:prstGeom prst="rect">
                      <a:avLst/>
                    </a:prstGeom>
                    <a:ln/>
                  </pic:spPr>
                </pic:pic>
              </a:graphicData>
            </a:graphic>
          </wp:inline>
        </w:drawing>
      </w:r>
    </w:p>
    <w:p w:rsidR="005348EA" w:rsidRDefault="005348EA">
      <w:pPr>
        <w:spacing w:after="0"/>
        <w:rPr>
          <w:i/>
          <w:sz w:val="24"/>
          <w:szCs w:val="24"/>
        </w:rPr>
      </w:pPr>
    </w:p>
    <w:p w:rsidR="005348EA" w:rsidRDefault="00216A8B">
      <w:pPr>
        <w:ind w:left="-720"/>
        <w:jc w:val="center"/>
        <w:rPr>
          <w:sz w:val="24"/>
          <w:szCs w:val="24"/>
        </w:rPr>
      </w:pPr>
      <w:r>
        <w:rPr>
          <w:noProof/>
          <w:sz w:val="24"/>
          <w:szCs w:val="24"/>
        </w:rPr>
        <w:drawing>
          <wp:inline distT="114300" distB="114300" distL="114300" distR="114300">
            <wp:extent cx="6837666" cy="54530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6837666" cy="5453063"/>
                    </a:xfrm>
                    <a:prstGeom prst="rect">
                      <a:avLst/>
                    </a:prstGeom>
                    <a:ln/>
                  </pic:spPr>
                </pic:pic>
              </a:graphicData>
            </a:graphic>
          </wp:inline>
        </w:drawing>
      </w:r>
    </w:p>
    <w:p w:rsidR="005348EA" w:rsidRDefault="005348EA">
      <w:pPr>
        <w:jc w:val="center"/>
        <w:rPr>
          <w:sz w:val="24"/>
          <w:szCs w:val="24"/>
        </w:rPr>
      </w:pPr>
    </w:p>
    <w:p w:rsidR="005348EA" w:rsidRDefault="00216A8B">
      <w:pPr>
        <w:ind w:left="-720"/>
        <w:jc w:val="center"/>
        <w:rPr>
          <w:sz w:val="24"/>
          <w:szCs w:val="24"/>
        </w:rPr>
      </w:pPr>
      <w:r>
        <w:rPr>
          <w:noProof/>
          <w:sz w:val="24"/>
          <w:szCs w:val="24"/>
        </w:rPr>
        <w:drawing>
          <wp:inline distT="114300" distB="114300" distL="114300" distR="114300">
            <wp:extent cx="6834188" cy="752054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6834188" cy="7520548"/>
                    </a:xfrm>
                    <a:prstGeom prst="rect">
                      <a:avLst/>
                    </a:prstGeom>
                    <a:ln/>
                  </pic:spPr>
                </pic:pic>
              </a:graphicData>
            </a:graphic>
          </wp:inline>
        </w:drawing>
      </w:r>
    </w:p>
    <w:p w:rsidR="005348EA" w:rsidRDefault="00216A8B">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5348EA" w:rsidRDefault="00216A8B">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5348EA" w:rsidRDefault="00216A8B">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5348EA" w:rsidRDefault="00216A8B">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5348EA" w:rsidRDefault="00216A8B">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5348EA" w:rsidRDefault="00216A8B">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5348EA" w:rsidRDefault="00216A8B">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5348EA" w:rsidRDefault="00216A8B">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5348EA" w:rsidRDefault="005348EA">
      <w:pPr>
        <w:spacing w:line="342" w:lineRule="auto"/>
        <w:jc w:val="center"/>
        <w:rPr>
          <w:b/>
          <w:sz w:val="24"/>
          <w:szCs w:val="24"/>
        </w:rPr>
      </w:pPr>
    </w:p>
    <w:p w:rsidR="005348EA" w:rsidRDefault="00216A8B">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5348EA" w:rsidRDefault="00216A8B">
      <w:pPr>
        <w:spacing w:before="360"/>
        <w:jc w:val="center"/>
        <w:rPr>
          <w:sz w:val="24"/>
          <w:szCs w:val="24"/>
        </w:rPr>
      </w:pPr>
      <w:r>
        <w:rPr>
          <w:b/>
          <w:sz w:val="24"/>
          <w:szCs w:val="24"/>
        </w:rPr>
        <w:t>— Buckminster Fuller</w:t>
      </w:r>
    </w:p>
    <w:p w:rsidR="005348EA" w:rsidRDefault="005348EA">
      <w:pPr>
        <w:spacing w:line="342" w:lineRule="auto"/>
        <w:jc w:val="center"/>
        <w:rPr>
          <w:b/>
          <w:sz w:val="24"/>
          <w:szCs w:val="24"/>
        </w:rPr>
      </w:pPr>
    </w:p>
    <w:p w:rsidR="005348EA" w:rsidRDefault="00216A8B">
      <w:pPr>
        <w:spacing w:line="342" w:lineRule="auto"/>
        <w:jc w:val="center"/>
        <w:rPr>
          <w:b/>
          <w:sz w:val="24"/>
          <w:szCs w:val="24"/>
        </w:rPr>
      </w:pPr>
      <w:r>
        <w:rPr>
          <w:b/>
          <w:sz w:val="24"/>
          <w:szCs w:val="24"/>
        </w:rPr>
        <w:t>“Anything in life worth having is worth working for.”</w:t>
      </w:r>
    </w:p>
    <w:p w:rsidR="005348EA" w:rsidRDefault="00216A8B">
      <w:pPr>
        <w:spacing w:before="360"/>
        <w:jc w:val="center"/>
        <w:rPr>
          <w:sz w:val="24"/>
          <w:szCs w:val="24"/>
        </w:rPr>
      </w:pPr>
      <w:r>
        <w:rPr>
          <w:b/>
          <w:sz w:val="24"/>
          <w:szCs w:val="24"/>
        </w:rPr>
        <w:t xml:space="preserve">— </w:t>
      </w:r>
      <w:hyperlink r:id="rId18">
        <w:r>
          <w:rPr>
            <w:b/>
            <w:sz w:val="24"/>
            <w:szCs w:val="24"/>
          </w:rPr>
          <w:t>Andrew Carnegie</w:t>
        </w:r>
      </w:hyperlink>
    </w:p>
    <w:p w:rsidR="005348EA" w:rsidRDefault="005348EA">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5348EA" w:rsidRDefault="00216A8B">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5348EA" w:rsidRDefault="00216A8B">
      <w:pPr>
        <w:shd w:val="clear" w:color="auto" w:fill="FFFFFF"/>
        <w:spacing w:before="240" w:after="240" w:line="360" w:lineRule="auto"/>
        <w:rPr>
          <w:color w:val="222222"/>
          <w:sz w:val="18"/>
          <w:szCs w:val="18"/>
        </w:rPr>
      </w:pPr>
      <w:r>
        <w:rPr>
          <w:color w:val="222222"/>
          <w:sz w:val="18"/>
          <w:szCs w:val="18"/>
        </w:rPr>
        <w:t>Version 1.3, 3 November 2008</w:t>
      </w:r>
    </w:p>
    <w:p w:rsidR="005348EA" w:rsidRDefault="00216A8B">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19">
        <w:r>
          <w:rPr>
            <w:rFonts w:ascii="Arial" w:eastAsia="Arial" w:hAnsi="Arial" w:cs="Arial"/>
            <w:color w:val="004499"/>
            <w:sz w:val="18"/>
            <w:szCs w:val="18"/>
            <w:u w:val="single"/>
          </w:rPr>
          <w:t>https://fsf.org/</w:t>
        </w:r>
      </w:hyperlink>
      <w:r>
        <w:rPr>
          <w:color w:val="222222"/>
          <w:sz w:val="18"/>
          <w:szCs w:val="18"/>
        </w:rPr>
        <w:t>&gt;</w:t>
      </w:r>
    </w:p>
    <w:p w:rsidR="005348EA" w:rsidRDefault="00216A8B">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5348EA" w:rsidRDefault="00216A8B">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5348EA" w:rsidRDefault="00216A8B">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5348EA" w:rsidRDefault="00216A8B">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5348EA" w:rsidRDefault="00216A8B">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5348EA" w:rsidRDefault="00216A8B">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5348EA" w:rsidRDefault="00216A8B">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5348EA" w:rsidRDefault="00216A8B">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5348EA" w:rsidRDefault="00216A8B">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5348EA" w:rsidRDefault="00216A8B">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5348EA" w:rsidRDefault="00216A8B">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5348EA" w:rsidRDefault="00216A8B">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5348EA" w:rsidRDefault="00216A8B">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5348EA" w:rsidRDefault="00216A8B">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5348EA" w:rsidRDefault="00216A8B">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5348EA" w:rsidRDefault="00216A8B">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5348EA" w:rsidRDefault="00216A8B">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5348EA" w:rsidRDefault="00216A8B">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5348EA" w:rsidRDefault="00216A8B">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5348EA" w:rsidRDefault="00216A8B">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5348EA" w:rsidRDefault="00216A8B">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5348EA" w:rsidRDefault="00216A8B">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5348EA" w:rsidRDefault="00216A8B">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5348EA" w:rsidRDefault="00216A8B">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5348EA" w:rsidRDefault="00216A8B">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5348EA" w:rsidRDefault="00216A8B">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5348EA" w:rsidRDefault="00216A8B">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5348EA" w:rsidRDefault="00216A8B">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5348EA" w:rsidRDefault="00216A8B">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5348EA" w:rsidRDefault="00216A8B">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5348EA" w:rsidRDefault="00216A8B">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5348EA" w:rsidRDefault="00216A8B">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5348EA" w:rsidRDefault="00216A8B">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5348EA" w:rsidRDefault="00216A8B">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5348EA" w:rsidRDefault="00216A8B">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5348EA" w:rsidRDefault="00216A8B">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5348EA" w:rsidRDefault="00216A8B">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5348EA" w:rsidRDefault="00216A8B">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5348EA" w:rsidRDefault="00216A8B">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5348EA" w:rsidRDefault="00216A8B">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5348EA" w:rsidRDefault="00216A8B">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5348EA" w:rsidRDefault="00216A8B">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5348EA" w:rsidRDefault="00216A8B">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5348EA" w:rsidRDefault="00216A8B">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5348EA" w:rsidRDefault="00216A8B">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5348EA" w:rsidRDefault="00216A8B">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5348EA" w:rsidRDefault="00216A8B">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5348EA" w:rsidRDefault="00216A8B">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5348EA" w:rsidRDefault="00216A8B">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5348EA" w:rsidRDefault="00216A8B">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5348EA" w:rsidRDefault="00216A8B">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5348EA" w:rsidRDefault="00216A8B">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5348EA" w:rsidRDefault="00216A8B">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5348EA" w:rsidRDefault="00216A8B">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0">
        <w:r>
          <w:rPr>
            <w:rFonts w:ascii="Arial" w:eastAsia="Arial" w:hAnsi="Arial" w:cs="Arial"/>
            <w:color w:val="004499"/>
            <w:sz w:val="18"/>
            <w:szCs w:val="18"/>
            <w:u w:val="single"/>
          </w:rPr>
          <w:t>https://www.gnu.org/licenses/</w:t>
        </w:r>
      </w:hyperlink>
      <w:r>
        <w:rPr>
          <w:color w:val="222222"/>
          <w:sz w:val="18"/>
          <w:szCs w:val="18"/>
        </w:rPr>
        <w:t>.</w:t>
      </w:r>
    </w:p>
    <w:p w:rsidR="005348EA" w:rsidRDefault="00216A8B">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5348EA" w:rsidRDefault="00216A8B">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5348EA" w:rsidRDefault="00216A8B">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5348EA" w:rsidRDefault="00216A8B">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5348EA" w:rsidRDefault="00216A8B">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5348EA" w:rsidRDefault="00216A8B">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5348EA" w:rsidRDefault="00216A8B">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5348EA">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292" w:rsidRDefault="003E6292">
      <w:pPr>
        <w:spacing w:after="0" w:line="240" w:lineRule="auto"/>
      </w:pPr>
      <w:r>
        <w:separator/>
      </w:r>
    </w:p>
  </w:endnote>
  <w:endnote w:type="continuationSeparator" w:id="0">
    <w:p w:rsidR="003E6292" w:rsidRDefault="003E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8EA" w:rsidRDefault="00216A8B">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3E6292">
      <w:rPr>
        <w:noProof/>
        <w:color w:val="000000"/>
      </w:rPr>
      <w:t>1</w:t>
    </w:r>
    <w:r>
      <w:rPr>
        <w:color w:val="000000"/>
      </w:rPr>
      <w:fldChar w:fldCharType="end"/>
    </w:r>
  </w:p>
  <w:p w:rsidR="005348EA" w:rsidRDefault="005348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292" w:rsidRDefault="003E6292">
      <w:pPr>
        <w:spacing w:after="0" w:line="240" w:lineRule="auto"/>
      </w:pPr>
      <w:r>
        <w:separator/>
      </w:r>
    </w:p>
  </w:footnote>
  <w:footnote w:type="continuationSeparator" w:id="0">
    <w:p w:rsidR="003E6292" w:rsidRDefault="003E6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211F"/>
    <w:multiLevelType w:val="multilevel"/>
    <w:tmpl w:val="92DEC7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5C61EC"/>
    <w:multiLevelType w:val="multilevel"/>
    <w:tmpl w:val="DF708528"/>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9FD5557"/>
    <w:multiLevelType w:val="multilevel"/>
    <w:tmpl w:val="3FC48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348EA"/>
    <w:rsid w:val="00216A8B"/>
    <w:rsid w:val="00350EB7"/>
    <w:rsid w:val="00360E24"/>
    <w:rsid w:val="003E1AB0"/>
    <w:rsid w:val="003E6292"/>
    <w:rsid w:val="00466316"/>
    <w:rsid w:val="005348EA"/>
    <w:rsid w:val="009B4760"/>
    <w:rsid w:val="00A605A4"/>
    <w:rsid w:val="00ED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01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ture.com/articles/s41598-021-85541-7" TargetMode="External"/><Relationship Id="rId18" Type="http://schemas.openxmlformats.org/officeDocument/2006/relationships/hyperlink" Target="https://quotefancy.com/andrew-carnegie-quot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dailymail.co.uk/sciencetech/article-2267504/The-sealed-bottle-garden-thriving-40-years-fresh-air-water.html"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www.gnu.org/licen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SeedEconomy"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theseedeconomy.github.io" TargetMode="External"/><Relationship Id="rId19" Type="http://schemas.openxmlformats.org/officeDocument/2006/relationships/hyperlink" Target="https://fsf.org/" TargetMode="External"/><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hyperlink" Target="https://cointelegraph.com/ethereum-for-beginners/what-is-a-decentralized-autonomous-organization-and-how-does-a-dao-work"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VP2CFA6LrhxcR0jPkxm1JXSONgjf4CzgzAV908HSWaKZtq9mWhBvAZVqa4N6JYgBR3ilSRSBJmpSIslbzkgrGJ/6L9i5GgPLf4PdFT0+qavjzKup4j0ammWtHOuriaQEOFCSo2C/Rjpxg87r2nmkVL4bLhaJUsA1tTBkqqg6MgLDqYyOwlcAjInfjJPNTmGRU3F9lyvZ0w0HHNt11Ms3s99jROz6vUF2BjNlqPHtUaqMLLTpq6gNkqAYcBk0+ocH4yZZYAnpXF8Av7PbDf5q5tOmWa+kwbnulDhYqcQAY16bD200mxhivn1Bu8wKKenjAR0jAcappRmjR7265llv/uZWj8t3hPQK+X9tz86Nz3IMTmmXvPnv9viIHEwL4pEmsuTNjb3LS1s8MjTo9d5EQ7Z5rEs7H5AFM2tJQ7GUShw+XWp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7624</Words>
  <Characters>43459</Characters>
  <Application>Microsoft Office Word</Application>
  <DocSecurity>0</DocSecurity>
  <Lines>362</Lines>
  <Paragraphs>101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 new economy is proposed using organic and or wildcrafted seeds as the reserve currency, common law, and blockchain technology, making farmers and foragers esteemed members of a new society. Taxation is simplified using only a trade tax. Natural law eventually becomes a reality through what is defined as the Utopian Trifecta.</dc:subject>
  <dc:creator>Steven Adler;Shari Lynn Peterson</dc:creator>
  <cp:keywords>The Seed Economy</cp:keywords>
  <cp:lastModifiedBy>Sacred Steve</cp:lastModifiedBy>
  <cp:revision>7</cp:revision>
  <cp:lastPrinted>2022-04-13T00:35:00Z</cp:lastPrinted>
  <dcterms:created xsi:type="dcterms:W3CDTF">2022-03-22T19:23:00Z</dcterms:created>
  <dcterms:modified xsi:type="dcterms:W3CDTF">2022-04-13T00:35:00Z</dcterms:modified>
</cp:coreProperties>
</file>