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3A5C"/>
          <w:sz w:val="52"/>
          <w:szCs w:val="52"/>
        </w:rPr>
        <w:t xml:space="preserve">Week 11 Assignment</w:t>
      </w:r>
    </w:p>
    <w:p>
      <w:pPr>
        <w:spacing w:after="120"/>
        <w:jc w:val="center"/>
      </w:pPr>
      <w:r>
        <w:rPr>
          <w:rFonts w:ascii="Arial" w:cs="Arial" w:eastAsia="Arial" w:hAnsi="Arial"/>
          <w:color w:val="2E5984"/>
          <w:sz w:val="36"/>
          <w:szCs w:val="36"/>
        </w:rPr>
        <w:t xml:space="preserve">Software Maintenance and Evolution</w:t>
      </w:r>
    </w:p>
    <w:p>
      <w:pPr>
        <w:pBdr>
          <w:bottom w:val="single" w:color="1B3A5C" w:sz="6" w:space="8"/>
        </w:pBdr>
        <w:spacing w:after="400"/>
        <w:jc w:val="center"/>
      </w:pPr>
    </w:p>
    <w:p>
      <w:pPr>
        <w:spacing w:after="100"/>
        <w:jc w:val="center"/>
      </w:pPr>
      <w:r>
        <w:rPr>
          <w:rFonts w:ascii="Arial" w:cs="Arial" w:eastAsia="Arial" w:hAnsi="Arial"/>
          <w:color w:val="555555"/>
          <w:sz w:val="24"/>
          <w:szCs w:val="24"/>
        </w:rPr>
        <w:t xml:space="preserve">Software Engineering Methods – CSC 2213</w:t>
      </w:r>
    </w:p>
    <w:p>
      <w:pPr>
        <w:spacing w:after="100"/>
        <w:jc w:val="center"/>
      </w:pPr>
      <w:r>
        <w:rPr>
          <w:rFonts w:ascii="Arial" w:cs="Arial" w:eastAsia="Arial" w:hAnsi="Arial"/>
          <w:color w:val="555555"/>
          <w:sz w:val="24"/>
          <w:szCs w:val="24"/>
        </w:rPr>
        <w:t xml:space="preserve">Prof. Wofford</w:t>
      </w:r>
    </w:p>
    <w:p>
      <w:pPr>
        <w:spacing w:after="300"/>
        <w:jc w:val="center"/>
      </w:pPr>
      <w:r>
        <w:rPr>
          <w:rFonts w:ascii="Arial" w:cs="Arial" w:eastAsia="Arial" w:hAnsi="Arial"/>
          <w:b/>
          <w:bCs/>
          <w:color w:val="1B3A5C"/>
          <w:sz w:val="28"/>
          <w:szCs w:val="28"/>
        </w:rPr>
        <w:t xml:space="preserve">Shashank</w:t>
      </w:r>
    </w:p>
    <w:p>
      <w:pPr>
        <w:spacing w:after="100"/>
        <w:jc w:val="center"/>
      </w:pPr>
      <w:r>
        <w:rPr>
          <w:rFonts w:ascii="Arial" w:cs="Arial" w:eastAsia="Arial" w:hAnsi="Arial"/>
          <w:color w:val="555555"/>
          <w:sz w:val="22"/>
          <w:szCs w:val="22"/>
        </w:rPr>
        <w:t xml:space="preserve">CT State Housatonic Community College</w:t>
      </w:r>
    </w:p>
    <w:p>
      <w:pPr>
        <w:spacing w:after="100"/>
        <w:jc w:val="center"/>
      </w:pPr>
      <w:r>
        <w:rPr>
          <w:rFonts w:ascii="Arial" w:cs="Arial" w:eastAsia="Arial" w:hAnsi="Arial"/>
          <w:color w:val="555555"/>
          <w:sz w:val="22"/>
          <w:szCs w:val="22"/>
        </w:rPr>
        <w:t xml:space="preserve">April 2026</w:t>
      </w:r>
    </w:p>
    <w:p>
      <w:pPr>
        <w:spacing w:after="100"/>
        <w:jc w:val="center"/>
      </w:pPr>
      <w:r>
        <w:rPr>
          <w:rFonts w:ascii="Arial" w:cs="Arial" w:eastAsia="Arial" w:hAnsi="Arial"/>
          <w:color w:val="2E5984"/>
          <w:sz w:val="20"/>
          <w:szCs w:val="20"/>
        </w:rPr>
        <w:t xml:space="preserve">GitHub: github.com/TheShashank100/felix</w:t>
      </w:r>
    </w:p>
    <w:p>
      <w:r>
        <w:br w:type="page"/>
      </w:r>
    </w:p>
    <w:p>
      <w:pPr>
        <w:pStyle w:val="Heading1"/>
        <w:spacing w:after="120" w:before="300"/>
      </w:pPr>
      <w:r>
        <w:rPr>
          <w:rFonts w:ascii="Arial" w:cs="Arial" w:eastAsia="Arial" w:hAnsi="Arial"/>
          <w:b/>
          <w:bCs/>
          <w:color w:val="1B3A5C"/>
          <w:sz w:val="32"/>
          <w:szCs w:val="32"/>
        </w:rPr>
        <w:t xml:space="preserve">1. Refactoring Opportunities</w:t>
      </w:r>
    </w:p>
    <w:p>
      <w:pPr>
        <w:spacing w:after="120"/>
      </w:pPr>
      <w:r>
        <w:rPr>
          <w:rFonts w:ascii="Arial" w:cs="Arial" w:eastAsia="Arial" w:hAnsi="Arial"/>
          <w:sz w:val="22"/>
          <w:szCs w:val="22"/>
        </w:rPr>
        <w:t xml:space="preserve">The following three areas of the FELIX system have been identified as candidates for structural improvement. Each refactoring preserves existing behavior while reducing complexity and improving long-term maintainability.</w:t>
      </w:r>
    </w:p>
    <w:p>
      <w:pPr>
        <w:spacing w:after="80"/>
      </w:pPr>
    </w:p>
    <w:p>
      <w:pPr>
        <w:pStyle w:val="Heading2"/>
        <w:spacing w:after="80" w:before="200"/>
      </w:pPr>
      <w:r>
        <w:rPr>
          <w:rFonts w:ascii="Arial" w:cs="Arial" w:eastAsia="Arial" w:hAnsi="Arial"/>
          <w:b/>
          <w:bCs/>
          <w:color w:val="2E5984"/>
          <w:sz w:val="26"/>
          <w:szCs w:val="26"/>
        </w:rPr>
        <w:t xml:space="preserve">1.1 – SRS: Overlapping Requirement Definitions for Notification Handling</w:t>
      </w:r>
    </w:p>
    <w:p>
      <w:pPr>
        <w:spacing w:after="80"/>
      </w:pPr>
      <w:r>
        <w:rPr>
          <w:rFonts w:ascii="Arial" w:cs="Arial" w:eastAsia="Arial" w:hAnsi="Arial"/>
          <w:b/>
          <w:bCs/>
          <w:sz w:val="22"/>
          <w:szCs w:val="22"/>
        </w:rPr>
        <w:t xml:space="preserve">Area/Component: </w:t>
      </w:r>
      <w:r>
        <w:rPr>
          <w:rFonts w:ascii="Arial" w:cs="Arial" w:eastAsia="Arial" w:hAnsi="Arial"/>
          <w:sz w:val="22"/>
          <w:szCs w:val="22"/>
        </w:rPr>
        <w:t xml:space="preserve">Software Requirements Specification (SRS) – Notification subsystem</w:t>
      </w:r>
    </w:p>
    <w:p>
      <w:pPr>
        <w:spacing w:after="80"/>
      </w:pPr>
      <w:r>
        <w:rPr>
          <w:rFonts w:ascii="Arial" w:cs="Arial" w:eastAsia="Arial" w:hAnsi="Arial"/>
          <w:b/>
          <w:bCs/>
          <w:sz w:val="22"/>
          <w:szCs w:val="22"/>
        </w:rPr>
        <w:t xml:space="preserve">Current Issue: </w:t>
      </w:r>
      <w:r>
        <w:rPr>
          <w:rFonts w:ascii="Arial" w:cs="Arial" w:eastAsia="Arial" w:hAnsi="Arial"/>
          <w:sz w:val="22"/>
          <w:szCs w:val="22"/>
        </w:rPr>
        <w:t xml:space="preserve">Two separate requirements – R-07 (Proactive Alerts) and R-12 (Event-Driven Notifications) – describe overlapping behavior. Both specify that FELIX should surface time-sensitive information to the user without being explicitly asked. The boundary between “proactive” and “event-driven” is undefined, which has led to ambiguity during test case design and will produce duplication in implementation.</w:t>
      </w:r>
    </w:p>
    <w:p>
      <w:pPr>
        <w:spacing w:after="80"/>
      </w:pPr>
      <w:r>
        <w:rPr>
          <w:rFonts w:ascii="Arial" w:cs="Arial" w:eastAsia="Arial" w:hAnsi="Arial"/>
          <w:b/>
          <w:bCs/>
          <w:sz w:val="22"/>
          <w:szCs w:val="22"/>
        </w:rPr>
        <w:t xml:space="preserve">Proposed Improvement: </w:t>
      </w:r>
      <w:r>
        <w:rPr>
          <w:rFonts w:ascii="Arial" w:cs="Arial" w:eastAsia="Arial" w:hAnsi="Arial"/>
          <w:sz w:val="22"/>
          <w:szCs w:val="22"/>
        </w:rPr>
        <w:t xml:space="preserve">Merge the two requirements into a single unified requirement, R-07 (Intelligent Notification Dispatch), with sub-clauses distinguishing scheduled alerts (calendar-based) from reactive alerts (triggered by external state changes such as a crashed service or an urgent email). Use consistent terminology throughout the SRS so downstream components have a single source of truth.</w:t>
      </w:r>
    </w:p>
    <w:p>
      <w:pPr>
        <w:spacing w:after="80"/>
      </w:pPr>
      <w:r>
        <w:rPr>
          <w:rFonts w:ascii="Arial" w:cs="Arial" w:eastAsia="Arial" w:hAnsi="Arial"/>
          <w:b/>
          <w:bCs/>
          <w:sz w:val="22"/>
          <w:szCs w:val="22"/>
        </w:rPr>
        <w:t xml:space="preserve">Why This Improves Quality: </w:t>
      </w:r>
      <w:r>
        <w:rPr>
          <w:rFonts w:ascii="Arial" w:cs="Arial" w:eastAsia="Arial" w:hAnsi="Arial"/>
          <w:sz w:val="22"/>
          <w:szCs w:val="22"/>
        </w:rPr>
        <w:t xml:space="preserve">Eliminating requirement overlap removes ambiguity, prevents developers from implementing the same logic twice in different modules, and ensures test traceability is clean. Every test case maps to exactly one requirement.</w:t>
      </w:r>
    </w:p>
    <w:p>
      <w:pPr>
        <w:spacing w:after="80"/>
      </w:pPr>
    </w:p>
    <w:p>
      <w:pPr>
        <w:pStyle w:val="Heading2"/>
        <w:spacing w:after="80" w:before="200"/>
      </w:pPr>
      <w:r>
        <w:rPr>
          <w:rFonts w:ascii="Arial" w:cs="Arial" w:eastAsia="Arial" w:hAnsi="Arial"/>
          <w:b/>
          <w:bCs/>
          <w:color w:val="2E5984"/>
          <w:sz w:val="26"/>
          <w:szCs w:val="26"/>
        </w:rPr>
        <w:t xml:space="preserve">1.2 – Architecture Diagram: Monolithic API Gateway Layer</w:t>
      </w:r>
    </w:p>
    <w:p>
      <w:pPr>
        <w:spacing w:after="80"/>
      </w:pPr>
      <w:r>
        <w:rPr>
          <w:rFonts w:ascii="Arial" w:cs="Arial" w:eastAsia="Arial" w:hAnsi="Arial"/>
          <w:b/>
          <w:bCs/>
          <w:sz w:val="22"/>
          <w:szCs w:val="22"/>
        </w:rPr>
        <w:t xml:space="preserve">Area/Component: </w:t>
      </w:r>
      <w:r>
        <w:rPr>
          <w:rFonts w:ascii="Arial" w:cs="Arial" w:eastAsia="Arial" w:hAnsi="Arial"/>
          <w:sz w:val="22"/>
          <w:szCs w:val="22"/>
        </w:rPr>
        <w:t xml:space="preserve">System architecture diagram – API Gateway / Integration layer</w:t>
      </w:r>
    </w:p>
    <w:p>
      <w:pPr>
        <w:spacing w:after="80"/>
      </w:pPr>
      <w:r>
        <w:rPr>
          <w:rFonts w:ascii="Arial" w:cs="Arial" w:eastAsia="Arial" w:hAnsi="Arial"/>
          <w:b/>
          <w:bCs/>
          <w:sz w:val="22"/>
          <w:szCs w:val="22"/>
        </w:rPr>
        <w:t xml:space="preserve">Current Issue: </w:t>
      </w:r>
      <w:r>
        <w:rPr>
          <w:rFonts w:ascii="Arial" w:cs="Arial" w:eastAsia="Arial" w:hAnsi="Arial"/>
          <w:sz w:val="22"/>
          <w:szCs w:val="22"/>
        </w:rPr>
        <w:t xml:space="preserve">The current architecture diagram routes all external API calls (Google Calendar, GitHub, Spotify, TradingView, Supabase) through a single gateway component with no separation of concern. This creates a tightly coupled design where a change to the GitHub integration, for example, risks affecting the Spotify integration. The diagram also does not reflect any error isolation or retry boundaries between integrations.</w:t>
      </w:r>
    </w:p>
    <w:p>
      <w:pPr>
        <w:spacing w:after="80"/>
      </w:pPr>
      <w:r>
        <w:rPr>
          <w:rFonts w:ascii="Arial" w:cs="Arial" w:eastAsia="Arial" w:hAnsi="Arial"/>
          <w:b/>
          <w:bCs/>
          <w:sz w:val="22"/>
          <w:szCs w:val="22"/>
        </w:rPr>
        <w:t xml:space="preserve">Proposed Improvement: </w:t>
      </w:r>
      <w:r>
        <w:rPr>
          <w:rFonts w:ascii="Arial" w:cs="Arial" w:eastAsia="Arial" w:hAnsi="Arial"/>
          <w:sz w:val="22"/>
          <w:szCs w:val="22"/>
        </w:rPr>
        <w:t xml:space="preserve">Refactor the architecture diagram to decompose the monolithic gateway into domain-specific integration adapters (Productivity Adapter, Music Adapter, Financial Adapter, Storage Adapter). Each adapter is independently deployable and communicates with FELIX’s core orchestration layer through a standardized internal event bus interface. Add visual notation for retry logic and circuit-breaker boundaries.</w:t>
      </w:r>
    </w:p>
    <w:p>
      <w:pPr>
        <w:spacing w:after="80"/>
      </w:pPr>
      <w:r>
        <w:rPr>
          <w:rFonts w:ascii="Arial" w:cs="Arial" w:eastAsia="Arial" w:hAnsi="Arial"/>
          <w:b/>
          <w:bCs/>
          <w:sz w:val="22"/>
          <w:szCs w:val="22"/>
        </w:rPr>
        <w:t xml:space="preserve">Why This Improves Quality: </w:t>
      </w:r>
      <w:r>
        <w:rPr>
          <w:rFonts w:ascii="Arial" w:cs="Arial" w:eastAsia="Arial" w:hAnsi="Arial"/>
          <w:sz w:val="22"/>
          <w:szCs w:val="22"/>
        </w:rPr>
        <w:t xml:space="preserve">Domain-separated adapters reduce coupling, improve fault isolation, and make the system easier to extend. Adding a new data source only requires building a new adapter, not modifying existing integration code.</w:t>
      </w:r>
    </w:p>
    <w:p>
      <w:pPr>
        <w:spacing w:after="80"/>
      </w:pPr>
    </w:p>
    <w:p>
      <w:pPr>
        <w:pStyle w:val="Heading2"/>
        <w:spacing w:after="80" w:before="200"/>
      </w:pPr>
      <w:r>
        <w:rPr>
          <w:rFonts w:ascii="Arial" w:cs="Arial" w:eastAsia="Arial" w:hAnsi="Arial"/>
          <w:b/>
          <w:bCs/>
          <w:color w:val="2E5984"/>
          <w:sz w:val="26"/>
          <w:szCs w:val="26"/>
        </w:rPr>
        <w:t xml:space="preserve">1.3 – Test Cases: Missing Coverage for Voice Command Error Paths</w:t>
      </w:r>
    </w:p>
    <w:p>
      <w:pPr>
        <w:spacing w:after="80"/>
      </w:pPr>
      <w:r>
        <w:rPr>
          <w:rFonts w:ascii="Arial" w:cs="Arial" w:eastAsia="Arial" w:hAnsi="Arial"/>
          <w:b/>
          <w:bCs/>
          <w:sz w:val="22"/>
          <w:szCs w:val="22"/>
        </w:rPr>
        <w:t xml:space="preserve">Area/Component: </w:t>
      </w:r>
      <w:r>
        <w:rPr>
          <w:rFonts w:ascii="Arial" w:cs="Arial" w:eastAsia="Arial" w:hAnsi="Arial"/>
          <w:sz w:val="22"/>
          <w:szCs w:val="22"/>
        </w:rPr>
        <w:t xml:space="preserve">Test case suite – Voice command module (TC-06 through TC-08 coverage gap)</w:t>
      </w:r>
    </w:p>
    <w:p>
      <w:pPr>
        <w:spacing w:after="80"/>
      </w:pPr>
      <w:r>
        <w:rPr>
          <w:rFonts w:ascii="Arial" w:cs="Arial" w:eastAsia="Arial" w:hAnsi="Arial"/>
          <w:b/>
          <w:bCs/>
          <w:sz w:val="22"/>
          <w:szCs w:val="22"/>
        </w:rPr>
        <w:t xml:space="preserve">Current Issue: </w:t>
      </w:r>
      <w:r>
        <w:rPr>
          <w:rFonts w:ascii="Arial" w:cs="Arial" w:eastAsia="Arial" w:hAnsi="Arial"/>
          <w:sz w:val="22"/>
          <w:szCs w:val="22"/>
        </w:rPr>
        <w:t xml:space="preserve">The existing test cases validate the happy-path flow of voice commands – user speaks a valid command, FELIX transcribes it correctly, and the correct action is dispatched. There are no test cases covering failed transcription, ambiguous commands that match multiple intents, or commands issued when the audio input device is unavailable. These paths will exist in any real deployment.</w:t>
      </w:r>
    </w:p>
    <w:p>
      <w:pPr>
        <w:spacing w:after="80"/>
      </w:pPr>
      <w:r>
        <w:rPr>
          <w:rFonts w:ascii="Arial" w:cs="Arial" w:eastAsia="Arial" w:hAnsi="Arial"/>
          <w:b/>
          <w:bCs/>
          <w:sz w:val="22"/>
          <w:szCs w:val="22"/>
        </w:rPr>
        <w:t xml:space="preserve">Proposed Improvement: </w:t>
      </w:r>
      <w:r>
        <w:rPr>
          <w:rFonts w:ascii="Arial" w:cs="Arial" w:eastAsia="Arial" w:hAnsi="Arial"/>
          <w:sz w:val="22"/>
          <w:szCs w:val="22"/>
        </w:rPr>
        <w:t xml:space="preserve">Add three new test cases: TC-09 (Transcription Failure – system responds with a clarification prompt rather than silently failing), TC-10 (Ambiguous Intent – system presents the top two interpretations and waits for confirmation), and TC-11 (No Audio Device – system falls back to text input mode and notifies the user). Each test case maps to existing SRS requirement R-04 (Voice Interface Resilience).</w:t>
      </w:r>
    </w:p>
    <w:p>
      <w:pPr>
        <w:spacing w:after="80"/>
      </w:pPr>
      <w:r>
        <w:rPr>
          <w:rFonts w:ascii="Arial" w:cs="Arial" w:eastAsia="Arial" w:hAnsi="Arial"/>
          <w:b/>
          <w:bCs/>
          <w:sz w:val="22"/>
          <w:szCs w:val="22"/>
        </w:rPr>
        <w:t xml:space="preserve">Why This Improves Quality: </w:t>
      </w:r>
      <w:r>
        <w:rPr>
          <w:rFonts w:ascii="Arial" w:cs="Arial" w:eastAsia="Arial" w:hAnsi="Arial"/>
          <w:sz w:val="22"/>
          <w:szCs w:val="22"/>
        </w:rPr>
        <w:t xml:space="preserve">Error-path coverage is where real-world systems break. Adding these cases closes a gap in the traceability matrix, ensures failure modes are specified before implementation, and reduces the risk of silent failures reaching users.</w:t>
      </w:r>
    </w:p>
    <w:p>
      <w:r>
        <w:br w:type="page"/>
      </w:r>
    </w:p>
    <w:p>
      <w:pPr>
        <w:pStyle w:val="Heading1"/>
        <w:spacing w:after="120" w:before="300"/>
      </w:pPr>
      <w:r>
        <w:rPr>
          <w:rFonts w:ascii="Arial" w:cs="Arial" w:eastAsia="Arial" w:hAnsi="Arial"/>
          <w:b/>
          <w:bCs/>
          <w:color w:val="1B3A5C"/>
          <w:sz w:val="32"/>
          <w:szCs w:val="32"/>
        </w:rPr>
        <w:t xml:space="preserve">2. Technical Debt Analysis</w:t>
      </w:r>
    </w:p>
    <w:p>
      <w:pPr>
        <w:spacing w:after="120"/>
      </w:pPr>
      <w:r>
        <w:rPr>
          <w:rFonts w:ascii="Arial" w:cs="Arial" w:eastAsia="Arial" w:hAnsi="Arial"/>
          <w:sz w:val="22"/>
          <w:szCs w:val="22"/>
        </w:rPr>
        <w:t xml:space="preserve">Technical debt represents design or documentation shortcuts taken earlier in the project that will require additional effort to correct if left unaddressed. The following three items were identified through review of prior deliverables.</w:t>
      </w:r>
    </w:p>
    <w:p>
      <w:pPr>
        <w:spacing w:after="80"/>
      </w:pPr>
    </w:p>
    <w:p>
      <w:pPr>
        <w:pStyle w:val="Heading2"/>
        <w:spacing w:after="80" w:before="200"/>
      </w:pPr>
      <w:r>
        <w:rPr>
          <w:rFonts w:ascii="Arial" w:cs="Arial" w:eastAsia="Arial" w:hAnsi="Arial"/>
          <w:b/>
          <w:bCs/>
          <w:color w:val="2E5984"/>
          <w:sz w:val="26"/>
          <w:szCs w:val="26"/>
        </w:rPr>
        <w:t xml:space="preserve">2.1 – Undefined Authentication and Session Management Model</w:t>
      </w:r>
    </w:p>
    <w:p>
      <w:pPr>
        <w:spacing w:after="80"/>
      </w:pPr>
      <w:r>
        <w:rPr>
          <w:rFonts w:ascii="Arial" w:cs="Arial" w:eastAsia="Arial" w:hAnsi="Arial"/>
          <w:b/>
          <w:bCs/>
          <w:sz w:val="22"/>
          <w:szCs w:val="22"/>
        </w:rPr>
        <w:t xml:space="preserve">Description: </w:t>
      </w:r>
      <w:r>
        <w:rPr>
          <w:rFonts w:ascii="Arial" w:cs="Arial" w:eastAsia="Arial" w:hAnsi="Arial"/>
          <w:sz w:val="22"/>
          <w:szCs w:val="22"/>
        </w:rPr>
        <w:t xml:space="preserve">The SRS and architecture documents reference user authentication (“users log in to FELIX”) without specifying the authentication protocol, session duration, token refresh strategy, or what happens when a session expires mid-task. The assumption has been that OAuth2 via Google will be used, but this has never been formally documented.</w:t>
      </w:r>
    </w:p>
    <w:p>
      <w:pPr>
        <w:spacing w:after="80"/>
      </w:pPr>
      <w:r>
        <w:rPr>
          <w:rFonts w:ascii="Arial" w:cs="Arial" w:eastAsia="Arial" w:hAnsi="Arial"/>
          <w:b/>
          <w:bCs/>
          <w:sz w:val="22"/>
          <w:szCs w:val="22"/>
        </w:rPr>
        <w:t xml:space="preserve">Why It Is a Problem: </w:t>
      </w:r>
      <w:r>
        <w:rPr>
          <w:rFonts w:ascii="Arial" w:cs="Arial" w:eastAsia="Arial" w:hAnsi="Arial"/>
          <w:sz w:val="22"/>
          <w:szCs w:val="22"/>
        </w:rPr>
        <w:t xml:space="preserve">Authentication is a cross-cutting concern that affects the API gateway, the database schema, the frontend routing logic, and all third-party integration flows. An undefined auth model means each component will make independent assumptions, leading to inconsistencies and security gaps.</w:t>
      </w:r>
    </w:p>
    <w:p>
      <w:pPr>
        <w:spacing w:after="80"/>
      </w:pPr>
      <w:r>
        <w:rPr>
          <w:rFonts w:ascii="Arial" w:cs="Arial" w:eastAsia="Arial" w:hAnsi="Arial"/>
          <w:b/>
          <w:bCs/>
          <w:sz w:val="22"/>
          <w:szCs w:val="22"/>
        </w:rPr>
        <w:t xml:space="preserve">Potential Impact if Not Addressed: </w:t>
      </w:r>
      <w:r>
        <w:rPr>
          <w:rFonts w:ascii="Arial" w:cs="Arial" w:eastAsia="Arial" w:hAnsi="Arial"/>
          <w:sz w:val="22"/>
          <w:szCs w:val="22"/>
        </w:rPr>
        <w:t xml:space="preserve">Users could be silently logged out during an active FELIX session, third-party tokens could expire without a refresh mechanism, and security vulnerabilities could be introduced if different components implement auth differently. This is a high-severity risk in a system that touches email, calendar, and financial data.</w:t>
      </w:r>
    </w:p>
    <w:p>
      <w:pPr>
        <w:spacing w:after="80"/>
      </w:pPr>
      <w:r>
        <w:rPr>
          <w:rFonts w:ascii="Arial" w:cs="Arial" w:eastAsia="Arial" w:hAnsi="Arial"/>
          <w:b/>
          <w:bCs/>
          <w:sz w:val="22"/>
          <w:szCs w:val="22"/>
        </w:rPr>
        <w:t xml:space="preserve">Suggested Resolution: </w:t>
      </w:r>
      <w:r>
        <w:rPr>
          <w:rFonts w:ascii="Arial" w:cs="Arial" w:eastAsia="Arial" w:hAnsi="Arial"/>
          <w:sz w:val="22"/>
          <w:szCs w:val="22"/>
        </w:rPr>
        <w:t xml:space="preserve">Add a dedicated Authentication and Authorization section to the SRS. Document the OAuth2 flow for Google Workspace, token storage location (Supabase vs. encrypted local storage), refresh intervals, and session expiry behavior. Update the architecture diagram to show auth as a first-class component, not an implied layer.</w:t>
      </w:r>
    </w:p>
    <w:p>
      <w:pPr>
        <w:spacing w:after="80"/>
      </w:pPr>
    </w:p>
    <w:p>
      <w:pPr>
        <w:pStyle w:val="Heading2"/>
        <w:spacing w:after="80" w:before="200"/>
      </w:pPr>
      <w:r>
        <w:rPr>
          <w:rFonts w:ascii="Arial" w:cs="Arial" w:eastAsia="Arial" w:hAnsi="Arial"/>
          <w:b/>
          <w:bCs/>
          <w:color w:val="2E5984"/>
          <w:sz w:val="26"/>
          <w:szCs w:val="26"/>
        </w:rPr>
        <w:t xml:space="preserve">2.2 – No Defined Data Retention or Privacy Policy for User Activity Logs</w:t>
      </w:r>
    </w:p>
    <w:p>
      <w:pPr>
        <w:spacing w:after="80"/>
      </w:pPr>
      <w:r>
        <w:rPr>
          <w:rFonts w:ascii="Arial" w:cs="Arial" w:eastAsia="Arial" w:hAnsi="Arial"/>
          <w:b/>
          <w:bCs/>
          <w:sz w:val="22"/>
          <w:szCs w:val="22"/>
        </w:rPr>
        <w:t xml:space="preserve">Description: </w:t>
      </w:r>
      <w:r>
        <w:rPr>
          <w:rFonts w:ascii="Arial" w:cs="Arial" w:eastAsia="Arial" w:hAnsi="Arial"/>
          <w:sz w:val="22"/>
          <w:szCs w:val="22"/>
        </w:rPr>
        <w:t xml:space="preserve">FELIX tracks user activity (commands issued, integrations accessed, scheduler events created) to enable proactive behavior and personalization. The current design documents do not specify how long this data is retained, whether it can be deleted by the user, or whether it is stored locally versus in the cloud.</w:t>
      </w:r>
    </w:p>
    <w:p>
      <w:pPr>
        <w:spacing w:after="80"/>
      </w:pPr>
      <w:r>
        <w:rPr>
          <w:rFonts w:ascii="Arial" w:cs="Arial" w:eastAsia="Arial" w:hAnsi="Arial"/>
          <w:b/>
          <w:bCs/>
          <w:sz w:val="22"/>
          <w:szCs w:val="22"/>
        </w:rPr>
        <w:t xml:space="preserve">Why It Is a Problem: </w:t>
      </w:r>
      <w:r>
        <w:rPr>
          <w:rFonts w:ascii="Arial" w:cs="Arial" w:eastAsia="Arial" w:hAnsi="Arial"/>
          <w:sz w:val="22"/>
          <w:szCs w:val="22"/>
        </w:rPr>
        <w:t xml:space="preserve">This is both a legal risk and a trust risk. Users interacting with a system that touches their email, calendar, and financial data will expect clear data handling policies. The absence of any documented policy means compliance with FERPA (relevant for student users), GDPR, and CCPA has never been evaluated.</w:t>
      </w:r>
    </w:p>
    <w:p>
      <w:pPr>
        <w:spacing w:after="80"/>
      </w:pPr>
      <w:r>
        <w:rPr>
          <w:rFonts w:ascii="Arial" w:cs="Arial" w:eastAsia="Arial" w:hAnsi="Arial"/>
          <w:b/>
          <w:bCs/>
          <w:sz w:val="22"/>
          <w:szCs w:val="22"/>
        </w:rPr>
        <w:t xml:space="preserve">Potential Impact if Not Addressed: </w:t>
      </w:r>
      <w:r>
        <w:rPr>
          <w:rFonts w:ascii="Arial" w:cs="Arial" w:eastAsia="Arial" w:hAnsi="Arial"/>
          <w:sz w:val="22"/>
          <w:szCs w:val="22"/>
        </w:rPr>
        <w:t xml:space="preserve">If FELIX scales to real users and data handling is not documented or enforced, the system could face regulatory exposure. More immediately, it undermines user trust, which is FELIX’s core value proposition.</w:t>
      </w:r>
    </w:p>
    <w:p>
      <w:pPr>
        <w:spacing w:after="80"/>
      </w:pPr>
      <w:r>
        <w:rPr>
          <w:rFonts w:ascii="Arial" w:cs="Arial" w:eastAsia="Arial" w:hAnsi="Arial"/>
          <w:b/>
          <w:bCs/>
          <w:sz w:val="22"/>
          <w:szCs w:val="22"/>
        </w:rPr>
        <w:t xml:space="preserve">Suggested Resolution: </w:t>
      </w:r>
      <w:r>
        <w:rPr>
          <w:rFonts w:ascii="Arial" w:cs="Arial" w:eastAsia="Arial" w:hAnsi="Arial"/>
          <w:sz w:val="22"/>
          <w:szCs w:val="22"/>
        </w:rPr>
        <w:t xml:space="preserve">Add a Data Management section to the SRS specifying retention windows (e.g., activity logs kept for 30 days), user-accessible deletion controls, and an explicit statement on whether user data ever leaves the local device. Even if the final answer is “local only,” that decision needs to be documented.</w:t>
      </w:r>
    </w:p>
    <w:p>
      <w:pPr>
        <w:spacing w:after="80"/>
      </w:pPr>
    </w:p>
    <w:p>
      <w:pPr>
        <w:pStyle w:val="Heading2"/>
        <w:spacing w:after="80" w:before="200"/>
      </w:pPr>
      <w:r>
        <w:rPr>
          <w:rFonts w:ascii="Arial" w:cs="Arial" w:eastAsia="Arial" w:hAnsi="Arial"/>
          <w:b/>
          <w:bCs/>
          <w:color w:val="2E5984"/>
          <w:sz w:val="26"/>
          <w:szCs w:val="26"/>
        </w:rPr>
        <w:t xml:space="preserve">2.3 – Hardcoded Integration Assumptions in Design Documents</w:t>
      </w:r>
    </w:p>
    <w:p>
      <w:pPr>
        <w:spacing w:after="80"/>
      </w:pPr>
      <w:r>
        <w:rPr>
          <w:rFonts w:ascii="Arial" w:cs="Arial" w:eastAsia="Arial" w:hAnsi="Arial"/>
          <w:b/>
          <w:bCs/>
          <w:sz w:val="22"/>
          <w:szCs w:val="22"/>
        </w:rPr>
        <w:t xml:space="preserve">Description: </w:t>
      </w:r>
      <w:r>
        <w:rPr>
          <w:rFonts w:ascii="Arial" w:cs="Arial" w:eastAsia="Arial" w:hAnsi="Arial"/>
          <w:sz w:val="22"/>
          <w:szCs w:val="22"/>
        </w:rPr>
        <w:t xml:space="preserve">The current design documentation assumes specific third-party APIs as immutable facts: Google Calendar for scheduling, Spotify for music, TradingView for financial data, and GitHub for code. No fallback or abstraction layer is described. These are treated as permanent infrastructure rather than as interchangeable dependencies.</w:t>
      </w:r>
    </w:p>
    <w:p>
      <w:pPr>
        <w:spacing w:after="80"/>
      </w:pPr>
      <w:r>
        <w:rPr>
          <w:rFonts w:ascii="Arial" w:cs="Arial" w:eastAsia="Arial" w:hAnsi="Arial"/>
          <w:b/>
          <w:bCs/>
          <w:sz w:val="22"/>
          <w:szCs w:val="22"/>
        </w:rPr>
        <w:t xml:space="preserve">Why It Is a Problem: </w:t>
      </w:r>
      <w:r>
        <w:rPr>
          <w:rFonts w:ascii="Arial" w:cs="Arial" w:eastAsia="Arial" w:hAnsi="Arial"/>
          <w:sz w:val="22"/>
          <w:szCs w:val="22"/>
        </w:rPr>
        <w:t xml:space="preserve">Third-party APIs change, deprecate endpoints, alter pricing, or revoke access. Hardcoding these as architectural facts means any API change requires revisiting the entire design rather than swapping out an adapter.</w:t>
      </w:r>
    </w:p>
    <w:p>
      <w:pPr>
        <w:spacing w:after="80"/>
      </w:pPr>
      <w:r>
        <w:rPr>
          <w:rFonts w:ascii="Arial" w:cs="Arial" w:eastAsia="Arial" w:hAnsi="Arial"/>
          <w:b/>
          <w:bCs/>
          <w:sz w:val="22"/>
          <w:szCs w:val="22"/>
        </w:rPr>
        <w:t xml:space="preserve">Potential Impact if Not Addressed: </w:t>
      </w:r>
      <w:r>
        <w:rPr>
          <w:rFonts w:ascii="Arial" w:cs="Arial" w:eastAsia="Arial" w:hAnsi="Arial"/>
          <w:sz w:val="22"/>
          <w:szCs w:val="22"/>
        </w:rPr>
        <w:t xml:space="preserve">If Spotify deprecates its API or Google changes OAuth scopes, the FELIX design would need to be reworked from scratch for that integration. For a student-built system, this could halt development entirely.</w:t>
      </w:r>
    </w:p>
    <w:p>
      <w:pPr>
        <w:spacing w:after="80"/>
      </w:pPr>
      <w:r>
        <w:rPr>
          <w:rFonts w:ascii="Arial" w:cs="Arial" w:eastAsia="Arial" w:hAnsi="Arial"/>
          <w:b/>
          <w:bCs/>
          <w:sz w:val="22"/>
          <w:szCs w:val="22"/>
        </w:rPr>
        <w:t xml:space="preserve">Suggested Resolution: </w:t>
      </w:r>
      <w:r>
        <w:rPr>
          <w:rFonts w:ascii="Arial" w:cs="Arial" w:eastAsia="Arial" w:hAnsi="Arial"/>
          <w:sz w:val="22"/>
          <w:szCs w:val="22"/>
        </w:rPr>
        <w:t xml:space="preserve">Define an Integration Adapter Interface in the architecture document. Each third-party service is accessed only through its adapter, and the adapter contract (what data it must supply, what errors it must handle) is documented independently of the underlying provider. This allows provider substitution without architectural redesign.</w:t>
      </w:r>
    </w:p>
    <w:p>
      <w:r>
        <w:br w:type="page"/>
      </w:r>
    </w:p>
    <w:p>
      <w:pPr>
        <w:pStyle w:val="Heading1"/>
        <w:spacing w:after="120" w:before="300"/>
      </w:pPr>
      <w:r>
        <w:rPr>
          <w:rFonts w:ascii="Arial" w:cs="Arial" w:eastAsia="Arial" w:hAnsi="Arial"/>
          <w:b/>
          <w:bCs/>
          <w:color w:val="1B3A5C"/>
          <w:sz w:val="32"/>
          <w:szCs w:val="32"/>
        </w:rPr>
        <w:t xml:space="preserve">3. Versioning Strategy</w:t>
      </w:r>
    </w:p>
    <w:p>
      <w:pPr>
        <w:spacing w:after="120"/>
      </w:pPr>
      <w:r>
        <w:rPr>
          <w:rFonts w:ascii="Arial" w:cs="Arial" w:eastAsia="Arial" w:hAnsi="Arial"/>
          <w:sz w:val="22"/>
          <w:szCs w:val="22"/>
        </w:rPr>
        <w:t xml:space="preserve">FELIX follows Semantic Versioning (SemVer) with the format MAJOR.MINOR.PATCH. This standard is widely recognized in software engineering and maps cleanly to the types of changes made throughout the project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 Increment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Trigger</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MAJOR (e.g., v2.0.0)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Breaking change or complete system redesign</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Replacing the local AI model with a cloud-based inference engine; removing a previously supported integration</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MINOR (e.g., v1.1.0)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New feature or capability, backward-compatible</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Adding Spotify integration; introducing the Trader mode; launching voice command support</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PATCH (e.g., v1.0.1)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Bug fix, documentation update, minor correction</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Fixing a broken calendar sync; correcting an SRS requirement description; updating a test case</w:t>
            </w:r>
          </w:p>
        </w:tc>
      </w:tr>
    </w:tbl>
    <w:p>
      <w:pPr>
        <w:spacing w:after="80"/>
      </w:pPr>
    </w:p>
    <w:p>
      <w:pPr>
        <w:spacing w:after="80"/>
      </w:pPr>
      <w:r>
        <w:rPr>
          <w:rFonts w:ascii="Arial" w:cs="Arial" w:eastAsia="Arial" w:hAnsi="Arial"/>
          <w:b/>
          <w:bCs/>
          <w:sz w:val="22"/>
          <w:szCs w:val="22"/>
        </w:rPr>
        <w:t xml:space="preserve">Current Version: </w:t>
      </w:r>
      <w:r>
        <w:rPr>
          <w:rFonts w:ascii="Arial" w:cs="Arial" w:eastAsia="Arial" w:hAnsi="Arial"/>
          <w:sz w:val="22"/>
          <w:szCs w:val="22"/>
        </w:rPr>
        <w:t xml:space="preserve">v1.0.0</w:t>
      </w:r>
    </w:p>
    <w:p>
      <w:pPr>
        <w:spacing w:after="120"/>
      </w:pPr>
      <w:r>
        <w:rPr>
          <w:rFonts w:ascii="Arial" w:cs="Arial" w:eastAsia="Arial" w:hAnsi="Arial"/>
          <w:sz w:val="22"/>
          <w:szCs w:val="22"/>
        </w:rPr>
        <w:t xml:space="preserve">The system is at v1.0.0, reflecting the completion of core documentation artifacts (SRS, architecture, design, test strategy, test cases, traceability matrix, CI/CD pipeline, and security analysis) without any production code deployment. The first MINOR increment to v1.1.0 will occur when the first functional integration is implemented and verified against a test case.</w:t>
      </w:r>
    </w:p>
    <w:p>
      <w:pPr>
        <w:spacing w:after="80"/>
      </w:pPr>
    </w:p>
    <w:p>
      <w:pPr>
        <w:spacing w:after="120"/>
      </w:pPr>
      <w:r>
        <w:rPr>
          <w:rFonts w:ascii="Arial" w:cs="Arial" w:eastAsia="Arial" w:hAnsi="Arial"/>
          <w:sz w:val="22"/>
          <w:szCs w:val="22"/>
        </w:rPr>
        <w:t xml:space="preserve">Version tags will be applied in the GitHub repository using annotated Git tags (git tag -a v1.0.0) at each milestone, with a corresponding CHANGELOG.md entry summarizing what changed.</w:t>
      </w:r>
    </w:p>
    <w:p>
      <w:r>
        <w:br w:type="page"/>
      </w:r>
    </w:p>
    <w:p>
      <w:pPr>
        <w:pStyle w:val="Heading1"/>
        <w:spacing w:after="120" w:before="300"/>
      </w:pPr>
      <w:r>
        <w:rPr>
          <w:rFonts w:ascii="Arial" w:cs="Arial" w:eastAsia="Arial" w:hAnsi="Arial"/>
          <w:b/>
          <w:bCs/>
          <w:color w:val="1B3A5C"/>
          <w:sz w:val="32"/>
          <w:szCs w:val="32"/>
        </w:rPr>
        <w:t xml:space="preserve">4. Dependency and Change Planning</w:t>
      </w:r>
    </w:p>
    <w:p>
      <w:pPr>
        <w:pStyle w:val="Heading2"/>
        <w:spacing w:after="80" w:before="200"/>
      </w:pPr>
      <w:r>
        <w:rPr>
          <w:rFonts w:ascii="Arial" w:cs="Arial" w:eastAsia="Arial" w:hAnsi="Arial"/>
          <w:b/>
          <w:bCs/>
          <w:color w:val="2E5984"/>
          <w:sz w:val="26"/>
          <w:szCs w:val="26"/>
        </w:rPr>
        <w:t xml:space="preserve">4.1 – External Dependencies</w:t>
      </w:r>
    </w:p>
    <w:p>
      <w:pPr>
        <w:spacing w:after="120"/>
      </w:pPr>
      <w:r>
        <w:rPr>
          <w:rFonts w:ascii="Arial" w:cs="Arial" w:eastAsia="Arial" w:hAnsi="Arial"/>
          <w:sz w:val="22"/>
          <w:szCs w:val="22"/>
        </w:rPr>
        <w:t xml:space="preserve">FELIX relies on the following external systems, tools, and assumptions: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Assumption</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OAuth2 / Workspace APIs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Authentication, Calendar, Gmail, Drive, Docs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scopes remain stable; OAuth consent screen is approvable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Supabase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data storage, session management, event logs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 tier is sufficient for development; schema is stable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Gemini API (Google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Natural language understanding, intent classification, response generation</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API key access is maintained; token pricing remains viable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Spotify Web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Music mode – playback control, playlist access</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Developer app approval granted; scopes include playback</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TradingView / Market Data Feed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Trader mode – price alerts, watchlist data</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feed is accessible without premium subscription during development</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 REST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Code repository access, commit tracking, push automation</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Personal access token permissions remain active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 Ollama Runtime (Qwen2.5)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 AI inference for JARVIS/FELIX personal assistant</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RTX 4070 + 32 GB RAM host machine remains available</w:t>
            </w:r>
          </w:p>
        </w:tc>
      </w:tr>
      <w:tr>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Vosk + Piper (jarvis-voice)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Speech-to-text and text-to-speech for voice interface</w:t>
            </w:r>
          </w:p>
        </w:tc>
        <w:tc>
          <w:tcPr>
            <w:tcW w:type="dxa" w:w="312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Models are downloaded and locally cached; no internet dependency at runtime</w:t>
            </w:r>
          </w:p>
        </w:tc>
      </w:tr>
    </w:tbl>
    <w:p>
      <w:pPr>
        <w:spacing w:after="80"/>
      </w:pPr>
    </w:p>
    <w:p>
      <w:pPr>
        <w:pStyle w:val="Heading2"/>
        <w:spacing w:after="80" w:before="200"/>
      </w:pPr>
      <w:r>
        <w:rPr>
          <w:rFonts w:ascii="Arial" w:cs="Arial" w:eastAsia="Arial" w:hAnsi="Arial"/>
          <w:b/>
          <w:bCs/>
          <w:color w:val="2E5984"/>
          <w:sz w:val="26"/>
          <w:szCs w:val="26"/>
        </w:rPr>
        <w:t xml:space="preserve">4.2 – Dependency Change Response Plan</w:t>
      </w:r>
    </w:p>
    <w:p>
      <w:pPr>
        <w:spacing w:after="120"/>
      </w:pPr>
      <w:r>
        <w:rPr>
          <w:rFonts w:ascii="Arial" w:cs="Arial" w:eastAsia="Arial" w:hAnsi="Arial"/>
          <w:sz w:val="22"/>
          <w:szCs w:val="22"/>
        </w:rPr>
        <w:t xml:space="preserve">For each category of dependency change, FELIX has the following adaptation strategy:</w:t>
      </w:r>
    </w:p>
    <w:p>
      <w:pPr>
        <w:spacing w:after="80"/>
      </w:pPr>
    </w:p>
    <w:p>
      <w:pPr>
        <w:spacing w:after="80"/>
      </w:pPr>
      <w:r>
        <w:rPr>
          <w:rFonts w:ascii="Arial" w:cs="Arial" w:eastAsia="Arial" w:hAnsi="Arial"/>
          <w:b/>
          <w:bCs/>
          <w:sz w:val="22"/>
          <w:szCs w:val="22"/>
        </w:rPr>
        <w:t xml:space="preserve">API Breaking Changes (Google, Spotify, TradingView): </w:t>
      </w:r>
      <w:r>
        <w:rPr>
          <w:rFonts w:ascii="Arial" w:cs="Arial" w:eastAsia="Arial" w:hAnsi="Arial"/>
          <w:sz w:val="22"/>
          <w:szCs w:val="22"/>
        </w:rPr>
        <w:t xml:space="preserve">Because each integration is planned to be isolated behind an adapter layer (see Section 2.3 resolution), a breaking API change requires updating only the relevant adapter. The core FELIX orchestration logic is not touched. The adapter’s interface contract remains stable; only its internal implementation changes.</w:t>
      </w:r>
    </w:p>
    <w:p>
      <w:pPr>
        <w:spacing w:after="80"/>
      </w:pPr>
    </w:p>
    <w:p>
      <w:pPr>
        <w:spacing w:after="80"/>
      </w:pPr>
      <w:r>
        <w:rPr>
          <w:rFonts w:ascii="Arial" w:cs="Arial" w:eastAsia="Arial" w:hAnsi="Arial"/>
          <w:b/>
          <w:bCs/>
          <w:sz w:val="22"/>
          <w:szCs w:val="22"/>
        </w:rPr>
        <w:t xml:space="preserve">Database Schema Changes (Supabase): </w:t>
      </w:r>
      <w:r>
        <w:rPr>
          <w:rFonts w:ascii="Arial" w:cs="Arial" w:eastAsia="Arial" w:hAnsi="Arial"/>
          <w:sz w:val="22"/>
          <w:szCs w:val="22"/>
        </w:rPr>
        <w:t xml:space="preserve">All schema migrations will be managed via versioned SQL migration files. If Supabase changes its API or pricing model, the storage adapter can be repointed to a self-hosted PostgreSQL instance with no changes to application logic, since all database access is abstracted through a data access layer.</w:t>
      </w:r>
    </w:p>
    <w:p>
      <w:pPr>
        <w:spacing w:after="80"/>
      </w:pPr>
    </w:p>
    <w:p>
      <w:pPr>
        <w:spacing w:after="80"/>
      </w:pPr>
      <w:r>
        <w:rPr>
          <w:rFonts w:ascii="Arial" w:cs="Arial" w:eastAsia="Arial" w:hAnsi="Arial"/>
          <w:b/>
          <w:bCs/>
          <w:sz w:val="22"/>
          <w:szCs w:val="22"/>
        </w:rPr>
        <w:t xml:space="preserve">AI Model Changes (Gemini API, Ollama): </w:t>
      </w:r>
      <w:r>
        <w:rPr>
          <w:rFonts w:ascii="Arial" w:cs="Arial" w:eastAsia="Arial" w:hAnsi="Arial"/>
          <w:sz w:val="22"/>
          <w:szCs w:val="22"/>
        </w:rPr>
        <w:t xml:space="preserve">The AI inference layer is already bifurcated: cloud (Gemini) for FELIX student product, local (Ollama/Qwen2.5) for JARVIS personal assistant. If Gemini pricing becomes prohibitive, the student product can be redirected to the local model or an alternative provider (OpenRouter, Groq) without redesigning the prompt pipeline. Model-specific prompt formatting is isolated in configuration files, not hardcoded in application logic.</w:t>
      </w:r>
    </w:p>
    <w:p>
      <w:pPr>
        <w:spacing w:after="80"/>
      </w:pPr>
    </w:p>
    <w:p>
      <w:pPr>
        <w:spacing w:after="80"/>
      </w:pPr>
      <w:r>
        <w:rPr>
          <w:rFonts w:ascii="Arial" w:cs="Arial" w:eastAsia="Arial" w:hAnsi="Arial"/>
          <w:b/>
          <w:bCs/>
          <w:sz w:val="22"/>
          <w:szCs w:val="22"/>
        </w:rPr>
        <w:t xml:space="preserve">Voice Stack Changes (Vosk, Piper): </w:t>
      </w:r>
      <w:r>
        <w:rPr>
          <w:rFonts w:ascii="Arial" w:cs="Arial" w:eastAsia="Arial" w:hAnsi="Arial"/>
          <w:sz w:val="22"/>
          <w:szCs w:val="22"/>
        </w:rPr>
        <w:t xml:space="preserve">Both models are downloaded and run locally. There is no runtime internet dependency. If a newer model is released, it replaces the downloaded model files; the jarvis-voice service does not need to be rebuilt. If the voice stack is deprecated entirely, the fallback is text-only input mode, which is already a supported path in the design.</w:t>
      </w:r>
    </w:p>
    <w:p>
      <w:r>
        <w:br w:type="page"/>
      </w:r>
    </w:p>
    <w:p>
      <w:pPr>
        <w:pStyle w:val="Heading1"/>
        <w:spacing w:after="120" w:before="300"/>
      </w:pPr>
      <w:r>
        <w:rPr>
          <w:rFonts w:ascii="Arial" w:cs="Arial" w:eastAsia="Arial" w:hAnsi="Arial"/>
          <w:b/>
          <w:bCs/>
          <w:color w:val="1B3A5C"/>
          <w:sz w:val="32"/>
          <w:szCs w:val="32"/>
        </w:rPr>
        <w:t xml:space="preserve">5. Evolution Reflection</w:t>
      </w:r>
    </w:p>
    <w:p>
      <w:pPr>
        <w:spacing w:after="120"/>
      </w:pPr>
      <w:r>
        <w:rPr>
          <w:rFonts w:ascii="Arial" w:cs="Arial" w:eastAsia="Arial" w:hAnsi="Arial"/>
          <w:sz w:val="22"/>
          <w:szCs w:val="22"/>
        </w:rPr>
        <w:t xml:space="preserve">When this project began in Week 1, FELIX existed as a high-level concept: an AI personal assistant for students with voice commands, calendar integration, and cross-platform control. The documentation was minimal, the requirements were vague, and the architecture was a rough sketch. Over the course of the semester, the system has been systematically formalized. The SRS now defines functional and non-functional requirements with unique identifiers, enabling traceability. The architecture document describes distinct layers – frontend, API gateway, integration adapters, AI inference, and data storage. The design document specifies interaction flows. The test strategy and test cases connect requirements to verifiable behavior. The CI/CD pipeline defines automated validation gates. The security assignment examined the system’s threat model through adversarial testing. Each week has added a new layer of engineering rigor to what started as a concept, and the system is now documentable, testable, and deployable in principle.</w:t>
      </w:r>
    </w:p>
    <w:p>
      <w:pPr>
        <w:spacing w:after="80"/>
      </w:pPr>
    </w:p>
    <w:p>
      <w:pPr>
        <w:spacing w:after="120"/>
      </w:pPr>
      <w:r>
        <w:rPr>
          <w:rFonts w:ascii="Arial" w:cs="Arial" w:eastAsia="Arial" w:hAnsi="Arial"/>
          <w:sz w:val="22"/>
          <w:szCs w:val="22"/>
        </w:rPr>
        <w:t xml:space="preserve">If FELIX were a production system, the immediate next priority would be closing the authentication and data privacy debt identified in Section 2. A system that touches a user’s email, calendar, financial data, and voice input cannot ship without a formally defined and legally reviewed data handling policy. After that, the first functional integration – most likely Google Calendar sync – would be the highest-value feature to implement, as it anchors the scheduler mode that is central to the student-facing product’s value proposition. Ongoing maintenance matters in software engineering because systems do not exist in isolation. Dependencies evolve, user needs change, security vulnerabilities are discovered, and the assumptions baked into early design decisions eventually become incorrect. A system without a maintenance plan will degrade over time regardless of how well it was built initially. The practices established in this assignment – identifying debt, defining versioning, planning for dependency changes – are not administrative overhead. They are the infrastructure that keeps software usable long after the initial build is complete.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color w:val="888888"/>
        <w:sz w:val="16"/>
        <w:szCs w:val="16"/>
      </w:rPr>
      <w:t xml:space="preserve">Shashank – FELIX AI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CSC 2213 – Software Engineering Methods  |  Week 11 Maintenance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2026-04-20T02:51:33.490Z</dcterms:created>
  <dcterms:modified xsi:type="dcterms:W3CDTF">2026-04-20T02:51:33.491Z</dcterms:modified>
</cp:coreProperties>
</file>

<file path=docProps/custom.xml><?xml version="1.0" encoding="utf-8"?>
<Properties xmlns="http://schemas.openxmlformats.org/officeDocument/2006/custom-properties" xmlns:vt="http://schemas.openxmlformats.org/officeDocument/2006/docPropsVTypes"/>
</file>