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FCC30A"/>
          <w:sz w:val="20"/>
        </w:rPr>
        <w:t>2026 TURNAROUND MECHANICAL DECOKE</w:t>
      </w:r>
    </w:p>
    <w:p>
      <w:pPr>
        <w:spacing w:before="0" w:after="40"/>
      </w:pPr>
      <w:r>
        <w:rPr>
          <w:rFonts w:ascii="Arial" w:hAnsi="Arial"/>
          <w:b/>
          <w:color w:val="222222"/>
          <w:sz w:val="44"/>
        </w:rPr>
        <w:t>Coker Furnace — PR-170002</w:t>
      </w:r>
    </w:p>
    <w:p>
      <w:pPr>
        <w:spacing w:before="0" w:after="160"/>
      </w:pPr>
      <w:r>
        <w:rPr>
          <w:rFonts w:ascii="Arial" w:hAnsi="Arial"/>
          <w:b w:val="0"/>
          <w:color w:val="555555"/>
          <w:sz w:val="20"/>
        </w:rPr>
        <w:t>Job Report  |  USADebusk  |  Cenovus Lima Refinery — Lima, OH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2015"/>
        <w:gridCol w:w="2639"/>
        <w:gridCol w:w="2639"/>
        <w:gridCol w:w="2639"/>
      </w:tblGrid>
      <w:tr>
        <w:tc>
          <w:tcPr>
            <w:tcW w:type="dxa" w:w="2016"/>
            <w:shd w:val="clear" w:fill="22222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PROJECT NO.</w:t>
            </w:r>
          </w:p>
        </w:tc>
        <w:tc>
          <w:tcPr>
            <w:tcW w:type="dxa" w:w="2640"/>
            <w:shd w:val="clear" w:fill="22222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FACILITY</w:t>
            </w:r>
          </w:p>
        </w:tc>
        <w:tc>
          <w:tcPr>
            <w:tcW w:type="dxa" w:w="2640"/>
            <w:shd w:val="clear" w:fill="22222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EXECUTION</w:t>
            </w:r>
          </w:p>
        </w:tc>
        <w:tc>
          <w:tcPr>
            <w:tcW w:type="dxa" w:w="2640"/>
            <w:shd w:val="clear" w:fill="22222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PROJECT MANAGER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USA26046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Cenovus Lima Refinery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Sep 27 – 30, 2026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Peter Campbell</w:t>
            </w:r>
          </w:p>
        </w:tc>
      </w:tr>
      <w:tr>
        <w:tc>
          <w:tcPr>
            <w:tcW w:type="dxa" w:w="2016"/>
            <w:shd w:val="clear" w:fill="22222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WORK ORDER</w:t>
            </w:r>
          </w:p>
        </w:tc>
        <w:tc>
          <w:tcPr>
            <w:tcW w:type="dxa" w:w="2640"/>
            <w:shd w:val="clear" w:fill="22222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2640"/>
            <w:shd w:val="clear" w:fill="22222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HEATER</w:t>
            </w:r>
          </w:p>
        </w:tc>
        <w:tc>
          <w:tcPr>
            <w:tcW w:type="dxa" w:w="2640"/>
            <w:shd w:val="clear" w:fill="22222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82096135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TA Mechanical Decoke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PR-170002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4 days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12" w:space="0" w:color="FCC30A"/>
          <w:bottom w:val="single" w:sz="12" w:space="0" w:color="FCC30A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2015"/>
        <w:gridCol w:w="2639"/>
        <w:gridCol w:w="2639"/>
        <w:gridCol w:w="2639"/>
      </w:tblGrid>
      <w:tr>
        <w:tc>
          <w:tcPr>
            <w:tcW w:type="dxa" w:w="201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color w:val="222222"/>
                <w:sz w:val="42"/>
              </w:rPr>
              <w:t>73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color w:val="222222"/>
                <w:sz w:val="42"/>
              </w:rPr>
              <w:t>0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color w:val="222222"/>
                <w:sz w:val="42"/>
              </w:rPr>
              <w:t>64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color w:val="222222"/>
                <w:sz w:val="42"/>
              </w:rPr>
              <w:t>4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color w:val="888888"/>
                <w:sz w:val="15"/>
              </w:rPr>
              <w:t>OPERATING HOURS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color w:val="888888"/>
                <w:sz w:val="15"/>
              </w:rPr>
              <w:t>STAND-BY HOURS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color w:val="888888"/>
                <w:sz w:val="15"/>
              </w:rPr>
              <w:t>PIGS RUN</w:t>
            </w:r>
          </w:p>
        </w:tc>
        <w:tc>
          <w:tcPr>
            <w:tcW w:type="dxa" w:w="264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color w:val="888888"/>
                <w:sz w:val="15"/>
              </w:rPr>
              <w:t>PASSES</w:t>
            </w:r>
          </w:p>
        </w:tc>
      </w:tr>
    </w:tbl>
    <w:p>
      <w:pPr>
        <w:spacing w:before="120" w:after="60"/>
        <w:keepNext/>
        <w:pBdr>
          <w:bottom w:val="single" w:sz="18" w:space="4" w:color="FCC30A"/>
        </w:pBdr>
      </w:pPr>
      <w:r>
        <w:rPr>
          <w:rFonts w:ascii="Arial" w:hAnsi="Arial"/>
          <w:b/>
          <w:color w:val="222222"/>
          <w:sz w:val="26"/>
        </w:rPr>
        <w:t>Project Information</w:t>
      </w:r>
    </w:p>
    <w:p>
      <w:pPr>
        <w:spacing w:before="160" w:after="60"/>
      </w:pPr>
      <w:r>
        <w:rPr>
          <w:rFonts w:ascii="Arial" w:hAnsi="Arial"/>
          <w:b/>
          <w:color w:val="FCC30A"/>
          <w:sz w:val="22"/>
        </w:rPr>
        <w:t>Customer Details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2015"/>
        <w:gridCol w:w="7920"/>
      </w:tblGrid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FACILITY</w:t>
            </w:r>
          </w:p>
        </w:tc>
        <w:tc>
          <w:tcPr>
            <w:tcW w:type="dxa" w:w="792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Cenovus Lima Refinery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ADDRESS</w:t>
            </w:r>
          </w:p>
        </w:tc>
        <w:tc>
          <w:tcPr>
            <w:tcW w:type="dxa" w:w="7920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1150 S Metcalf St, Lima, OH 45804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WORK ORDER</w:t>
            </w:r>
          </w:p>
        </w:tc>
        <w:tc>
          <w:tcPr>
            <w:tcW w:type="dxa" w:w="792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82096135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CONTACT</w:t>
            </w:r>
          </w:p>
        </w:tc>
        <w:tc>
          <w:tcPr>
            <w:tcW w:type="dxa" w:w="7920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Kaleb Dodson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FCC30A"/>
          <w:sz w:val="22"/>
        </w:rPr>
        <w:t>Project Details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2015"/>
        <w:gridCol w:w="7920"/>
      </w:tblGrid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SCOPE</w:t>
            </w:r>
          </w:p>
        </w:tc>
        <w:tc>
          <w:tcPr>
            <w:tcW w:type="dxa" w:w="792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2026 turnaround mechanical decoke of the Coker Furnace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EXECUTION</w:t>
            </w:r>
          </w:p>
        </w:tc>
        <w:tc>
          <w:tcPr>
            <w:tcW w:type="dxa" w:w="7920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September 27 – 30, 2026  (4 days)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HEATER</w:t>
            </w:r>
          </w:p>
        </w:tc>
        <w:tc>
          <w:tcPr>
            <w:tcW w:type="dxa" w:w="792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PR-170002 Coker Furnace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EQUIPMENT</w:t>
            </w:r>
          </w:p>
        </w:tc>
        <w:tc>
          <w:tcPr>
            <w:tcW w:type="dxa" w:w="7920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(1) Trimax Pumper (Trimax 5) · (1) Support Unit · 4x3 Pump · Crew Truck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FCC30A"/>
          <w:sz w:val="22"/>
        </w:rPr>
        <w:t>Crew Details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2015"/>
        <w:gridCol w:w="7920"/>
      </w:tblGrid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PROJECT MANAGER</w:t>
            </w:r>
          </w:p>
        </w:tc>
        <w:tc>
          <w:tcPr>
            <w:tcW w:type="dxa" w:w="792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Peter Campbell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SHIFT LEAD</w:t>
            </w:r>
          </w:p>
        </w:tc>
        <w:tc>
          <w:tcPr>
            <w:tcW w:type="dxa" w:w="7920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Day — Peter Campbell, Jesse Utsey (Sep 30); Night — James McDaniel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DAYSHIFT</w:t>
            </w:r>
          </w:p>
        </w:tc>
        <w:tc>
          <w:tcPr>
            <w:tcW w:type="dxa" w:w="792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Marshall Douglas, Travis Trenholm, Adrian Garza, David Charles, Blake Harman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NIGHTSHIFT</w:t>
            </w:r>
          </w:p>
        </w:tc>
        <w:tc>
          <w:tcPr>
            <w:tcW w:type="dxa" w:w="7920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Mikee Green, Justin Kelly, Jeremiah Harman</w:t>
            </w:r>
          </w:p>
        </w:tc>
      </w:tr>
    </w:tbl>
    <w:p>
      <w:pPr>
        <w:spacing w:before="120" w:after="60"/>
        <w:keepNext/>
        <w:pBdr>
          <w:bottom w:val="single" w:sz="18" w:space="4" w:color="FCC30A"/>
        </w:pBdr>
      </w:pPr>
      <w:r>
        <w:rPr>
          <w:rFonts w:ascii="Arial" w:hAnsi="Arial"/>
          <w:b/>
          <w:color w:val="222222"/>
          <w:sz w:val="26"/>
        </w:rPr>
        <w:t>Project Duration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2015"/>
        <w:gridCol w:w="1584"/>
        <w:gridCol w:w="1584"/>
        <w:gridCol w:w="1584"/>
        <w:gridCol w:w="1584"/>
        <w:gridCol w:w="1584"/>
      </w:tblGrid>
      <w:tr>
        <w:tc>
          <w:tcPr>
            <w:tcW w:type="dxa" w:w="2016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584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RIG</w:t>
            </w:r>
          </w:p>
        </w:tc>
        <w:tc>
          <w:tcPr>
            <w:tcW w:type="dxa" w:w="1584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PIG</w:t>
            </w:r>
          </w:p>
        </w:tc>
        <w:tc>
          <w:tcPr>
            <w:tcW w:type="dxa" w:w="1584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SMART PIG</w:t>
            </w:r>
          </w:p>
        </w:tc>
        <w:tc>
          <w:tcPr>
            <w:tcW w:type="dxa" w:w="1584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SUBTOTAL</w:t>
            </w:r>
          </w:p>
        </w:tc>
      </w:tr>
      <w:tr>
        <w:tc>
          <w:tcPr>
            <w:tcW w:type="dxa" w:w="2016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PR-170002 Coker Furnace</w:t>
            </w:r>
          </w:p>
        </w:tc>
        <w:tc>
          <w:tcPr>
            <w:tcW w:type="dxa" w:w="1584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Trimax 5</w:t>
            </w:r>
          </w:p>
        </w:tc>
        <w:tc>
          <w:tcPr>
            <w:tcW w:type="dxa" w:w="1584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22</w:t>
            </w:r>
          </w:p>
        </w:tc>
        <w:tc>
          <w:tcPr>
            <w:tcW w:type="dxa" w:w="1584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51</w:t>
            </w:r>
          </w:p>
        </w:tc>
        <w:tc>
          <w:tcPr>
            <w:tcW w:type="dxa" w:w="1584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0</w:t>
            </w:r>
          </w:p>
        </w:tc>
        <w:tc>
          <w:tcPr>
            <w:tcW w:type="dxa" w:w="1584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73</w:t>
            </w:r>
          </w:p>
        </w:tc>
      </w:tr>
    </w:tbl>
    <w:p>
      <w:pPr>
        <w:spacing w:before="120" w:after="60"/>
        <w:keepNext/>
        <w:pBdr>
          <w:bottom w:val="single" w:sz="18" w:space="4" w:color="FCC30A"/>
        </w:pBdr>
      </w:pPr>
      <w:r>
        <w:rPr>
          <w:rFonts w:ascii="Arial" w:hAnsi="Arial"/>
          <w:b/>
          <w:color w:val="222222"/>
          <w:sz w:val="26"/>
        </w:rPr>
        <w:t>Stand-By Summary</w:t>
      </w:r>
    </w:p>
    <w:p>
      <w:pPr>
        <w:spacing w:before="40" w:after="120" w:line="276" w:lineRule="auto"/>
      </w:pPr>
      <w:r>
        <w:rPr>
          <w:rFonts w:ascii="Arial" w:hAnsi="Arial"/>
          <w:b w:val="0"/>
          <w:color w:val="555555"/>
          <w:sz w:val="20"/>
        </w:rPr>
        <w:t>No stand-by was recorded on the daily service receipts: all 73 pumping-unit hours on this heater were operating hours.</w:t>
      </w:r>
    </w:p>
    <w:p>
      <w:pPr>
        <w:keepNext/>
        <w:spacing w:before="0" w:after="0" w:line="320" w:lineRule="exact"/>
      </w:pP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222222"/>
          <w:left w:val="single" w:sz="4" w:space="0" w:color="222222"/>
          <w:bottom w:val="single" w:sz="4" w:space="0" w:color="222222"/>
          <w:right w:val="single" w:sz="4" w:space="0" w:color="222222"/>
          <w:insideH w:val="single" w:sz="4" w:space="0" w:color="222222"/>
          <w:insideV w:val="single" w:sz="4" w:space="0" w:color="222222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9936"/>
      </w:tblGrid>
      <w:tr>
        <w:tc>
          <w:tcPr>
            <w:tcW w:type="dxa" w:w="9936"/>
            <w:shd w:val="clear" w:fill="222222"/>
            <w:tcBorders>
              <w:bottom w:val="single" w:sz="18" w:space="0" w:color="FCC30A"/>
            </w:tcBorders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PR-170002  —  Coker Furnace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2015"/>
        <w:gridCol w:w="7920"/>
      </w:tblGrid>
      <w:tr>
        <w:tc>
          <w:tcPr>
            <w:tcW w:type="dxa" w:w="2016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Number of Passes</w:t>
            </w:r>
          </w:p>
        </w:tc>
        <w:tc>
          <w:tcPr>
            <w:tcW w:type="dxa" w:w="7920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4, pigged as 3 circuits: convection (4 coils looped as one), radiant A + B, radiant C + D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Total Footage</w:t>
            </w:r>
          </w:p>
        </w:tc>
        <w:tc>
          <w:tcPr>
            <w:tcW w:type="dxa" w:w="7920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15,904 ft  (3,976 ft per pass)</w:t>
            </w:r>
          </w:p>
        </w:tc>
      </w:tr>
      <w:tr>
        <w:tc>
          <w:tcPr>
            <w:tcW w:type="dxa" w:w="2016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Tube ID</w:t>
            </w:r>
          </w:p>
        </w:tc>
        <w:tc>
          <w:tcPr>
            <w:tcW w:type="dxa" w:w="7920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3.398" (4" OD tube); radiant outlet section 3.624" (4" Sch 120)</w:t>
            </w:r>
          </w:p>
        </w:tc>
      </w:tr>
      <w:tr>
        <w:tc>
          <w:tcPr>
            <w:tcW w:type="dxa" w:w="2016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Metallurgy</w:t>
            </w:r>
          </w:p>
        </w:tc>
        <w:tc>
          <w:tcPr>
            <w:tcW w:type="dxa" w:w="7920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9Cr-1Mo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Return Bends</w:t>
            </w:r>
          </w:p>
        </w:tc>
        <w:tc>
          <w:tcPr>
            <w:tcW w:type="dxa" w:w="7920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20"/>
              </w:rPr>
              <w:t>Cast 180° U-bends</w:t>
            </w:r>
          </w:p>
        </w:tc>
      </w:tr>
    </w:tbl>
    <w:p>
      <w:pPr>
        <w:spacing w:before="40" w:after="120" w:line="276" w:lineRule="auto"/>
      </w:pPr>
      <w:r>
        <w:rPr>
          <w:rFonts w:ascii="Arial" w:hAnsi="Arial"/>
          <w:b/>
          <w:color w:val="222222"/>
          <w:sz w:val="20"/>
        </w:rPr>
        <w:t xml:space="preserve">Decoking Analysis:  </w:t>
      </w:r>
      <w:r>
        <w:rPr>
          <w:rFonts w:ascii="Arial" w:hAnsi="Arial"/>
          <w:b w:val="0"/>
          <w:color w:val="555555"/>
          <w:sz w:val="20"/>
        </w:rPr>
        <w:t>The convection section showed light fouling and the radiant section moderate fouling. The crossovers were removed, the convection was pigged as a single circuit, and the radiant passes were looped A + B and C + D with temporary 180° returns at the radiant inlet flanges. Average pigging time was approximately 51 hours per circuit.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894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-PR-1700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894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Arial" w:hAnsi="Arial"/>
          <w:b w:val="0"/>
          <w:color w:val="888888"/>
          <w:sz w:val="16"/>
        </w:rPr>
        <w:t>PR-170002 - task hours by shift, from the daily service receipts.</w:t>
      </w:r>
    </w:p>
    <w:p>
      <w:pPr>
        <w:keepNext/>
        <w:spacing w:before="160" w:after="60"/>
      </w:pPr>
      <w:r>
        <w:rPr>
          <w:rFonts w:ascii="Arial" w:hAnsi="Arial"/>
          <w:b/>
          <w:color w:val="FCC30A"/>
          <w:sz w:val="22"/>
        </w:rPr>
        <w:t>Pigs Used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CellMar>
          <w:top w:w="8" w:type="dxa"/>
          <w:bottom w:w="8" w:type="dxa"/>
          <w:left w:w="60" w:type="dxa"/>
          <w:right w:w="6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SIZE — QTY</w:t>
            </w:r>
          </w:p>
        </w:tc>
        <w:tc>
          <w:tcPr>
            <w:tcW w:type="dxa" w:w="1987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SIZE — QTY</w:t>
            </w:r>
          </w:p>
        </w:tc>
        <w:tc>
          <w:tcPr>
            <w:tcW w:type="dxa" w:w="1987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SIZE — QTY</w:t>
            </w:r>
          </w:p>
        </w:tc>
        <w:tc>
          <w:tcPr>
            <w:tcW w:type="dxa" w:w="1987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SIZE — QTY</w:t>
            </w:r>
          </w:p>
        </w:tc>
        <w:tc>
          <w:tcPr>
            <w:tcW w:type="dxa" w:w="1987"/>
            <w:shd w:val="clear" w:fill="222222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SIZE — QTY</w:t>
            </w:r>
          </w:p>
        </w:tc>
      </w:tr>
      <w:tr>
        <w:tc>
          <w:tcPr>
            <w:tcW w:type="dxa" w:w="198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7"/>
              </w:rPr>
              <w:t>3"  —  3</w:t>
            </w:r>
          </w:p>
        </w:tc>
        <w:tc>
          <w:tcPr>
            <w:tcW w:type="dxa" w:w="198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7"/>
              </w:rPr>
              <w:t>3.25"  —  6</w:t>
            </w:r>
          </w:p>
        </w:tc>
        <w:tc>
          <w:tcPr>
            <w:tcW w:type="dxa" w:w="198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7"/>
              </w:rPr>
              <w:t>3.5"  —  6</w:t>
            </w:r>
          </w:p>
        </w:tc>
        <w:tc>
          <w:tcPr>
            <w:tcW w:type="dxa" w:w="198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7"/>
              </w:rPr>
              <w:t>3.75"  —  14</w:t>
            </w:r>
          </w:p>
        </w:tc>
        <w:tc>
          <w:tcPr>
            <w:tcW w:type="dxa" w:w="198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7"/>
              </w:rPr>
              <w:t>4"  —  2</w:t>
            </w:r>
          </w:p>
        </w:tc>
      </w:tr>
      <w:tr>
        <w:tc>
          <w:tcPr>
            <w:tcW w:type="dxa" w:w="1987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7"/>
              </w:rPr>
              <w:t>3.125"  —  3</w:t>
            </w:r>
          </w:p>
        </w:tc>
        <w:tc>
          <w:tcPr>
            <w:tcW w:type="dxa" w:w="1987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7"/>
              </w:rPr>
              <w:t>3.375"  —  5</w:t>
            </w:r>
          </w:p>
        </w:tc>
        <w:tc>
          <w:tcPr>
            <w:tcW w:type="dxa" w:w="1987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7"/>
              </w:rPr>
              <w:t>3.625"  —  21</w:t>
            </w:r>
          </w:p>
        </w:tc>
        <w:tc>
          <w:tcPr>
            <w:tcW w:type="dxa" w:w="1987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7"/>
              </w:rPr>
              <w:t>3.875"  —  4</w:t>
            </w:r>
          </w:p>
        </w:tc>
        <w:tc>
          <w:tcPr>
            <w:tcW w:type="dxa" w:w="1987"/>
            <w:shd w:val="clear" w:fill="F7F7F7"/>
          </w:tcPr>
          <w:p>
            <w:pPr>
              <w:keepNext/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7"/>
              </w:rPr>
            </w:r>
          </w:p>
        </w:tc>
      </w:tr>
      <w:tr>
        <w:tc>
          <w:tcPr>
            <w:tcW w:type="dxa" w:w="1987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TOTAL  —  64</w:t>
            </w:r>
          </w:p>
        </w:tc>
        <w:tc>
          <w:tcPr>
            <w:tcW w:type="dxa" w:w="1987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1987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1987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  <w:tc>
          <w:tcPr>
            <w:tcW w:type="dxa" w:w="1987"/>
            <w:shd w:val="clear" w:fill="F7F7F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/>
                <w:b w:val="0"/>
                <w:color w:val="555555"/>
                <w:sz w:val="16"/>
              </w:rPr>
            </w:r>
          </w:p>
        </w:tc>
      </w:tr>
    </w:tbl>
    <w:p>
      <w:pPr>
        <w:keepNext/>
        <w:spacing w:before="160" w:after="60"/>
      </w:pPr>
      <w:r>
        <w:rPr>
          <w:rFonts w:ascii="Arial" w:hAnsi="Arial"/>
          <w:b/>
          <w:color w:val="FCC30A"/>
          <w:sz w:val="22"/>
        </w:rPr>
        <w:t>Flow Tests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" w:type="dxa"/>
          <w:bottom w:w="8" w:type="dxa"/>
          <w:left w:w="60" w:type="dxa"/>
          <w:right w:w="60" w:type="dxa"/>
        </w:tblCellMar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</w:tcPr>
          <w:p>
            <w:pPr>
              <w:spacing w:before="120" w:after="40"/>
            </w:pPr>
            <w:r/>
            <w:r>
              <w:rPr>
                <w:rFonts w:ascii="Arial" w:hAnsi="Arial"/>
                <w:b/>
                <w:color w:val="FCC30A"/>
                <w:sz w:val="19"/>
              </w:rPr>
              <w:t>All convection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Layout w:type="fixed"/>
              <w:tblBorders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  <w:insideH w:val="single" w:sz="4" w:space="0" w:color="DDDDDD"/>
                <w:insideV w:val="single" w:sz="4" w:space="0" w:color="DDDDDD"/>
              </w:tblBorders>
              <w:tblCellMar>
                <w:top w:w="8" w:type="dxa"/>
                <w:bottom w:w="8" w:type="dxa"/>
                <w:left w:w="60" w:type="dxa"/>
                <w:right w:w="60" w:type="dxa"/>
              </w:tblCellMar>
            </w:tblPr>
            <w:tblGrid>
              <w:gridCol w:w="684"/>
              <w:gridCol w:w="840"/>
              <w:gridCol w:w="840"/>
              <w:gridCol w:w="746"/>
            </w:tblGrid>
            <w:tr>
              <w:tc>
                <w:tcPr>
                  <w:tcW w:type="dxa" w:w="68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GPM</w:t>
                  </w:r>
                </w:p>
              </w:tc>
              <w:tc>
                <w:tcPr>
                  <w:tcW w:type="dxa" w:w="840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BEFORE PSI</w:t>
                  </w:r>
                </w:p>
              </w:tc>
              <w:tc>
                <w:tcPr>
                  <w:tcW w:type="dxa" w:w="840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AFTER PSI</w:t>
                  </w:r>
                </w:p>
              </w:tc>
              <w:tc>
                <w:tcPr>
                  <w:tcW w:type="dxa" w:w="747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Δ PSI</w:t>
                  </w:r>
                </w:p>
              </w:tc>
            </w:tr>
            <w:tr>
              <w:tc>
                <w:tcPr>
                  <w:tcW w:type="dxa" w:w="68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350</w:t>
                  </w:r>
                </w:p>
              </w:tc>
              <w:tc>
                <w:tcPr>
                  <w:tcW w:type="dxa" w:w="840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435</w:t>
                  </w:r>
                </w:p>
              </w:tc>
              <w:tc>
                <w:tcPr>
                  <w:tcW w:type="dxa" w:w="840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375</w:t>
                  </w:r>
                </w:p>
              </w:tc>
              <w:tc>
                <w:tcPr>
                  <w:tcW w:type="dxa" w:w="74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60</w:t>
                  </w:r>
                </w:p>
              </w:tc>
            </w:tr>
            <w:tr>
              <w:tc>
                <w:tcPr>
                  <w:tcW w:type="dxa" w:w="68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300</w:t>
                  </w:r>
                </w:p>
              </w:tc>
              <w:tc>
                <w:tcPr>
                  <w:tcW w:type="dxa" w:w="840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330</w:t>
                  </w:r>
                </w:p>
              </w:tc>
              <w:tc>
                <w:tcPr>
                  <w:tcW w:type="dxa" w:w="840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290</w:t>
                  </w:r>
                </w:p>
              </w:tc>
              <w:tc>
                <w:tcPr>
                  <w:tcW w:type="dxa" w:w="747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40</w:t>
                  </w:r>
                </w:p>
              </w:tc>
            </w:tr>
            <w:tr>
              <w:tc>
                <w:tcPr>
                  <w:tcW w:type="dxa" w:w="68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250</w:t>
                  </w:r>
                </w:p>
              </w:tc>
              <w:tc>
                <w:tcPr>
                  <w:tcW w:type="dxa" w:w="840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220</w:t>
                  </w:r>
                </w:p>
              </w:tc>
              <w:tc>
                <w:tcPr>
                  <w:tcW w:type="dxa" w:w="840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180</w:t>
                  </w:r>
                </w:p>
              </w:tc>
              <w:tc>
                <w:tcPr>
                  <w:tcW w:type="dxa" w:w="74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40</w:t>
                  </w:r>
                </w:p>
              </w:tc>
            </w:tr>
          </w:tbl>
          <w:p/>
        </w:tc>
        <w:tc>
          <w:tcPr>
            <w:tcW w:type="dxa" w:w="3312"/>
          </w:tcPr>
          <w:p>
            <w:pPr>
              <w:spacing w:before="120" w:after="40"/>
            </w:pPr>
            <w:r/>
            <w:r>
              <w:rPr>
                <w:rFonts w:ascii="Arial" w:hAnsi="Arial"/>
                <w:b/>
                <w:color w:val="FCC30A"/>
                <w:sz w:val="19"/>
              </w:rPr>
              <w:t>Passes A + B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Layout w:type="fixed"/>
              <w:tblBorders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  <w:insideH w:val="single" w:sz="4" w:space="0" w:color="DDDDDD"/>
                <w:insideV w:val="single" w:sz="4" w:space="0" w:color="DDDDDD"/>
              </w:tblBorders>
              <w:tblCellMar>
                <w:top w:w="8" w:type="dxa"/>
                <w:bottom w:w="8" w:type="dxa"/>
                <w:left w:w="60" w:type="dxa"/>
                <w:right w:w="60" w:type="dxa"/>
              </w:tblCellMar>
            </w:tblPr>
            <w:tblGrid>
              <w:gridCol w:w="684"/>
              <w:gridCol w:w="840"/>
              <w:gridCol w:w="840"/>
              <w:gridCol w:w="746"/>
            </w:tblGrid>
            <w:tr>
              <w:tc>
                <w:tcPr>
                  <w:tcW w:type="dxa" w:w="68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GPM</w:t>
                  </w:r>
                </w:p>
              </w:tc>
              <w:tc>
                <w:tcPr>
                  <w:tcW w:type="dxa" w:w="840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BEFORE PSI</w:t>
                  </w:r>
                </w:p>
              </w:tc>
              <w:tc>
                <w:tcPr>
                  <w:tcW w:type="dxa" w:w="840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AFTER PSI</w:t>
                  </w:r>
                </w:p>
              </w:tc>
              <w:tc>
                <w:tcPr>
                  <w:tcW w:type="dxa" w:w="747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Δ PSI</w:t>
                  </w:r>
                </w:p>
              </w:tc>
            </w:tr>
            <w:tr>
              <w:tc>
                <w:tcPr>
                  <w:tcW w:type="dxa" w:w="68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350</w:t>
                  </w:r>
                </w:p>
              </w:tc>
              <w:tc>
                <w:tcPr>
                  <w:tcW w:type="dxa" w:w="840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370</w:t>
                  </w:r>
                </w:p>
              </w:tc>
              <w:tc>
                <w:tcPr>
                  <w:tcW w:type="dxa" w:w="840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275</w:t>
                  </w:r>
                </w:p>
              </w:tc>
              <w:tc>
                <w:tcPr>
                  <w:tcW w:type="dxa" w:w="74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95</w:t>
                  </w:r>
                </w:p>
              </w:tc>
            </w:tr>
            <w:tr>
              <w:tc>
                <w:tcPr>
                  <w:tcW w:type="dxa" w:w="68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300</w:t>
                  </w:r>
                </w:p>
              </w:tc>
              <w:tc>
                <w:tcPr>
                  <w:tcW w:type="dxa" w:w="840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290</w:t>
                  </w:r>
                </w:p>
              </w:tc>
              <w:tc>
                <w:tcPr>
                  <w:tcW w:type="dxa" w:w="840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200</w:t>
                  </w:r>
                </w:p>
              </w:tc>
              <w:tc>
                <w:tcPr>
                  <w:tcW w:type="dxa" w:w="747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90</w:t>
                  </w:r>
                </w:p>
              </w:tc>
            </w:tr>
            <w:tr>
              <w:tc>
                <w:tcPr>
                  <w:tcW w:type="dxa" w:w="68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250</w:t>
                  </w:r>
                </w:p>
              </w:tc>
              <w:tc>
                <w:tcPr>
                  <w:tcW w:type="dxa" w:w="840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210</w:t>
                  </w:r>
                </w:p>
              </w:tc>
              <w:tc>
                <w:tcPr>
                  <w:tcW w:type="dxa" w:w="840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146</w:t>
                  </w:r>
                </w:p>
              </w:tc>
              <w:tc>
                <w:tcPr>
                  <w:tcW w:type="dxa" w:w="74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64</w:t>
                  </w:r>
                </w:p>
              </w:tc>
            </w:tr>
          </w:tbl>
          <w:p/>
        </w:tc>
        <w:tc>
          <w:tcPr>
            <w:tcW w:type="dxa" w:w="3312"/>
          </w:tcPr>
          <w:p>
            <w:pPr>
              <w:spacing w:before="120" w:after="40"/>
            </w:pPr>
            <w:r/>
            <w:r>
              <w:rPr>
                <w:rFonts w:ascii="Arial" w:hAnsi="Arial"/>
                <w:b/>
                <w:color w:val="FCC30A"/>
                <w:sz w:val="19"/>
              </w:rPr>
              <w:t>Passes C + D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Layout w:type="fixed"/>
              <w:tblBorders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  <w:insideH w:val="single" w:sz="4" w:space="0" w:color="DDDDDD"/>
                <w:insideV w:val="single" w:sz="4" w:space="0" w:color="DDDDDD"/>
              </w:tblBorders>
              <w:tblCellMar>
                <w:top w:w="8" w:type="dxa"/>
                <w:bottom w:w="8" w:type="dxa"/>
                <w:left w:w="60" w:type="dxa"/>
                <w:right w:w="60" w:type="dxa"/>
              </w:tblCellMar>
            </w:tblPr>
            <w:tblGrid>
              <w:gridCol w:w="684"/>
              <w:gridCol w:w="840"/>
              <w:gridCol w:w="840"/>
              <w:gridCol w:w="746"/>
            </w:tblGrid>
            <w:tr>
              <w:tc>
                <w:tcPr>
                  <w:tcW w:type="dxa" w:w="685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GPM</w:t>
                  </w:r>
                </w:p>
              </w:tc>
              <w:tc>
                <w:tcPr>
                  <w:tcW w:type="dxa" w:w="840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BEFORE PSI</w:t>
                  </w:r>
                </w:p>
              </w:tc>
              <w:tc>
                <w:tcPr>
                  <w:tcW w:type="dxa" w:w="840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AFTER PSI</w:t>
                  </w:r>
                </w:p>
              </w:tc>
              <w:tc>
                <w:tcPr>
                  <w:tcW w:type="dxa" w:w="747"/>
                  <w:shd w:val="clear" w:fill="222222"/>
                </w:tcPr>
                <w:p>
                  <w:pPr>
                    <w:spacing w:before="20" w:after="20" w:line="240" w:lineRule="auto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Δ PSI</w:t>
                  </w:r>
                </w:p>
              </w:tc>
            </w:tr>
            <w:tr>
              <w:tc>
                <w:tcPr>
                  <w:tcW w:type="dxa" w:w="68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350</w:t>
                  </w:r>
                </w:p>
              </w:tc>
              <w:tc>
                <w:tcPr>
                  <w:tcW w:type="dxa" w:w="840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419</w:t>
                  </w:r>
                </w:p>
              </w:tc>
              <w:tc>
                <w:tcPr>
                  <w:tcW w:type="dxa" w:w="840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287</w:t>
                  </w:r>
                </w:p>
              </w:tc>
              <w:tc>
                <w:tcPr>
                  <w:tcW w:type="dxa" w:w="74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132</w:t>
                  </w:r>
                </w:p>
              </w:tc>
            </w:tr>
            <w:tr>
              <w:tc>
                <w:tcPr>
                  <w:tcW w:type="dxa" w:w="685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300</w:t>
                  </w:r>
                </w:p>
              </w:tc>
              <w:tc>
                <w:tcPr>
                  <w:tcW w:type="dxa" w:w="840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320</w:t>
                  </w:r>
                </w:p>
              </w:tc>
              <w:tc>
                <w:tcPr>
                  <w:tcW w:type="dxa" w:w="840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219</w:t>
                  </w:r>
                </w:p>
              </w:tc>
              <w:tc>
                <w:tcPr>
                  <w:tcW w:type="dxa" w:w="747"/>
                  <w:shd w:val="clear" w:fill="F7F7F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101</w:t>
                  </w:r>
                </w:p>
              </w:tc>
            </w:tr>
            <w:tr>
              <w:tc>
                <w:tcPr>
                  <w:tcW w:type="dxa" w:w="685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250</w:t>
                  </w:r>
                </w:p>
              </w:tc>
              <w:tc>
                <w:tcPr>
                  <w:tcW w:type="dxa" w:w="840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225</w:t>
                  </w:r>
                </w:p>
              </w:tc>
              <w:tc>
                <w:tcPr>
                  <w:tcW w:type="dxa" w:w="840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159</w:t>
                  </w:r>
                </w:p>
              </w:tc>
              <w:tc>
                <w:tcPr>
                  <w:tcW w:type="dxa" w:w="747"/>
                </w:tcPr>
                <w:p>
                  <w:pPr>
                    <w:spacing w:before="20" w:after="20" w:line="240" w:lineRule="auto"/>
                    <w:jc w:val="center"/>
                  </w:pPr>
                  <w:r/>
                  <w:r>
                    <w:rPr>
                      <w:rFonts w:ascii="Arial" w:hAnsi="Arial"/>
                      <w:b w:val="0"/>
                      <w:color w:val="555555"/>
                      <w:sz w:val="17"/>
                    </w:rPr>
                    <w:t>66</w:t>
                  </w:r>
                </w:p>
              </w:tc>
            </w:tr>
          </w:tbl>
          <w:p/>
        </w:tc>
      </w:tr>
    </w:tbl>
    <w:p>
      <w:pPr>
        <w:spacing w:before="120" w:after="60"/>
        <w:keepNext/>
        <w:pBdr>
          <w:bottom w:val="single" w:sz="18" w:space="4" w:color="FCC30A"/>
        </w:pBdr>
      </w:pPr>
      <w:r>
        <w:rPr>
          <w:rFonts w:ascii="Arial" w:hAnsi="Arial"/>
          <w:b/>
          <w:color w:val="222222"/>
          <w:sz w:val="26"/>
        </w:rPr>
        <w:t>Project Summary</w:t>
      </w:r>
    </w:p>
    <w:p>
      <w:pPr>
        <w:spacing w:before="40" w:after="120" w:line="276" w:lineRule="auto"/>
      </w:pPr>
      <w:r>
        <w:rPr>
          <w:rFonts w:ascii="Arial" w:hAnsi="Arial"/>
          <w:b w:val="0"/>
          <w:color w:val="555555"/>
          <w:sz w:val="20"/>
        </w:rPr>
        <w:t>USADebusk performed the mechanical decoke of the Coker Furnace (PR-170002) for Cenovus at the Lima Refinery during the 2026 turnaround, September 27 – 30, on Trimax 5. The crossovers were removed and the heater was pigged as three circuits: the convection as one, and the radiant passes looped A + B and C + D. The heater ran 73 operating hours with no stand-by, using 64 pigs.</w:t>
      </w:r>
    </w:p>
    <w:p>
      <w:pPr>
        <w:spacing w:before="120" w:after="60"/>
        <w:keepNext/>
        <w:pBdr>
          <w:bottom w:val="single" w:sz="18" w:space="4" w:color="FCC30A"/>
        </w:pBdr>
      </w:pPr>
      <w:r>
        <w:rPr>
          <w:rFonts w:ascii="Arial" w:hAnsi="Arial"/>
          <w:b/>
          <w:color w:val="222222"/>
          <w:sz w:val="26"/>
        </w:rPr>
        <w:t>Project Close</w:t>
      </w:r>
    </w:p>
    <w:p>
      <w:pPr>
        <w:spacing w:before="40" w:after="120" w:line="276" w:lineRule="auto"/>
      </w:pPr>
      <w:r>
        <w:rPr>
          <w:rFonts w:ascii="Arial" w:hAnsi="Arial"/>
          <w:b w:val="0"/>
          <w:color w:val="555555"/>
          <w:sz w:val="20"/>
        </w:rPr>
        <w:t>The Coker Furnace was cleaned and returned to Cenovus, and all equipment was demobilized from the facility on September 30, 2026.</w:t>
      </w:r>
    </w:p>
    <w:p>
      <w:pPr>
        <w:keepNext/>
        <w:spacing w:before="40" w:after="120" w:line="276" w:lineRule="auto"/>
      </w:pPr>
      <w:r>
        <w:rPr>
          <w:rFonts w:ascii="Arial" w:hAnsi="Arial"/>
          <w:b w:val="0"/>
          <w:color w:val="555555"/>
          <w:sz w:val="20"/>
        </w:rPr>
        <w:t>USADebusk thanks the Cenovus Lima team for their coordination and support throughout the turnaround, and we look forward to continuing to serve your decoking and pigging needs.</w:t>
      </w:r>
    </w:p>
    <w:p>
      <w:pPr>
        <w:keepNext/>
        <w:spacing w:before="200" w:after="0"/>
      </w:pPr>
      <w:r>
        <w:rPr>
          <w:rFonts w:ascii="Arial" w:hAnsi="Arial"/>
          <w:b/>
          <w:color w:val="222222"/>
          <w:sz w:val="20"/>
        </w:rPr>
        <w:t>Jesse Utsey  |  Project Manager, USADebusk</w:t>
      </w:r>
    </w:p>
    <w:p>
      <w:pPr>
        <w:keepNext w:val="0"/>
        <w:spacing w:before="0" w:after="0"/>
      </w:pPr>
      <w:r>
        <w:rPr>
          <w:rFonts w:ascii="Arial" w:hAnsi="Arial"/>
          <w:b w:val="0"/>
          <w:color w:val="222222"/>
          <w:sz w:val="20"/>
        </w:rPr>
        <w:t>713-252-8516  |  JUtsey@USADebusk.com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1152" w:bottom="1008" w:left="1152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888888"/>
        <w:sz w:val="16"/>
      </w:rPr>
      <w:t>USADebusk  |  Deer Park, TX  |  usadebusk.com</w:t>
    </w:r>
    <w:r>
      <w:rPr>
        <w:rFonts w:ascii="Arial" w:hAnsi="Arial"/>
        <w:b w:val="0"/>
        <w:color w:val="888888"/>
        <w:sz w:val="16"/>
      </w:rPr>
      <w:t xml:space="preserve">          </w:t>
    </w:r>
    <w:r>
      <w:rPr>
        <w:rFonts w:ascii="Arial" w:hAnsi="Arial"/>
        <w:color w:val="888888"/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spacing w:before="0" w:after="0"/>
          </w:pPr>
          <w:r/>
          <w:r>
            <w:drawing>
              <wp:inline xmlns:a="http://schemas.openxmlformats.org/drawingml/2006/main" xmlns:pic="http://schemas.openxmlformats.org/drawingml/2006/picture">
                <wp:extent cx="1708570" cy="25603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ebusk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8570" cy="25603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spacing w:before="0" w:after="0"/>
            <w:jc w:val="right"/>
          </w:pPr>
          <w:r/>
          <w:r>
            <w:rPr>
              <w:rFonts w:ascii="Arial" w:hAnsi="Arial"/>
              <w:b/>
              <w:color w:val="222222"/>
              <w:sz w:val="18"/>
            </w:rPr>
            <w:t>JR-DCK-CEN26046-CKR  |  REV 0</w:t>
          </w:r>
        </w:p>
        <w:p>
          <w:pPr>
            <w:spacing w:before="0" w:after="0"/>
            <w:jc w:val="right"/>
          </w:pPr>
          <w:r>
            <w:rPr>
              <w:rFonts w:ascii="Arial" w:hAnsi="Arial"/>
              <w:b w:val="0"/>
              <w:color w:val="888888"/>
              <w:sz w:val="16"/>
            </w:rPr>
            <w:t>Pigging / Decoking  |  PR-170002 Coker  |  Cenovus Lima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