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pPr>
      <w:r>
        <w:rPr>
          <w:rFonts w:ascii="Arial" w:cs="Arial" w:eastAsia="Arial" w:hAnsi="Arial"/>
          <w:b/>
          <w:bCs/>
          <w:color w:val="F2A900"/>
          <w:sz w:val="24"/>
          <w:szCs w:val="24"/>
        </w:rPr>
        <w:t xml:space="preserve">EMERGENCY MECHANICAL DECOKE</w:t>
      </w:r>
    </w:p>
    <w:p>
      <w:pPr>
        <w:spacing w:after="60"/>
      </w:pPr>
      <w:r>
        <w:rPr>
          <w:rFonts w:ascii="Arial" w:cs="Arial" w:eastAsia="Arial" w:hAnsi="Arial"/>
          <w:b/>
          <w:bCs/>
          <w:color w:val="222222"/>
          <w:sz w:val="52"/>
          <w:szCs w:val="52"/>
        </w:rPr>
        <w:t xml:space="preserve">HF Sinclair Navajo — H-19 &amp; H-20 Emergency Decoke</w:t>
      </w:r>
    </w:p>
    <w:p>
      <w:pPr>
        <w:spacing w:after="200" w:before="0"/>
      </w:pPr>
      <w:r>
        <w:rPr>
          <w:rFonts w:ascii="Arial" w:cs="Arial" w:eastAsia="Arial" w:hAnsi="Arial"/>
          <w:b w:val="false"/>
          <w:bCs w:val="false"/>
          <w:i w:val="false"/>
          <w:iCs w:val="false"/>
          <w:color w:val="333333"/>
          <w:sz w:val="22"/>
          <w:szCs w:val="22"/>
        </w:rPr>
        <w:t xml:space="preserve">Job Report  |  USA DeBusk  |  HF Sinclair Navajo Refinery — Artesia, NM</w:t>
      </w:r>
    </w:p>
    <w:tbl>
      <w:tblPr>
        <w:tblW w:type="dxa" w:w="10080"/>
        <w:tblBorders>
          <w:top w:val="single" w:color="DDDDDD" w:sz="2"/>
          <w:left w:val="single" w:color="DDDDDD" w:sz="2"/>
          <w:bottom w:val="single" w:color="DDDDDD" w:sz="2"/>
          <w:right w:val="single" w:color="DDDDDD" w:sz="2"/>
          <w:insideH w:val="single" w:color="DDDDDD" w:sz="2"/>
          <w:insideV w:val="single" w:color="DDDDDD" w:sz="2"/>
        </w:tblBorders>
      </w:tblPr>
      <w:tblGrid>
        <w:gridCol w:w="2520"/>
        <w:gridCol w:w="2520"/>
        <w:gridCol w:w="2520"/>
        <w:gridCol w:w="2520"/>
      </w:tblGrid>
      <w:tr>
        <w:trPr>
          <w:tblHeader/>
        </w:trPr>
        <w:tc>
          <w:tcPr>
            <w:tcW w:type="dxa" w:w="252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JOB NO.</w:t>
            </w:r>
          </w:p>
        </w:tc>
        <w:tc>
          <w:tcPr>
            <w:tcW w:type="dxa" w:w="252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FACILITY</w:t>
            </w:r>
          </w:p>
        </w:tc>
        <w:tc>
          <w:tcPr>
            <w:tcW w:type="dxa" w:w="252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EXECUTION</w:t>
            </w:r>
          </w:p>
        </w:tc>
        <w:tc>
          <w:tcPr>
            <w:tcW w:type="dxa" w:w="252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PROJECT MANAGER</w:t>
            </w:r>
          </w:p>
        </w:tc>
      </w:tr>
      <w:tr>
        <w:tc>
          <w:tcPr>
            <w:tcW w:type="dxa" w:w="25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USA26038</w:t>
            </w:r>
          </w:p>
        </w:tc>
        <w:tc>
          <w:tcPr>
            <w:tcW w:type="dxa" w:w="25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HF Sinclair Navajo</w:t>
            </w:r>
          </w:p>
        </w:tc>
        <w:tc>
          <w:tcPr>
            <w:tcW w:type="dxa" w:w="25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Jul 10 – 17, 2026</w:t>
            </w:r>
          </w:p>
        </w:tc>
        <w:tc>
          <w:tcPr>
            <w:tcW w:type="dxa" w:w="25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Dacorey Slater</w:t>
            </w:r>
          </w:p>
        </w:tc>
      </w:tr>
      <w:tr>
        <w:trPr>
          <w:tblHeader/>
        </w:trPr>
        <w:tc>
          <w:tcPr>
            <w:tcW w:type="dxa" w:w="252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PO NO.</w:t>
            </w:r>
          </w:p>
        </w:tc>
        <w:tc>
          <w:tcPr>
            <w:tcW w:type="dxa" w:w="252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SCOPE</w:t>
            </w:r>
          </w:p>
        </w:tc>
        <w:tc>
          <w:tcPr>
            <w:tcW w:type="dxa" w:w="252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HEATERS</w:t>
            </w:r>
          </w:p>
        </w:tc>
        <w:tc>
          <w:tcPr>
            <w:tcW w:type="dxa" w:w="252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DURATION</w:t>
            </w:r>
          </w:p>
        </w:tc>
      </w:tr>
      <w:tr>
        <w:tc>
          <w:tcPr>
            <w:tcW w:type="dxa" w:w="25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PO-4200010828</w:t>
            </w:r>
          </w:p>
        </w:tc>
        <w:tc>
          <w:tcPr>
            <w:tcW w:type="dxa" w:w="25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Emergency Decoke · Filtration</w:t>
            </w:r>
          </w:p>
        </w:tc>
        <w:tc>
          <w:tcPr>
            <w:tcW w:type="dxa" w:w="25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w:t>
            </w:r>
          </w:p>
        </w:tc>
        <w:tc>
          <w:tcPr>
            <w:tcW w:type="dxa" w:w="25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8 days</w:t>
            </w:r>
          </w:p>
        </w:tc>
      </w:tr>
    </w:tbl>
    <w:p>
      <w:pPr>
        <w:spacing w:after="60"/>
      </w:pPr>
    </w:p>
    <w:tbl>
      <w:tblPr>
        <w:tblW w:type="dxa" w:w="10080"/>
        <w:tblBorders>
          <w:top w:val="single" w:color="F2A900" w:sz="14"/>
          <w:left w:val="none" w:color="auto" w:sz="0"/>
          <w:bottom w:val="single" w:color="F2A900" w:sz="14"/>
          <w:right w:val="none" w:color="auto" w:sz="0"/>
          <w:insideH w:val="none" w:color="auto" w:sz="0"/>
          <w:insideV w:val="none" w:color="auto" w:sz="0"/>
        </w:tblBorders>
      </w:tblPr>
      <w:tblGrid>
        <w:gridCol w:w="2520"/>
        <w:gridCol w:w="2520"/>
        <w:gridCol w:w="2520"/>
        <w:gridCol w:w="2520"/>
      </w:tblGrid>
      <w:tr>
        <w:tc>
          <w:tcPr>
            <w:tcW w:type="dxa" w:w="2520"/>
            <w:tcBorders>
              <w:top w:val="none" w:color="auto" w:sz="0"/>
              <w:left w:val="none" w:color="auto" w:sz="0"/>
              <w:bottom w:val="none" w:color="auto" w:sz="0"/>
              <w:right w:val="single" w:color="E4E4E4" w:sz="4"/>
            </w:tcBorders>
            <w:tcMar>
              <w:top w:type="dxa" w:w="120"/>
              <w:left w:type="dxa" w:w="40"/>
              <w:bottom w:type="dxa" w:w="120"/>
              <w:right w:type="dxa" w:w="40"/>
            </w:tcMar>
            <w:vAlign w:val="center"/>
          </w:tcPr>
          <w:p>
            <w:pPr>
              <w:spacing w:after="20"/>
              <w:jc w:val="center"/>
            </w:pPr>
            <w:r>
              <w:rPr>
                <w:rFonts w:ascii="Arial" w:cs="Arial" w:eastAsia="Arial" w:hAnsi="Arial"/>
                <w:b/>
                <w:bCs/>
                <w:color w:val="222222"/>
                <w:sz w:val="52"/>
                <w:szCs w:val="52"/>
              </w:rPr>
              <w:t xml:space="preserve">2</w:t>
            </w:r>
          </w:p>
          <w:p>
            <w:pPr>
              <w:spacing w:after="0"/>
              <w:jc w:val="center"/>
            </w:pPr>
            <w:r>
              <w:rPr>
                <w:rFonts w:ascii="Arial" w:cs="Arial" w:eastAsia="Arial" w:hAnsi="Arial"/>
                <w:b/>
                <w:bCs/>
                <w:color w:val="8a8a8a"/>
                <w:sz w:val="14"/>
                <w:szCs w:val="14"/>
              </w:rPr>
              <w:t xml:space="preserve">HEATERS CLEANED</w:t>
            </w:r>
          </w:p>
        </w:tc>
        <w:tc>
          <w:tcPr>
            <w:tcW w:type="dxa" w:w="2520"/>
            <w:tcBorders>
              <w:top w:val="none" w:color="auto" w:sz="0"/>
              <w:left w:val="none" w:color="auto" w:sz="0"/>
              <w:bottom w:val="none" w:color="auto" w:sz="0"/>
              <w:right w:val="single" w:color="E4E4E4" w:sz="4"/>
            </w:tcBorders>
            <w:tcMar>
              <w:top w:type="dxa" w:w="120"/>
              <w:left w:type="dxa" w:w="40"/>
              <w:bottom w:type="dxa" w:w="120"/>
              <w:right w:type="dxa" w:w="40"/>
            </w:tcMar>
            <w:vAlign w:val="center"/>
          </w:tcPr>
          <w:p>
            <w:pPr>
              <w:spacing w:after="20"/>
              <w:jc w:val="center"/>
            </w:pPr>
            <w:r>
              <w:rPr>
                <w:rFonts w:ascii="Arial" w:cs="Arial" w:eastAsia="Arial" w:hAnsi="Arial"/>
                <w:b/>
                <w:bCs/>
                <w:color w:val="222222"/>
                <w:sz w:val="52"/>
                <w:szCs w:val="52"/>
              </w:rPr>
              <w:t xml:space="preserve">207</w:t>
            </w:r>
          </w:p>
          <w:p>
            <w:pPr>
              <w:spacing w:after="0"/>
              <w:jc w:val="center"/>
            </w:pPr>
            <w:r>
              <w:rPr>
                <w:rFonts w:ascii="Arial" w:cs="Arial" w:eastAsia="Arial" w:hAnsi="Arial"/>
                <w:b/>
                <w:bCs/>
                <w:color w:val="8a8a8a"/>
                <w:sz w:val="14"/>
                <w:szCs w:val="14"/>
              </w:rPr>
              <w:t xml:space="preserve">OPERATING HOURS</w:t>
            </w:r>
          </w:p>
        </w:tc>
        <w:tc>
          <w:tcPr>
            <w:tcW w:type="dxa" w:w="2520"/>
            <w:tcBorders>
              <w:top w:val="none" w:color="auto" w:sz="0"/>
              <w:left w:val="none" w:color="auto" w:sz="0"/>
              <w:bottom w:val="none" w:color="auto" w:sz="0"/>
              <w:right w:val="single" w:color="E4E4E4" w:sz="4"/>
            </w:tcBorders>
            <w:tcMar>
              <w:top w:type="dxa" w:w="120"/>
              <w:left w:type="dxa" w:w="40"/>
              <w:bottom w:type="dxa" w:w="120"/>
              <w:right w:type="dxa" w:w="40"/>
            </w:tcMar>
            <w:vAlign w:val="center"/>
          </w:tcPr>
          <w:p>
            <w:pPr>
              <w:spacing w:after="20"/>
              <w:jc w:val="center"/>
            </w:pPr>
            <w:r>
              <w:rPr>
                <w:rFonts w:ascii="Arial" w:cs="Arial" w:eastAsia="Arial" w:hAnsi="Arial"/>
                <w:b/>
                <w:bCs/>
                <w:color w:val="222222"/>
                <w:sz w:val="52"/>
                <w:szCs w:val="52"/>
              </w:rPr>
              <w:t xml:space="preserve">298</w:t>
            </w:r>
          </w:p>
          <w:p>
            <w:pPr>
              <w:spacing w:after="0"/>
              <w:jc w:val="center"/>
            </w:pPr>
            <w:r>
              <w:rPr>
                <w:rFonts w:ascii="Arial" w:cs="Arial" w:eastAsia="Arial" w:hAnsi="Arial"/>
                <w:b/>
                <w:bCs/>
                <w:color w:val="8a8a8a"/>
                <w:sz w:val="14"/>
                <w:szCs w:val="14"/>
              </w:rPr>
              <w:t xml:space="preserve">PIGS RUN</w:t>
            </w:r>
          </w:p>
        </w:tc>
        <w:tc>
          <w:tcPr>
            <w:tcW w:type="dxa" w:w="2520"/>
            <w:tcBorders>
              <w:top w:val="none" w:color="auto" w:sz="0"/>
              <w:left w:val="none" w:color="auto" w:sz="0"/>
              <w:bottom w:val="none" w:color="auto" w:sz="0"/>
              <w:right w:val="none" w:color="auto" w:sz="0"/>
            </w:tcBorders>
            <w:tcMar>
              <w:top w:type="dxa" w:w="120"/>
              <w:left w:type="dxa" w:w="40"/>
              <w:bottom w:type="dxa" w:w="120"/>
              <w:right w:type="dxa" w:w="40"/>
            </w:tcMar>
            <w:vAlign w:val="center"/>
          </w:tcPr>
          <w:p>
            <w:pPr>
              <w:spacing w:after="20"/>
              <w:jc w:val="center"/>
            </w:pPr>
            <w:r>
              <w:rPr>
                <w:rFonts w:ascii="Arial" w:cs="Arial" w:eastAsia="Arial" w:hAnsi="Arial"/>
                <w:b/>
                <w:bCs/>
                <w:color w:val="222222"/>
                <w:sz w:val="52"/>
                <w:szCs w:val="52"/>
              </w:rPr>
              <w:t xml:space="preserve">1</w:t>
            </w:r>
          </w:p>
          <w:p>
            <w:pPr>
              <w:spacing w:after="0"/>
              <w:jc w:val="center"/>
            </w:pPr>
            <w:r>
              <w:rPr>
                <w:rFonts w:ascii="Arial" w:cs="Arial" w:eastAsia="Arial" w:hAnsi="Arial"/>
                <w:b/>
                <w:bCs/>
                <w:color w:val="8a8a8a"/>
                <w:sz w:val="14"/>
                <w:szCs w:val="14"/>
              </w:rPr>
              <w:t xml:space="preserve">SMART-PIG INSPECTION</w:t>
            </w:r>
          </w:p>
        </w:tc>
      </w:tr>
    </w:tbl>
    <w:p>
      <w:pPr>
        <w:spacing w:after="40"/>
      </w:pPr>
    </w:p>
    <w:p>
      <w:pPr>
        <w:pBdr>
          <w:bottom w:val="single" w:color="F2A900" w:sz="20" w:space="4"/>
        </w:pBdr>
        <w:spacing w:after="110" w:before="200"/>
      </w:pPr>
      <w:r>
        <w:rPr>
          <w:rFonts w:ascii="Arial" w:cs="Arial" w:eastAsia="Arial" w:hAnsi="Arial"/>
          <w:b/>
          <w:bCs/>
          <w:color w:val="222222"/>
          <w:sz w:val="26"/>
          <w:szCs w:val="26"/>
        </w:rPr>
        <w:t xml:space="preserve">Job Summary</w:t>
      </w:r>
    </w:p>
    <w:p>
      <w:pPr>
        <w:spacing w:after="70" w:before="150"/>
      </w:pPr>
      <w:r>
        <w:rPr>
          <w:rFonts w:ascii="Arial" w:cs="Arial" w:eastAsia="Arial" w:hAnsi="Arial"/>
          <w:b/>
          <w:bCs/>
          <w:color w:val="F2A900"/>
          <w:sz w:val="22"/>
          <w:szCs w:val="22"/>
        </w:rPr>
        <w:t xml:space="preserve">Customer Details</w:t>
      </w:r>
    </w:p>
    <w:tbl>
      <w:tblPr>
        <w:tblW w:type="dxa" w:w="10080"/>
        <w:tblBorders>
          <w:top w:val="single" w:color="DDDDDD" w:sz="2"/>
          <w:left w:val="single" w:color="DDDDDD" w:sz="2"/>
          <w:bottom w:val="single" w:color="DDDDDD" w:sz="2"/>
          <w:right w:val="single" w:color="DDDDDD" w:sz="2"/>
          <w:insideH w:val="single" w:color="DDDDDD" w:sz="2"/>
          <w:insideV w:val="single" w:color="DDDDDD" w:sz="2"/>
        </w:tblBorders>
      </w:tblPr>
      <w:tblGrid>
        <w:gridCol w:w="2760"/>
        <w:gridCol w:w="7320"/>
      </w:tblGrid>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FACILITY</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HF Sinclair Navajo Refinery</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ADDRESS</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501 East Main St, Artesia, NM 88210</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JOB &amp; PO #</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USA26038  /  PO-4200010828</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CONTACT</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Travis Wilson</w:t>
            </w:r>
          </w:p>
        </w:tc>
      </w:tr>
    </w:tbl>
    <w:p>
      <w:pPr>
        <w:spacing w:after="60"/>
      </w:pPr>
    </w:p>
    <w:p>
      <w:pPr>
        <w:spacing w:after="70" w:before="150"/>
      </w:pPr>
      <w:r>
        <w:rPr>
          <w:rFonts w:ascii="Arial" w:cs="Arial" w:eastAsia="Arial" w:hAnsi="Arial"/>
          <w:b/>
          <w:bCs/>
          <w:color w:val="F2A900"/>
          <w:sz w:val="22"/>
          <w:szCs w:val="22"/>
        </w:rPr>
        <w:t xml:space="preserve">Project Details</w:t>
      </w:r>
    </w:p>
    <w:tbl>
      <w:tblPr>
        <w:tblW w:type="dxa" w:w="10080"/>
        <w:tblBorders>
          <w:top w:val="single" w:color="DDDDDD" w:sz="2"/>
          <w:left w:val="single" w:color="DDDDDD" w:sz="2"/>
          <w:bottom w:val="single" w:color="DDDDDD" w:sz="2"/>
          <w:right w:val="single" w:color="DDDDDD" w:sz="2"/>
          <w:insideH w:val="single" w:color="DDDDDD" w:sz="2"/>
          <w:insideV w:val="single" w:color="DDDDDD" w:sz="2"/>
        </w:tblBorders>
      </w:tblPr>
      <w:tblGrid>
        <w:gridCol w:w="2760"/>
        <w:gridCol w:w="7320"/>
      </w:tblGrid>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SCOPE</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Emergency mechanical decoke with filtration — H-19 Crude Charge &amp; H-20 Vertical Crude Hydro Heaters</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EXECUTION</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July 10 – 17, 2026  (8 days)</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HEATERS</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H-19 Crude Charge · H-20 Vertical Crude Hydro</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EQUIPMENT</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 TriMax Pumpers (TriMax 3 &amp; 5) · (2) Filtration Units · (2) Support Units · (2) Crew Trucks</w:t>
            </w:r>
          </w:p>
        </w:tc>
      </w:tr>
    </w:tbl>
    <w:p>
      <w:pPr>
        <w:spacing w:after="60"/>
      </w:pPr>
    </w:p>
    <w:p>
      <w:pPr>
        <w:spacing w:after="70" w:before="150"/>
      </w:pPr>
      <w:r>
        <w:rPr>
          <w:rFonts w:ascii="Arial" w:cs="Arial" w:eastAsia="Arial" w:hAnsi="Arial"/>
          <w:b/>
          <w:bCs/>
          <w:color w:val="F2A900"/>
          <w:sz w:val="22"/>
          <w:szCs w:val="22"/>
        </w:rPr>
        <w:t xml:space="preserve">Crew Details</w:t>
      </w:r>
    </w:p>
    <w:tbl>
      <w:tblPr>
        <w:tblW w:type="dxa" w:w="10080"/>
        <w:tblBorders>
          <w:top w:val="single" w:color="DDDDDD" w:sz="2"/>
          <w:left w:val="single" w:color="DDDDDD" w:sz="2"/>
          <w:bottom w:val="single" w:color="DDDDDD" w:sz="2"/>
          <w:right w:val="single" w:color="DDDDDD" w:sz="2"/>
          <w:insideH w:val="single" w:color="DDDDDD" w:sz="2"/>
          <w:insideV w:val="single" w:color="DDDDDD" w:sz="2"/>
        </w:tblBorders>
      </w:tblPr>
      <w:tblGrid>
        <w:gridCol w:w="2760"/>
        <w:gridCol w:w="7320"/>
      </w:tblGrid>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PROJECT MANAGER</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Dacorey Slater</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SHIFT LEAD</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Day: Jesse Utsey · Dacorey Slater   |   Night: Sam Mixon · James McDaniel</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DAYSHIFT</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Jesse Utsey, Dacorey Slater, Andre M., Blake B., Dandrew</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NIGHTSHIFT</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Sam Mixon, James McDaniel, Kailon, Daniel, Joel, Jordan</w:t>
            </w:r>
          </w:p>
        </w:tc>
      </w:tr>
    </w:tbl>
    <w:p>
      <w:r>
        <w:br w:type="page"/>
      </w:r>
    </w:p>
    <w:p>
      <w:pPr>
        <w:pBdr>
          <w:bottom w:val="single" w:color="F2A900" w:sz="20" w:space="4"/>
        </w:pBdr>
        <w:spacing w:after="110" w:before="200"/>
      </w:pPr>
      <w:r>
        <w:rPr>
          <w:rFonts w:ascii="Arial" w:cs="Arial" w:eastAsia="Arial" w:hAnsi="Arial"/>
          <w:b/>
          <w:bCs/>
          <w:color w:val="222222"/>
          <w:sz w:val="26"/>
          <w:szCs w:val="26"/>
        </w:rPr>
        <w:t xml:space="preserve">Project Duration</w:t>
      </w:r>
    </w:p>
    <w:tbl>
      <w:tblPr>
        <w:tblW w:type="dxa" w:w="10080"/>
        <w:tblBorders>
          <w:top w:val="single" w:color="DDDDDD" w:sz="2"/>
          <w:left w:val="single" w:color="DDDDDD" w:sz="2"/>
          <w:bottom w:val="single" w:color="DDDDDD" w:sz="2"/>
          <w:right w:val="single" w:color="DDDDDD" w:sz="2"/>
          <w:insideH w:val="single" w:color="DDDDDD" w:sz="2"/>
          <w:insideV w:val="single" w:color="DDDDDD" w:sz="2"/>
        </w:tblBorders>
      </w:tblPr>
      <w:tblGrid>
        <w:gridCol w:w="3180"/>
        <w:gridCol w:w="1500"/>
        <w:gridCol w:w="1350"/>
        <w:gridCol w:w="1350"/>
        <w:gridCol w:w="1350"/>
        <w:gridCol w:w="1350"/>
      </w:tblGrid>
      <w:tr>
        <w:trPr>
          <w:tblHeader/>
        </w:trPr>
        <w:tc>
          <w:tcPr>
            <w:tcW w:type="dxa" w:w="318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SCOPE</w:t>
            </w:r>
          </w:p>
        </w:tc>
        <w:tc>
          <w:tcPr>
            <w:tcW w:type="dxa" w:w="150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UNIT</w:t>
            </w:r>
          </w:p>
        </w:tc>
        <w:tc>
          <w:tcPr>
            <w:tcW w:type="dxa" w:w="135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RIG</w:t>
            </w:r>
          </w:p>
        </w:tc>
        <w:tc>
          <w:tcPr>
            <w:tcW w:type="dxa" w:w="135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PIG</w:t>
            </w:r>
          </w:p>
        </w:tc>
        <w:tc>
          <w:tcPr>
            <w:tcW w:type="dxa" w:w="135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SMART PIG</w:t>
            </w:r>
          </w:p>
        </w:tc>
        <w:tc>
          <w:tcPr>
            <w:tcW w:type="dxa" w:w="135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TOTAL</w:t>
            </w:r>
          </w:p>
        </w:tc>
      </w:tr>
      <w:tr>
        <w:tc>
          <w:tcPr>
            <w:tcW w:type="dxa" w:w="318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H-19 Crude Charge ¹</w:t>
            </w:r>
          </w:p>
        </w:tc>
        <w:tc>
          <w:tcPr>
            <w:tcW w:type="dxa" w:w="150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TriMax 5</w:t>
            </w:r>
          </w:p>
        </w:tc>
        <w:tc>
          <w:tcPr>
            <w:tcW w:type="dxa" w:w="135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9</w:t>
            </w:r>
          </w:p>
        </w:tc>
        <w:tc>
          <w:tcPr>
            <w:tcW w:type="dxa" w:w="135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74</w:t>
            </w:r>
          </w:p>
        </w:tc>
        <w:tc>
          <w:tcPr>
            <w:tcW w:type="dxa" w:w="135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6</w:t>
            </w:r>
          </w:p>
        </w:tc>
        <w:tc>
          <w:tcPr>
            <w:tcW w:type="dxa" w:w="135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89</w:t>
            </w:r>
          </w:p>
        </w:tc>
      </w:tr>
      <w:tr>
        <w:tc>
          <w:tcPr>
            <w:tcW w:type="dxa" w:w="318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H-20 Vertical Crude Hydro ²</w:t>
            </w:r>
          </w:p>
        </w:tc>
        <w:tc>
          <w:tcPr>
            <w:tcW w:type="dxa" w:w="150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TriMax 3</w:t>
            </w:r>
          </w:p>
        </w:tc>
        <w:tc>
          <w:tcPr>
            <w:tcW w:type="dxa" w:w="135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20</w:t>
            </w:r>
          </w:p>
        </w:tc>
        <w:tc>
          <w:tcPr>
            <w:tcW w:type="dxa" w:w="135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98</w:t>
            </w:r>
          </w:p>
        </w:tc>
        <w:tc>
          <w:tcPr>
            <w:tcW w:type="dxa" w:w="135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0</w:t>
            </w:r>
          </w:p>
        </w:tc>
        <w:tc>
          <w:tcPr>
            <w:tcW w:type="dxa" w:w="135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118</w:t>
            </w:r>
          </w:p>
        </w:tc>
      </w:tr>
      <w:tr>
        <w:tc>
          <w:tcPr>
            <w:tcW w:type="dxa" w:w="3180"/>
            <w:shd w:fill="EFEFE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TOTAL</w:t>
            </w:r>
          </w:p>
        </w:tc>
        <w:tc>
          <w:tcPr>
            <w:tcW w:type="dxa" w:w="1500"/>
            <w:shd w:fill="EFEFE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
            </w:r>
          </w:p>
        </w:tc>
        <w:tc>
          <w:tcPr>
            <w:tcW w:type="dxa" w:w="1350"/>
            <w:shd w:fill="EFEFEF"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222222"/>
                <w:sz w:val="18"/>
                <w:szCs w:val="18"/>
              </w:rPr>
              <w:t xml:space="preserve">29</w:t>
            </w:r>
          </w:p>
        </w:tc>
        <w:tc>
          <w:tcPr>
            <w:tcW w:type="dxa" w:w="1350"/>
            <w:shd w:fill="EFEFEF"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222222"/>
                <w:sz w:val="18"/>
                <w:szCs w:val="18"/>
              </w:rPr>
              <w:t xml:space="preserve">172</w:t>
            </w:r>
          </w:p>
        </w:tc>
        <w:tc>
          <w:tcPr>
            <w:tcW w:type="dxa" w:w="1350"/>
            <w:shd w:fill="EFEFEF"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222222"/>
                <w:sz w:val="18"/>
                <w:szCs w:val="18"/>
              </w:rPr>
              <w:t xml:space="preserve">6</w:t>
            </w:r>
          </w:p>
        </w:tc>
        <w:tc>
          <w:tcPr>
            <w:tcW w:type="dxa" w:w="1350"/>
            <w:shd w:fill="EFEFEF"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222222"/>
                <w:sz w:val="18"/>
                <w:szCs w:val="18"/>
              </w:rPr>
              <w:t xml:space="preserve">207</w:t>
            </w:r>
          </w:p>
        </w:tc>
      </w:tr>
    </w:tbl>
    <w:p>
      <w:pPr>
        <w:spacing w:after="120" w:before="70"/>
      </w:pPr>
      <w:r>
        <w:rPr>
          <w:rFonts w:ascii="Arial" w:cs="Arial" w:eastAsia="Arial" w:hAnsi="Arial"/>
          <w:b/>
          <w:bCs/>
          <w:color w:val="F2A900"/>
          <w:sz w:val="14"/>
          <w:szCs w:val="14"/>
        </w:rPr>
        <w:t xml:space="preserve">¹</w:t>
      </w:r>
      <w:r>
        <w:rPr>
          <w:rFonts w:ascii="Arial" w:cs="Arial" w:eastAsia="Arial" w:hAnsi="Arial"/>
          <w:b w:val="false"/>
          <w:bCs w:val="false"/>
          <w:i w:val="false"/>
          <w:iCs w:val="false"/>
          <w:color w:val="8a8a8a"/>
          <w:sz w:val="16"/>
          <w:szCs w:val="16"/>
        </w:rPr>
        <w:t xml:space="preserve"> Delayed release — H-19 stood by until July 13 before rig-in.   </w:t>
      </w:r>
      <w:r>
        <w:rPr>
          <w:rFonts w:ascii="Arial" w:cs="Arial" w:eastAsia="Arial" w:hAnsi="Arial"/>
          <w:b/>
          <w:bCs/>
          <w:color w:val="F2A900"/>
          <w:sz w:val="14"/>
          <w:szCs w:val="14"/>
        </w:rPr>
        <w:t xml:space="preserve">²</w:t>
      </w:r>
      <w:r>
        <w:rPr>
          <w:rFonts w:ascii="Arial" w:cs="Arial" w:eastAsia="Arial" w:hAnsi="Arial"/>
          <w:b w:val="false"/>
          <w:bCs w:val="false"/>
          <w:i w:val="false"/>
          <w:iCs w:val="false"/>
          <w:color w:val="8a8a8a"/>
          <w:sz w:val="16"/>
          <w:szCs w:val="16"/>
        </w:rPr>
        <w:t xml:space="preserve"> As-built reconfigured to 4 coils looped to 2 passes; TriMax 5 rigged over to finish H-20 after H-19 completed.</w:t>
      </w:r>
    </w:p>
    <w:p>
      <w:pPr>
        <w:pBdr>
          <w:bottom w:val="single" w:color="F2A900" w:sz="20" w:space="4"/>
        </w:pBdr>
        <w:spacing w:after="110" w:before="200"/>
      </w:pPr>
      <w:r>
        <w:rPr>
          <w:rFonts w:ascii="Arial" w:cs="Arial" w:eastAsia="Arial" w:hAnsi="Arial"/>
          <w:b/>
          <w:bCs/>
          <w:color w:val="222222"/>
          <w:sz w:val="26"/>
          <w:szCs w:val="26"/>
        </w:rPr>
        <w:t xml:space="preserve">Stand-By Summary</w:t>
      </w:r>
    </w:p>
    <w:p>
      <w:pPr>
        <w:spacing w:after="100" w:before="0"/>
      </w:pPr>
      <w:r>
        <w:rPr>
          <w:rFonts w:ascii="Arial" w:cs="Arial" w:eastAsia="Arial" w:hAnsi="Arial"/>
          <w:b w:val="false"/>
          <w:bCs w:val="false"/>
          <w:i w:val="false"/>
          <w:iCs w:val="false"/>
          <w:color w:val="333333"/>
          <w:sz w:val="19"/>
          <w:szCs w:val="19"/>
        </w:rPr>
        <w:t xml:space="preserve">Stand-by is on-site time during which the pumping units were not actively pigging. Cause is recorded from the daily service receipts.</w:t>
      </w:r>
    </w:p>
    <w:tbl>
      <w:tblPr>
        <w:tblW w:type="dxa" w:w="10080"/>
        <w:tblBorders>
          <w:top w:val="single" w:color="DDDDDD" w:sz="2"/>
          <w:left w:val="single" w:color="DDDDDD" w:sz="2"/>
          <w:bottom w:val="single" w:color="DDDDDD" w:sz="2"/>
          <w:right w:val="single" w:color="DDDDDD" w:sz="2"/>
          <w:insideH w:val="single" w:color="DDDDDD" w:sz="2"/>
          <w:insideV w:val="single" w:color="DDDDDD" w:sz="2"/>
        </w:tblBorders>
      </w:tblPr>
      <w:tblGrid>
        <w:gridCol w:w="6480"/>
        <w:gridCol w:w="2400"/>
        <w:gridCol w:w="1200"/>
      </w:tblGrid>
      <w:tr>
        <w:trPr>
          <w:tblHeader/>
        </w:trPr>
        <w:tc>
          <w:tcPr>
            <w:tcW w:type="dxa" w:w="648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CAUSE</w:t>
            </w:r>
          </w:p>
        </w:tc>
        <w:tc>
          <w:tcPr>
            <w:tcW w:type="dxa" w:w="240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DATES</w:t>
            </w:r>
          </w:p>
        </w:tc>
        <w:tc>
          <w:tcPr>
            <w:tcW w:type="dxa" w:w="120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HOURS</w:t>
            </w:r>
          </w:p>
        </w:tc>
      </w:tr>
      <w:tr>
        <w:tc>
          <w:tcPr>
            <w:tcW w:type="dxa" w:w="648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Awaiting heater release, prep &amp; crew call — HF Sinclair</w:t>
            </w:r>
          </w:p>
        </w:tc>
        <w:tc>
          <w:tcPr>
            <w:tcW w:type="dxa" w:w="240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Jul 11 – 12</w:t>
            </w:r>
          </w:p>
        </w:tc>
        <w:tc>
          <w:tcPr>
            <w:tcW w:type="dxa" w:w="120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58.0</w:t>
            </w:r>
          </w:p>
        </w:tc>
      </w:tr>
      <w:tr>
        <w:tc>
          <w:tcPr>
            <w:tcW w:type="dxa" w:w="648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Weather delay</w:t>
            </w:r>
          </w:p>
        </w:tc>
        <w:tc>
          <w:tcPr>
            <w:tcW w:type="dxa" w:w="240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Jul 12</w:t>
            </w:r>
          </w:p>
        </w:tc>
        <w:tc>
          <w:tcPr>
            <w:tcW w:type="dxa" w:w="120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2.5</w:t>
            </w:r>
          </w:p>
        </w:tc>
      </w:tr>
      <w:tr>
        <w:tc>
          <w:tcPr>
            <w:tcW w:type="dxa" w:w="648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Crossover TI removal &amp; in-progress holds</w:t>
            </w:r>
          </w:p>
        </w:tc>
        <w:tc>
          <w:tcPr>
            <w:tcW w:type="dxa" w:w="240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Jul 13 – 15</w:t>
            </w:r>
          </w:p>
        </w:tc>
        <w:tc>
          <w:tcPr>
            <w:tcW w:type="dxa" w:w="120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10.0</w:t>
            </w:r>
          </w:p>
        </w:tc>
      </w:tr>
      <w:tr>
        <w:tc>
          <w:tcPr>
            <w:tcW w:type="dxa" w:w="648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Unit standing by — final rig-over</w:t>
            </w:r>
          </w:p>
        </w:tc>
        <w:tc>
          <w:tcPr>
            <w:tcW w:type="dxa" w:w="240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Jul 17</w:t>
            </w:r>
          </w:p>
        </w:tc>
        <w:tc>
          <w:tcPr>
            <w:tcW w:type="dxa" w:w="120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3.5</w:t>
            </w:r>
          </w:p>
        </w:tc>
      </w:tr>
      <w:tr>
        <w:tc>
          <w:tcPr>
            <w:tcW w:type="dxa" w:w="6480"/>
            <w:shd w:fill="EFEFE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TOTAL</w:t>
            </w:r>
          </w:p>
        </w:tc>
        <w:tc>
          <w:tcPr>
            <w:tcW w:type="dxa" w:w="2400"/>
            <w:shd w:fill="EFEFE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
            </w:r>
          </w:p>
        </w:tc>
        <w:tc>
          <w:tcPr>
            <w:tcW w:type="dxa" w:w="1200"/>
            <w:shd w:fill="EFEFEF"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222222"/>
                <w:sz w:val="18"/>
                <w:szCs w:val="18"/>
              </w:rPr>
              <w:t xml:space="preserve">74.0</w:t>
            </w:r>
          </w:p>
        </w:tc>
      </w:tr>
    </w:tbl>
    <w:p>
      <w:pPr>
        <w:spacing w:after="120" w:before="60"/>
      </w:pPr>
      <w:r>
        <w:rPr>
          <w:rFonts w:ascii="Arial" w:cs="Arial" w:eastAsia="Arial" w:hAnsi="Arial"/>
          <w:b w:val="false"/>
          <w:bCs w:val="false"/>
          <w:i w:val="false"/>
          <w:iCs w:val="false"/>
          <w:color w:val="8a8a8a"/>
          <w:sz w:val="16"/>
          <w:szCs w:val="16"/>
        </w:rPr>
        <w:t xml:space="preserve">Combined project total: 207 operating hours plus 74 stand-by hours — 281 pumping-unit hours.</w:t>
      </w:r>
    </w:p>
    <w:p>
      <w:pPr>
        <w:pBdr>
          <w:bottom w:val="single" w:color="F2A900" w:sz="20" w:space="4"/>
        </w:pBdr>
        <w:spacing w:after="110" w:before="200"/>
      </w:pPr>
      <w:r>
        <w:rPr>
          <w:rFonts w:ascii="Arial" w:cs="Arial" w:eastAsia="Arial" w:hAnsi="Arial"/>
          <w:b/>
          <w:bCs/>
          <w:color w:val="222222"/>
          <w:sz w:val="26"/>
          <w:szCs w:val="26"/>
        </w:rPr>
        <w:t xml:space="preserve">Pigs Used</w:t>
      </w:r>
    </w:p>
    <w:p>
      <w:pPr>
        <w:spacing w:after="120" w:before="0"/>
      </w:pPr>
      <w:r>
        <w:rPr>
          <w:rFonts w:ascii="Arial" w:cs="Arial" w:eastAsia="Arial" w:hAnsi="Arial"/>
          <w:b w:val="false"/>
          <w:bCs w:val="false"/>
          <w:i w:val="false"/>
          <w:iCs w:val="false"/>
          <w:color w:val="333333"/>
          <w:sz w:val="19"/>
          <w:szCs w:val="19"/>
        </w:rPr>
        <w:t xml:space="preserve">298 pigs across 24 sizes, 2.0" through 6.5". TC — pin pig. HR — Hell Razor. Foam — pin &amp; gauge foam. Swab — dewatering swab. HC — honeycomb gauge.</w:t>
      </w:r>
    </w:p>
    <w:p>
      <w:r>
        <w:br w:type="page"/>
      </w:r>
    </w:p>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4860"/>
        <w:gridCol w:w="360"/>
        <w:gridCol w:w="4860"/>
      </w:tblGrid>
      <w:tr>
        <w:tc>
          <w:tcPr>
            <w:tcW w:type="dxa" w:w="4860"/>
            <w:tcBorders>
              <w:top w:val="none" w:color="auto" w:sz="0"/>
              <w:left w:val="none" w:color="auto" w:sz="0"/>
              <w:bottom w:val="none" w:color="auto" w:sz="0"/>
              <w:right w:val="none" w:color="auto" w:sz="0"/>
            </w:tcBorders>
          </w:tcPr>
          <w:tbl>
            <w:tblPr>
              <w:tblW w:type="dxa" w:w="4860"/>
              <w:tblBorders>
                <w:top w:val="single" w:color="DDDDDD" w:sz="2"/>
                <w:left w:val="single" w:color="DDDDDD" w:sz="2"/>
                <w:bottom w:val="single" w:color="DDDDDD" w:sz="2"/>
                <w:right w:val="single" w:color="DDDDDD" w:sz="2"/>
                <w:insideH w:val="single" w:color="DDDDDD" w:sz="2"/>
                <w:insideV w:val="single" w:color="DDDDDD" w:sz="2"/>
              </w:tblBorders>
            </w:tblPr>
            <w:tblGrid>
              <w:gridCol w:w="1040"/>
              <w:gridCol w:w="560"/>
              <w:gridCol w:w="560"/>
              <w:gridCol w:w="820"/>
              <w:gridCol w:w="1060"/>
              <w:gridCol w:w="820"/>
            </w:tblGrid>
            <w:tr>
              <w:trPr>
                <w:tblHeader/>
              </w:trPr>
              <w:tc>
                <w:tcPr>
                  <w:tcW w:type="dxa" w:w="104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SIZE</w:t>
                  </w:r>
                </w:p>
              </w:tc>
              <w:tc>
                <w:tcPr>
                  <w:tcW w:type="dxa" w:w="56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TC</w:t>
                  </w:r>
                </w:p>
              </w:tc>
              <w:tc>
                <w:tcPr>
                  <w:tcW w:type="dxa" w:w="56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HR</w:t>
                  </w:r>
                </w:p>
              </w:tc>
              <w:tc>
                <w:tcPr>
                  <w:tcW w:type="dxa" w:w="82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FOAM</w:t>
                  </w:r>
                </w:p>
              </w:tc>
              <w:tc>
                <w:tcPr>
                  <w:tcW w:type="dxa" w:w="106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SWAB/HC</w:t>
                  </w:r>
                </w:p>
              </w:tc>
              <w:tc>
                <w:tcPr>
                  <w:tcW w:type="dxa" w:w="82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TOTAL</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2.0"</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7</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7</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2.25"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12</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13</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2.3"</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2.375"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6</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6</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2.5"</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2.6"</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2.625"</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2.7"</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2.75"</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2.875"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w:t>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5</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3.0"</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13</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5</w:t>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6</w:t>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24</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3.125"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11</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w:t>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3.25"</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19</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18</w:t>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37</w:t>
                  </w:r>
                </w:p>
              </w:tc>
            </w:tr>
          </w:tbl>
          <w:p/>
        </w:tc>
        <w:tc>
          <w:tcPr>
            <w:tcW w:type="dxa" w:w="360"/>
            <w:tcBorders>
              <w:top w:val="none" w:color="auto" w:sz="0"/>
              <w:left w:val="none" w:color="auto" w:sz="0"/>
              <w:bottom w:val="none" w:color="auto" w:sz="0"/>
              <w:right w:val="none" w:color="auto" w:sz="0"/>
            </w:tcBorders>
          </w:tcPr>
          <w:p>
            <w:pPr>
              <w:spacing w:after="0" w:before="0"/>
              <w:jc w:val="left"/>
            </w:pPr>
            <w:r>
              <w:rPr>
                <w:rFonts w:ascii="Arial" w:cs="Arial" w:eastAsia="Arial" w:hAnsi="Arial"/>
                <w:b w:val="false"/>
                <w:bCs w:val="false"/>
                <w:color w:val="333333"/>
                <w:sz w:val="18"/>
                <w:szCs w:val="18"/>
              </w:rPr>
              <w:t xml:space="preserve"/>
            </w:r>
          </w:p>
        </w:tc>
        <w:tc>
          <w:tcPr>
            <w:tcW w:type="dxa" w:w="4860"/>
            <w:tcBorders>
              <w:top w:val="none" w:color="auto" w:sz="0"/>
              <w:left w:val="none" w:color="auto" w:sz="0"/>
              <w:bottom w:val="none" w:color="auto" w:sz="0"/>
              <w:right w:val="none" w:color="auto" w:sz="0"/>
            </w:tcBorders>
          </w:tcPr>
          <w:tbl>
            <w:tblPr>
              <w:tblW w:type="dxa" w:w="4860"/>
              <w:tblBorders>
                <w:top w:val="single" w:color="DDDDDD" w:sz="2"/>
                <w:left w:val="single" w:color="DDDDDD" w:sz="2"/>
                <w:bottom w:val="single" w:color="DDDDDD" w:sz="2"/>
                <w:right w:val="single" w:color="DDDDDD" w:sz="2"/>
                <w:insideH w:val="single" w:color="DDDDDD" w:sz="2"/>
                <w:insideV w:val="single" w:color="DDDDDD" w:sz="2"/>
              </w:tblBorders>
            </w:tblPr>
            <w:tblGrid>
              <w:gridCol w:w="1040"/>
              <w:gridCol w:w="560"/>
              <w:gridCol w:w="560"/>
              <w:gridCol w:w="820"/>
              <w:gridCol w:w="1060"/>
              <w:gridCol w:w="820"/>
            </w:tblGrid>
            <w:tr>
              <w:trPr>
                <w:tblHeader/>
              </w:trPr>
              <w:tc>
                <w:tcPr>
                  <w:tcW w:type="dxa" w:w="1040"/>
                  <w:shd w:fill="222222"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FFFFFF"/>
                      <w:sz w:val="18"/>
                      <w:szCs w:val="18"/>
                    </w:rPr>
                    <w:t xml:space="preserve">SIZE</w:t>
                  </w:r>
                </w:p>
              </w:tc>
              <w:tc>
                <w:tcPr>
                  <w:tcW w:type="dxa" w:w="56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TC</w:t>
                  </w:r>
                </w:p>
              </w:tc>
              <w:tc>
                <w:tcPr>
                  <w:tcW w:type="dxa" w:w="56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HR</w:t>
                  </w:r>
                </w:p>
              </w:tc>
              <w:tc>
                <w:tcPr>
                  <w:tcW w:type="dxa" w:w="82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FOAM</w:t>
                  </w:r>
                </w:p>
              </w:tc>
              <w:tc>
                <w:tcPr>
                  <w:tcW w:type="dxa" w:w="106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SWAB/HC</w:t>
                  </w:r>
                </w:p>
              </w:tc>
              <w:tc>
                <w:tcPr>
                  <w:tcW w:type="dxa" w:w="82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TOTAL</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3.375"</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3.625"</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3.75"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6</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7</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3.8"</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3.875"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w:t>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7</w:t>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12</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4.0"</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7</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w:t>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5</w:t>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w:t>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4.125"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17</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17</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4.25"</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27</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22</w:t>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49</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4.5"</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w:t>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w:t>
                  </w:r>
                </w:p>
              </w:tc>
            </w:tr>
            <w:tr>
              <w:tc>
                <w:tcPr>
                  <w:tcW w:type="dxa" w:w="104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6.5"</w:t>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5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32</w:t>
                  </w:r>
                </w:p>
              </w:tc>
              <w:tc>
                <w:tcPr>
                  <w:tcW w:type="dxa" w:w="82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32</w:t>
                  </w:r>
                </w:p>
              </w:tc>
            </w:tr>
            <w:tr>
              <w:tc>
                <w:tcPr>
                  <w:tcW w:type="dxa" w:w="104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Honeycomb</w:t>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5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06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35</w:t>
                  </w:r>
                </w:p>
              </w:tc>
              <w:tc>
                <w:tcPr>
                  <w:tcW w:type="dxa" w:w="82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35</w:t>
                  </w:r>
                </w:p>
              </w:tc>
            </w:tr>
          </w:tbl>
          <w:p/>
        </w:tc>
      </w:tr>
    </w:tbl>
    <w:p>
      <w:pPr>
        <w:pBdr>
          <w:top w:val="single" w:color="F2A900" w:sz="16" w:space="6"/>
        </w:pBdr>
        <w:spacing w:before="100"/>
      </w:pPr>
      <w:r>
        <w:rPr>
          <w:rFonts w:ascii="Arial" w:cs="Arial" w:eastAsia="Arial" w:hAnsi="Arial"/>
          <w:b/>
          <w:bCs/>
          <w:color w:val="222222"/>
          <w:sz w:val="19"/>
          <w:szCs w:val="19"/>
        </w:rPr>
        <w:t xml:space="preserve">Total:  298 pigs  —  148 TC  ·  63 HR  ·  18 Foam  ·  34 Swab  ·  35 Honeycomb</w:t>
      </w:r>
    </w:p>
    <w:p>
      <w:r>
        <w:br w:type="page"/>
      </w:r>
    </w:p>
    <w:p>
      <w:pPr>
        <w:pBdr>
          <w:bottom w:val="single" w:color="F2A900" w:sz="20" w:space="4"/>
        </w:pBdr>
        <w:spacing w:after="110" w:before="200"/>
      </w:pPr>
      <w:r>
        <w:rPr>
          <w:rFonts w:ascii="Arial" w:cs="Arial" w:eastAsia="Arial" w:hAnsi="Arial"/>
          <w:b/>
          <w:bCs/>
          <w:color w:val="222222"/>
          <w:sz w:val="26"/>
          <w:szCs w:val="26"/>
        </w:rPr>
        <w:t xml:space="preserve">Heater Data and Results</w:t>
      </w:r>
    </w:p>
    <w:p>
      <w:pPr>
        <w:spacing w:after="70" w:before="150"/>
      </w:pPr>
      <w:r>
        <w:rPr>
          <w:rFonts w:ascii="Arial" w:cs="Arial" w:eastAsia="Arial" w:hAnsi="Arial"/>
          <w:b/>
          <w:bCs/>
          <w:color w:val="F2A900"/>
          <w:sz w:val="22"/>
          <w:szCs w:val="22"/>
        </w:rPr>
        <w:t xml:space="preserve">H-19  —  Crude Charge Heater</w:t>
      </w:r>
    </w:p>
    <w:tbl>
      <w:tblPr>
        <w:tblW w:type="dxa" w:w="10080"/>
        <w:tblBorders>
          <w:top w:val="single" w:color="DDDDDD" w:sz="2"/>
          <w:left w:val="single" w:color="DDDDDD" w:sz="2"/>
          <w:bottom w:val="single" w:color="DDDDDD" w:sz="2"/>
          <w:right w:val="single" w:color="DDDDDD" w:sz="2"/>
          <w:insideH w:val="single" w:color="DDDDDD" w:sz="2"/>
          <w:insideV w:val="single" w:color="DDDDDD" w:sz="2"/>
        </w:tblBorders>
      </w:tblPr>
      <w:tblGrid>
        <w:gridCol w:w="2760"/>
        <w:gridCol w:w="7320"/>
      </w:tblGrid>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Number of Passes</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 coils looped to 1 pass (Pass 1 &amp; 2)</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Total Footage</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~4,934' total  (looped pig path ~5,754')</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Convection Tube ID</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4.026" (4.5" OD × 0.237, Sch 40)</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Radiant Tube ID</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3.068" (3.5" × 0.216) + 4.026" outlet section</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Metallurgy</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9 Chrome</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Return Bends</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180° U-Bends</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Inlet / Outlet</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(2) 4" 300# launchers at control valve station (grade)</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Smart Pigging</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Yes — Quest; minimal residual coke</w:t>
            </w:r>
          </w:p>
        </w:tc>
      </w:tr>
    </w:tbl>
    <w:p>
      <w:pPr>
        <w:spacing w:after="40" w:before="60"/>
      </w:pPr>
      <w:r>
        <w:rPr>
          <w:rFonts w:ascii="Arial" w:cs="Arial" w:eastAsia="Arial" w:hAnsi="Arial"/>
          <w:b/>
          <w:bCs/>
          <w:color w:val="222222"/>
          <w:sz w:val="19"/>
          <w:szCs w:val="19"/>
        </w:rPr>
        <w:t xml:space="preserve">Result:  </w:t>
      </w:r>
      <w:r>
        <w:rPr>
          <w:rFonts w:ascii="Arial" w:cs="Arial" w:eastAsia="Arial" w:hAnsi="Arial"/>
          <w:color w:val="333333"/>
          <w:sz w:val="19"/>
          <w:szCs w:val="19"/>
        </w:rPr>
        <w:t xml:space="preserve">Moderately coked. The most severe deposits were in the 4" convection tubes, with the 3" radiant lightly fouled near the radiant inlet tubes. Passes 1 &amp; 2 were pigged bi-directionally to buy-off.</w:t>
      </w:r>
    </w:p>
    <w:tbl>
      <w:tblPr>
        <w:tblW w:type="dxa" w:w="10080"/>
        <w:tblBorders>
          <w:top w:val="none" w:color="auto" w:sz="0"/>
          <w:left w:val="single" w:color="F2A900" w:sz="24"/>
          <w:bottom w:val="none" w:color="auto" w:sz="0"/>
          <w:right w:val="none" w:color="auto" w:sz="0"/>
          <w:insideH w:val="none" w:color="auto" w:sz="0"/>
          <w:insideV w:val="none" w:color="auto" w:sz="0"/>
        </w:tblBorders>
      </w:tblPr>
      <w:tblGrid>
        <w:gridCol w:w="10080"/>
      </w:tblGrid>
      <w:tr>
        <w:tc>
          <w:tcPr>
            <w:tcW w:type="dxa" w:w="10080"/>
            <w:shd w:fill="FFFBE6" w:color="auto" w:val="clear"/>
            <w:tcMar>
              <w:top w:type="dxa" w:w="80"/>
              <w:left w:type="dxa" w:w="130"/>
              <w:bottom w:type="dxa" w:w="80"/>
              <w:right w:type="dxa" w:w="130"/>
            </w:tcMar>
          </w:tcPr>
          <w:p>
            <w:pPr>
              <w:spacing w:after="0" w:before="0"/>
              <w:jc w:val="left"/>
            </w:pPr>
            <w:r>
              <w:rPr>
                <w:rFonts w:ascii="Arial" w:cs="Arial" w:eastAsia="Arial" w:hAnsi="Arial"/>
                <w:b w:val="false"/>
                <w:bCs w:val="false"/>
                <w:color w:val="333333"/>
                <w:sz w:val="18"/>
                <w:szCs w:val="18"/>
              </w:rPr>
              <w:t xml:space="preserve">Dewatering the looped passes proved difficult — a 1600 CFM compressor tripped a sensor on back pressure, and a backup 1600 CFM unit also failed. The temporary radiant-outlet loop was removed from the top of the can and each coil dewatered individually.</w:t>
            </w:r>
          </w:p>
        </w:tc>
      </w:tr>
    </w:tbl>
    <w:p>
      <w:pPr>
        <w:spacing w:after="70" w:before="150"/>
      </w:pPr>
      <w:r>
        <w:rPr>
          <w:rFonts w:ascii="Arial" w:cs="Arial" w:eastAsia="Arial" w:hAnsi="Arial"/>
          <w:b/>
          <w:bCs/>
          <w:color w:val="F2A900"/>
          <w:sz w:val="22"/>
          <w:szCs w:val="22"/>
        </w:rPr>
        <w:t xml:space="preserve">H-20  —  Vertical Crude Hydro Heater</w:t>
      </w:r>
    </w:p>
    <w:tbl>
      <w:tblPr>
        <w:tblW w:type="dxa" w:w="10080"/>
        <w:tblBorders>
          <w:top w:val="single" w:color="DDDDDD" w:sz="2"/>
          <w:left w:val="single" w:color="DDDDDD" w:sz="2"/>
          <w:bottom w:val="single" w:color="DDDDDD" w:sz="2"/>
          <w:right w:val="single" w:color="DDDDDD" w:sz="2"/>
          <w:insideH w:val="single" w:color="DDDDDD" w:sz="2"/>
          <w:insideV w:val="single" w:color="DDDDDD" w:sz="2"/>
        </w:tblBorders>
      </w:tblPr>
      <w:tblGrid>
        <w:gridCol w:w="2760"/>
        <w:gridCol w:w="7320"/>
      </w:tblGrid>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Number of Passes</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As-built: 4 coils looped to 2 passes (temp 180’s: Pass 1&amp;3, Pass 2&amp;4)</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Total Footage</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Convection 300' / pass  ·  Radiant 1,134' / pass</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Convection Tube ID</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4.026" (4.5" × 0.237)</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Radiant Tube ID</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3.068" (3.5" × 0.216)</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Metallurgy</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9 Chrome</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Return Bends</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180° U-Bends</w:t>
            </w:r>
          </w:p>
        </w:tc>
      </w:tr>
      <w:tr>
        <w:tc>
          <w:tcPr>
            <w:tcW w:type="dxa" w:w="276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Inlet / Outlet</w:t>
            </w:r>
          </w:p>
        </w:tc>
        <w:tc>
          <w:tcPr>
            <w:tcW w:type="dxa" w:w="7320"/>
            <w:shd w:fill="FFFFFF"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Convection (4) 4" launchers, 10’ from grade  ·  Radiant (2) 4" at grade</w:t>
            </w:r>
          </w:p>
        </w:tc>
      </w:tr>
      <w:tr>
        <w:tc>
          <w:tcPr>
            <w:tcW w:type="dxa" w:w="276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bCs/>
                <w:color w:val="222222"/>
                <w:sz w:val="18"/>
                <w:szCs w:val="18"/>
              </w:rPr>
              <w:t xml:space="preserve">Smart Pigging</w:t>
            </w:r>
          </w:p>
        </w:tc>
        <w:tc>
          <w:tcPr>
            <w:tcW w:type="dxa" w:w="7320"/>
            <w:shd w:fill="F7F7F7" w:color="auto" w:val="clear"/>
            <w:tcMar>
              <w:top w:type="dxa" w:w="55"/>
              <w:left w:type="dxa" w:w="100"/>
              <w:bottom w:type="dxa" w:w="55"/>
              <w:right w:type="dxa" w:w="100"/>
            </w:tcMar>
            <w:vAlign w:val="center"/>
          </w:tcPr>
          <w:p>
            <w:pPr>
              <w:spacing w:after="0" w:before="0"/>
              <w:jc w:val="left"/>
            </w:pPr>
            <w:r>
              <w:rPr>
                <w:rFonts w:ascii="Arial" w:cs="Arial" w:eastAsia="Arial" w:hAnsi="Arial"/>
                <w:b w:val="false"/>
                <w:bCs w:val="false"/>
                <w:color w:val="333333"/>
                <w:sz w:val="18"/>
                <w:szCs w:val="18"/>
              </w:rPr>
              <w:t xml:space="preserve">No</w:t>
            </w:r>
          </w:p>
        </w:tc>
      </w:tr>
    </w:tbl>
    <w:p>
      <w:pPr>
        <w:spacing w:after="40" w:before="60"/>
      </w:pPr>
      <w:r>
        <w:rPr>
          <w:rFonts w:ascii="Arial" w:cs="Arial" w:eastAsia="Arial" w:hAnsi="Arial"/>
          <w:b/>
          <w:bCs/>
          <w:color w:val="222222"/>
          <w:sz w:val="19"/>
          <w:szCs w:val="19"/>
        </w:rPr>
        <w:t xml:space="preserve">Result:  </w:t>
      </w:r>
      <w:r>
        <w:rPr>
          <w:rFonts w:ascii="Arial" w:cs="Arial" w:eastAsia="Arial" w:hAnsi="Arial"/>
          <w:color w:val="333333"/>
          <w:sz w:val="19"/>
          <w:szCs w:val="19"/>
        </w:rPr>
        <w:t xml:space="preserve">Pass 4 was plugged prior to the decoke — its radiant coil was isolated and cleaned first, then the heater was re-looped to the 2-pass configuration for the remainder of the job. Fouling severity ran Pass 3 ≫ Pass 4 &gt; Pass 1 ≈ Pass 2.</w:t>
      </w:r>
    </w:p>
    <w:tbl>
      <w:tblPr>
        <w:tblW w:type="dxa" w:w="10080"/>
        <w:tblBorders>
          <w:top w:val="none" w:color="auto" w:sz="0"/>
          <w:left w:val="single" w:color="F2A900" w:sz="24"/>
          <w:bottom w:val="none" w:color="auto" w:sz="0"/>
          <w:right w:val="none" w:color="auto" w:sz="0"/>
          <w:insideH w:val="none" w:color="auto" w:sz="0"/>
          <w:insideV w:val="none" w:color="auto" w:sz="0"/>
        </w:tblBorders>
      </w:tblPr>
      <w:tblGrid>
        <w:gridCol w:w="10080"/>
      </w:tblGrid>
      <w:tr>
        <w:tc>
          <w:tcPr>
            <w:tcW w:type="dxa" w:w="10080"/>
            <w:shd w:fill="FFFBE6" w:color="auto" w:val="clear"/>
            <w:tcMar>
              <w:top w:type="dxa" w:w="80"/>
              <w:left w:type="dxa" w:w="130"/>
              <w:bottom w:type="dxa" w:w="80"/>
              <w:right w:type="dxa" w:w="130"/>
            </w:tcMar>
          </w:tcPr>
          <w:p>
            <w:pPr>
              <w:spacing w:after="0" w:before="0"/>
              <w:jc w:val="left"/>
            </w:pPr>
            <w:r>
              <w:rPr>
                <w:rFonts w:ascii="Arial" w:cs="Arial" w:eastAsia="Arial" w:hAnsi="Arial"/>
                <w:b w:val="false"/>
                <w:bCs w:val="false"/>
                <w:color w:val="333333"/>
                <w:sz w:val="18"/>
                <w:szCs w:val="18"/>
              </w:rPr>
              <w:t xml:space="preserve">Pass 3’s radiant section was severely restricted with three separate heavy restrictions. TriMax 3 forced it open using its own pumps; 2" pigs run to establish flow returned badly damaged, and pigs were forced through one-way until enough flow was established to pig bi-directionally.</w:t>
            </w:r>
          </w:p>
        </w:tc>
      </w:tr>
    </w:tbl>
    <w:p>
      <w:r>
        <w:br w:type="page"/>
      </w:r>
    </w:p>
    <w:p>
      <w:pPr>
        <w:pBdr>
          <w:bottom w:val="single" w:color="F2A900" w:sz="20" w:space="4"/>
        </w:pBdr>
        <w:spacing w:after="110" w:before="200"/>
      </w:pPr>
      <w:r>
        <w:rPr>
          <w:rFonts w:ascii="Arial" w:cs="Arial" w:eastAsia="Arial" w:hAnsi="Arial"/>
          <w:b/>
          <w:bCs/>
          <w:color w:val="222222"/>
          <w:sz w:val="26"/>
          <w:szCs w:val="26"/>
        </w:rPr>
        <w:t xml:space="preserve">Flow Tests</w:t>
      </w:r>
    </w:p>
    <w:p>
      <w:pPr>
        <w:spacing w:after="100" w:before="0"/>
      </w:pPr>
      <w:r>
        <w:rPr>
          <w:rFonts w:ascii="Arial" w:cs="Arial" w:eastAsia="Arial" w:hAnsi="Arial"/>
          <w:b w:val="false"/>
          <w:bCs w:val="false"/>
          <w:i w:val="false"/>
          <w:iCs w:val="false"/>
          <w:color w:val="8a8a8a"/>
          <w:sz w:val="16"/>
          <w:szCs w:val="16"/>
        </w:rPr>
        <w:t xml:space="preserve">Pre- and post-decoke flow tests (RPM / PSI / GPM). Blank cells indicate a reading to be finalized.</w:t>
      </w:r>
    </w:p>
    <w:p>
      <w:pPr>
        <w:spacing w:after="70" w:before="150"/>
      </w:pPr>
      <w:r>
        <w:rPr>
          <w:rFonts w:ascii="Arial" w:cs="Arial" w:eastAsia="Arial" w:hAnsi="Arial"/>
          <w:b/>
          <w:bCs/>
          <w:color w:val="F2A900"/>
          <w:sz w:val="22"/>
          <w:szCs w:val="22"/>
        </w:rPr>
        <w:t xml:space="preserve">H-19 — Pass 1 &amp; 2   (Pre | Post)</w:t>
      </w:r>
    </w:p>
    <w:tbl>
      <w:tblPr>
        <w:tblW w:type="dxa" w:w="9120"/>
        <w:tblBorders>
          <w:top w:val="single" w:color="DDDDDD" w:sz="2"/>
          <w:left w:val="single" w:color="DDDDDD" w:sz="2"/>
          <w:bottom w:val="single" w:color="DDDDDD" w:sz="2"/>
          <w:right w:val="single" w:color="DDDDDD" w:sz="2"/>
          <w:insideH w:val="single" w:color="DDDDDD" w:sz="2"/>
          <w:insideV w:val="single" w:color="DDDDDD" w:sz="2"/>
        </w:tblBorders>
      </w:tblPr>
      <w:tblGrid>
        <w:gridCol w:w="1440"/>
        <w:gridCol w:w="1440"/>
        <w:gridCol w:w="1440"/>
        <w:gridCol w:w="480"/>
        <w:gridCol w:w="1440"/>
        <w:gridCol w:w="1440"/>
        <w:gridCol w:w="1440"/>
      </w:tblGrid>
      <w:tr>
        <w:trPr>
          <w:tblHeader/>
        </w:trPr>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c>
          <w:tcPr>
            <w:tcW w:type="dxa" w:w="48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1900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500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400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1770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420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400</w:t>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1670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390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350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1530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320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350</w:t>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1480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280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300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1350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250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300</w:t>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1220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205</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250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1100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165</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250</w:t>
            </w:r>
          </w:p>
        </w:tc>
      </w:tr>
    </w:tbl>
    <w:p>
      <w:pPr>
        <w:spacing w:after="70" w:before="150"/>
      </w:pPr>
      <w:r>
        <w:rPr>
          <w:rFonts w:ascii="Arial" w:cs="Arial" w:eastAsia="Arial" w:hAnsi="Arial"/>
          <w:b/>
          <w:bCs/>
          <w:color w:val="F2A900"/>
          <w:sz w:val="22"/>
          <w:szCs w:val="22"/>
        </w:rPr>
        <w:t xml:space="preserve">H-20 — Pass 1 &amp; 3   (Pre | Post)</w:t>
      </w:r>
    </w:p>
    <w:tbl>
      <w:tblPr>
        <w:tblW w:type="dxa" w:w="9120"/>
        <w:tblBorders>
          <w:top w:val="single" w:color="DDDDDD" w:sz="2"/>
          <w:left w:val="single" w:color="DDDDDD" w:sz="2"/>
          <w:bottom w:val="single" w:color="DDDDDD" w:sz="2"/>
          <w:right w:val="single" w:color="DDDDDD" w:sz="2"/>
          <w:insideH w:val="single" w:color="DDDDDD" w:sz="2"/>
          <w:insideV w:val="single" w:color="DDDDDD" w:sz="2"/>
        </w:tblBorders>
      </w:tblPr>
      <w:tblGrid>
        <w:gridCol w:w="1440"/>
        <w:gridCol w:w="1440"/>
        <w:gridCol w:w="1440"/>
        <w:gridCol w:w="480"/>
        <w:gridCol w:w="1440"/>
        <w:gridCol w:w="1440"/>
        <w:gridCol w:w="1440"/>
      </w:tblGrid>
      <w:tr>
        <w:trPr>
          <w:tblHeader/>
        </w:trPr>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c>
          <w:tcPr>
            <w:tcW w:type="dxa" w:w="48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1750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380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250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1220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225</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230</w:t>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1400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260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300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1150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160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200</w:t>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1100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145</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980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95</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150</w:t>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800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70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160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755</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100</w:t>
            </w:r>
          </w:p>
        </w:tc>
      </w:tr>
    </w:tbl>
    <w:p>
      <w:pPr>
        <w:spacing w:after="70" w:before="150"/>
      </w:pPr>
      <w:r>
        <w:rPr>
          <w:rFonts w:ascii="Arial" w:cs="Arial" w:eastAsia="Arial" w:hAnsi="Arial"/>
          <w:b/>
          <w:bCs/>
          <w:color w:val="F2A900"/>
          <w:sz w:val="22"/>
          <w:szCs w:val="22"/>
        </w:rPr>
        <w:t xml:space="preserve">H-20 — Pass 2 &amp; 4   (Pre | Post to be finalized)</w:t>
      </w:r>
    </w:p>
    <w:tbl>
      <w:tblPr>
        <w:tblW w:type="dxa" w:w="9120"/>
        <w:tblBorders>
          <w:top w:val="single" w:color="DDDDDD" w:sz="2"/>
          <w:left w:val="single" w:color="DDDDDD" w:sz="2"/>
          <w:bottom w:val="single" w:color="DDDDDD" w:sz="2"/>
          <w:right w:val="single" w:color="DDDDDD" w:sz="2"/>
          <w:insideH w:val="single" w:color="DDDDDD" w:sz="2"/>
          <w:insideV w:val="single" w:color="DDDDDD" w:sz="2"/>
        </w:tblBorders>
      </w:tblPr>
      <w:tblGrid>
        <w:gridCol w:w="1440"/>
        <w:gridCol w:w="1440"/>
        <w:gridCol w:w="1440"/>
        <w:gridCol w:w="480"/>
        <w:gridCol w:w="1440"/>
        <w:gridCol w:w="1440"/>
        <w:gridCol w:w="1440"/>
      </w:tblGrid>
      <w:tr>
        <w:trPr>
          <w:tblHeader/>
        </w:trPr>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c>
          <w:tcPr>
            <w:tcW w:type="dxa" w:w="48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1700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388</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400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1506</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305</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350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1298</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229</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300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1084</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169</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250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r>
    </w:tbl>
    <w:p>
      <w:pPr>
        <w:spacing w:after="70" w:before="150"/>
      </w:pPr>
      <w:r>
        <w:rPr>
          <w:rFonts w:ascii="Arial" w:cs="Arial" w:eastAsia="Arial" w:hAnsi="Arial"/>
          <w:b/>
          <w:bCs/>
          <w:color w:val="F2A900"/>
          <w:sz w:val="22"/>
          <w:szCs w:val="22"/>
        </w:rPr>
        <w:t xml:space="preserve">H-20 — Pass 3 &amp; 4 Convection Only   (Pre | Post to be finalized)</w:t>
      </w:r>
    </w:p>
    <w:tbl>
      <w:tblPr>
        <w:tblW w:type="dxa" w:w="9120"/>
        <w:tblBorders>
          <w:top w:val="single" w:color="DDDDDD" w:sz="2"/>
          <w:left w:val="single" w:color="DDDDDD" w:sz="2"/>
          <w:bottom w:val="single" w:color="DDDDDD" w:sz="2"/>
          <w:right w:val="single" w:color="DDDDDD" w:sz="2"/>
          <w:insideH w:val="single" w:color="DDDDDD" w:sz="2"/>
          <w:insideV w:val="single" w:color="DDDDDD" w:sz="2"/>
        </w:tblBorders>
      </w:tblPr>
      <w:tblGrid>
        <w:gridCol w:w="1440"/>
        <w:gridCol w:w="1440"/>
        <w:gridCol w:w="1440"/>
        <w:gridCol w:w="480"/>
        <w:gridCol w:w="1440"/>
        <w:gridCol w:w="1440"/>
        <w:gridCol w:w="1440"/>
      </w:tblGrid>
      <w:tr>
        <w:trPr>
          <w:tblHeader/>
        </w:trPr>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c>
          <w:tcPr>
            <w:tcW w:type="dxa" w:w="48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1900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440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550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1700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365</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500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1500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295</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450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1400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235</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400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r>
    </w:tbl>
    <w:p>
      <w:pPr>
        <w:spacing w:after="70" w:before="150"/>
      </w:pPr>
      <w:r>
        <w:rPr>
          <w:rFonts w:ascii="Arial" w:cs="Arial" w:eastAsia="Arial" w:hAnsi="Arial"/>
          <w:b/>
          <w:bCs/>
          <w:color w:val="F2A900"/>
          <w:sz w:val="22"/>
          <w:szCs w:val="22"/>
        </w:rPr>
        <w:t xml:space="preserve">H-20 — Pass 4 Radiant Only (isolated)   (Pre | Post)</w:t>
      </w:r>
    </w:p>
    <w:tbl>
      <w:tblPr>
        <w:tblW w:type="dxa" w:w="9120"/>
        <w:tblBorders>
          <w:top w:val="single" w:color="DDDDDD" w:sz="2"/>
          <w:left w:val="single" w:color="DDDDDD" w:sz="2"/>
          <w:bottom w:val="single" w:color="DDDDDD" w:sz="2"/>
          <w:right w:val="single" w:color="DDDDDD" w:sz="2"/>
          <w:insideH w:val="single" w:color="DDDDDD" w:sz="2"/>
          <w:insideV w:val="single" w:color="DDDDDD" w:sz="2"/>
        </w:tblBorders>
      </w:tblPr>
      <w:tblGrid>
        <w:gridCol w:w="1440"/>
        <w:gridCol w:w="1440"/>
        <w:gridCol w:w="1440"/>
        <w:gridCol w:w="480"/>
        <w:gridCol w:w="1440"/>
        <w:gridCol w:w="1440"/>
        <w:gridCol w:w="1440"/>
      </w:tblGrid>
      <w:tr>
        <w:trPr>
          <w:tblHeader/>
        </w:trPr>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c>
          <w:tcPr>
            <w:tcW w:type="dxa" w:w="48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RPM</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PSI</w:t>
            </w:r>
          </w:p>
        </w:tc>
        <w:tc>
          <w:tcPr>
            <w:tcW w:type="dxa" w:w="1440"/>
            <w:shd w:fill="222222" w:color="auto" w:val="clear"/>
            <w:tcMar>
              <w:top w:type="dxa" w:w="55"/>
              <w:left w:type="dxa" w:w="100"/>
              <w:bottom w:type="dxa" w:w="55"/>
              <w:right w:type="dxa" w:w="100"/>
            </w:tcMar>
            <w:vAlign w:val="center"/>
          </w:tcPr>
          <w:p>
            <w:pPr>
              <w:spacing w:after="0" w:before="0"/>
              <w:jc w:val="center"/>
            </w:pPr>
            <w:r>
              <w:rPr>
                <w:rFonts w:ascii="Arial" w:cs="Arial" w:eastAsia="Arial" w:hAnsi="Arial"/>
                <w:b/>
                <w:bCs/>
                <w:color w:val="FFFFFF"/>
                <w:sz w:val="18"/>
                <w:szCs w:val="18"/>
              </w:rPr>
              <w:t xml:space="preserve">GPM</w:t>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1570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385</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400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1280</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237</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400</w:t>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1390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318</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350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1132</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193</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350</w:t>
            </w:r>
          </w:p>
        </w:tc>
      </w:tr>
      <w:tr>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1178</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238</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300</w:t>
            </w:r>
          </w:p>
        </w:tc>
        <w:tc>
          <w:tcPr>
            <w:tcW w:type="dxa" w:w="48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991</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154</w:t>
            </w:r>
          </w:p>
        </w:tc>
        <w:tc>
          <w:tcPr>
            <w:tcW w:type="dxa" w:w="1440"/>
            <w:shd w:fill="FFFFFF"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300</w:t>
            </w:r>
          </w:p>
        </w:tc>
      </w:tr>
      <w:tr>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978</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172</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250</w:t>
            </w:r>
          </w:p>
        </w:tc>
        <w:tc>
          <w:tcPr>
            <w:tcW w:type="dxa" w:w="48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820</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114</w:t>
            </w:r>
          </w:p>
        </w:tc>
        <w:tc>
          <w:tcPr>
            <w:tcW w:type="dxa" w:w="1440"/>
            <w:shd w:fill="F7F7F7" w:color="auto" w:val="clear"/>
            <w:tcMar>
              <w:top w:type="dxa" w:w="55"/>
              <w:left w:type="dxa" w:w="100"/>
              <w:bottom w:type="dxa" w:w="55"/>
              <w:right w:type="dxa" w:w="100"/>
            </w:tcMar>
            <w:vAlign w:val="center"/>
          </w:tcPr>
          <w:p>
            <w:pPr>
              <w:spacing w:after="0" w:before="0"/>
              <w:jc w:val="center"/>
            </w:pPr>
            <w:r>
              <w:rPr>
                <w:rFonts w:ascii="Arial" w:cs="Arial" w:eastAsia="Arial" w:hAnsi="Arial"/>
                <w:b w:val="false"/>
                <w:bCs w:val="false"/>
                <w:color w:val="333333"/>
                <w:sz w:val="18"/>
                <w:szCs w:val="18"/>
              </w:rPr>
              <w:t xml:space="preserve">250</w:t>
            </w:r>
          </w:p>
        </w:tc>
      </w:tr>
    </w:tbl>
    <w:p>
      <w:r>
        <w:br w:type="page"/>
      </w:r>
    </w:p>
    <w:p>
      <w:pPr>
        <w:pBdr>
          <w:bottom w:val="single" w:color="F2A900" w:sz="20" w:space="4"/>
        </w:pBdr>
        <w:spacing w:after="110" w:before="200"/>
      </w:pPr>
      <w:r>
        <w:rPr>
          <w:rFonts w:ascii="Arial" w:cs="Arial" w:eastAsia="Arial" w:hAnsi="Arial"/>
          <w:b/>
          <w:bCs/>
          <w:color w:val="222222"/>
          <w:sz w:val="26"/>
          <w:szCs w:val="26"/>
        </w:rPr>
        <w:t xml:space="preserve">Cleaning Results</w:t>
      </w:r>
    </w:p>
    <w:p>
      <w:pPr>
        <w:spacing w:after="70" w:before="150"/>
      </w:pPr>
      <w:r>
        <w:rPr>
          <w:rFonts w:ascii="Arial" w:cs="Arial" w:eastAsia="Arial" w:hAnsi="Arial"/>
          <w:b/>
          <w:bCs/>
          <w:color w:val="F2A900"/>
          <w:sz w:val="22"/>
          <w:szCs w:val="22"/>
        </w:rPr>
        <w:t xml:space="preserve">H-20 Pass 3 — Pig Progression</w:t>
      </w:r>
    </w:p>
    <w:p>
      <w:pPr>
        <w:spacing w:after="120"/>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143125"/>
                    </a:xfrm>
                    <a:prstGeom prst="rect">
                      <a:avLst/>
                    </a:prstGeom>
                  </pic:spPr>
                </pic:pic>
              </a:graphicData>
            </a:graphic>
          </wp:inline>
        </w:drawing>
      </w:r>
    </w:p>
    <w:p>
      <w:pPr>
        <w:spacing w:after="120"/>
      </w:pPr>
      <w:r>
        <w:drawing>
          <wp:inline distT="0" distB="0" distL="0" distR="0">
            <wp:extent cx="2857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143125"/>
                    </a:xfrm>
                    <a:prstGeom prst="rect">
                      <a:avLst/>
                    </a:prstGeom>
                  </pic:spPr>
                </pic:pic>
              </a:graphicData>
            </a:graphic>
          </wp:inline>
        </w:drawing>
      </w:r>
    </w:p>
    <w:p>
      <w:r>
        <w:br w:type="page"/>
      </w:r>
    </w:p>
    <w:p>
      <w:pPr>
        <w:pBdr>
          <w:bottom w:val="single" w:color="F2A900" w:sz="20" w:space="4"/>
        </w:pBdr>
        <w:spacing w:after="110" w:before="200"/>
      </w:pPr>
      <w:r>
        <w:rPr>
          <w:rFonts w:ascii="Arial" w:cs="Arial" w:eastAsia="Arial" w:hAnsi="Arial"/>
          <w:b/>
          <w:bCs/>
          <w:color w:val="222222"/>
          <w:sz w:val="26"/>
          <w:szCs w:val="26"/>
        </w:rPr>
        <w:t xml:space="preserve">Project Summary</w:t>
      </w:r>
    </w:p>
    <w:p>
      <w:pPr>
        <w:spacing w:after="100" w:before="0"/>
      </w:pPr>
      <w:r>
        <w:rPr>
          <w:rFonts w:ascii="Arial" w:cs="Arial" w:eastAsia="Arial" w:hAnsi="Arial"/>
          <w:b w:val="false"/>
          <w:bCs w:val="false"/>
          <w:i w:val="false"/>
          <w:iCs w:val="false"/>
          <w:color w:val="333333"/>
          <w:sz w:val="19"/>
          <w:szCs w:val="19"/>
        </w:rPr>
        <w:t xml:space="preserve">USADebusk mechanically decoked two fired heaters — H-19 Crude Charge and H-20 Vertical Crude Hydro — for HF Sinclair at the Navajo Refinery during an emergency mobilization, July 10 through 17, 2026. Two TriMax pumping units worked in parallel, each on its own heater, supported by on-site filtration.</w:t>
      </w:r>
    </w:p>
    <w:p>
      <w:pPr>
        <w:spacing w:after="100" w:before="0"/>
      </w:pPr>
      <w:r>
        <w:rPr>
          <w:rFonts w:ascii="Arial" w:cs="Arial" w:eastAsia="Arial" w:hAnsi="Arial"/>
          <w:b w:val="false"/>
          <w:bCs w:val="false"/>
          <w:i w:val="false"/>
          <w:iCs w:val="false"/>
          <w:color w:val="333333"/>
          <w:sz w:val="19"/>
          <w:szCs w:val="19"/>
        </w:rPr>
        <w:t xml:space="preserve">The scope carried significant client-side stand-by (74 hours): H-20 was released first while H-19 remained on stand-by awaiting heater preparation until July 13, compounded by weather delays. H-20 was reconfigured in the field from the quoted single-pass radiant to a 4-coil looped-to-2-pass arrangement after its plugged Pass 4 was isolated and cleaned. A Quest smart pig on H-19 confirmed minimal residual coke.</w:t>
      </w:r>
    </w:p>
    <w:p>
      <w:pPr>
        <w:pBdr>
          <w:bottom w:val="single" w:color="F2A900" w:sz="20" w:space="4"/>
        </w:pBdr>
        <w:spacing w:after="110" w:before="200"/>
      </w:pPr>
      <w:r>
        <w:rPr>
          <w:rFonts w:ascii="Arial" w:cs="Arial" w:eastAsia="Arial" w:hAnsi="Arial"/>
          <w:b/>
          <w:bCs/>
          <w:color w:val="222222"/>
          <w:sz w:val="26"/>
          <w:szCs w:val="26"/>
        </w:rPr>
        <w:t xml:space="preserve">Project Close</w:t>
      </w:r>
    </w:p>
    <w:p>
      <w:pPr>
        <w:spacing w:after="200" w:before="0"/>
      </w:pPr>
      <w:r>
        <w:rPr>
          <w:rFonts w:ascii="Arial" w:cs="Arial" w:eastAsia="Arial" w:hAnsi="Arial"/>
          <w:b w:val="false"/>
          <w:bCs w:val="false"/>
          <w:i w:val="false"/>
          <w:iCs w:val="false"/>
          <w:color w:val="333333"/>
          <w:sz w:val="19"/>
          <w:szCs w:val="19"/>
        </w:rPr>
        <w:t xml:space="preserve">Both heaters were cleaned, verified, and returned to HF Sinclair. Equipment was decontaminated and demobilized from the facility on July 17, 2026.</w:t>
      </w:r>
    </w:p>
    <w:p>
      <w:pPr>
        <w:spacing w:after="20" w:before="120"/>
      </w:pPr>
      <w:r>
        <w:rPr>
          <w:rFonts w:ascii="Arial" w:cs="Arial" w:eastAsia="Arial" w:hAnsi="Arial"/>
          <w:b/>
          <w:bCs/>
          <w:color w:val="222222"/>
          <w:sz w:val="20"/>
          <w:szCs w:val="20"/>
        </w:rPr>
        <w:t xml:space="preserve">Dacorey Slater</w:t>
      </w:r>
    </w:p>
    <w:p>
      <w:pPr>
        <w:spacing w:after="0" w:before="0"/>
      </w:pPr>
      <w:r>
        <w:rPr>
          <w:rFonts w:ascii="Arial" w:cs="Arial" w:eastAsia="Arial" w:hAnsi="Arial"/>
          <w:b w:val="false"/>
          <w:bCs w:val="false"/>
          <w:i w:val="false"/>
          <w:iCs w:val="false"/>
          <w:color w:val="333333"/>
          <w:sz w:val="18"/>
          <w:szCs w:val="18"/>
        </w:rPr>
        <w:t xml:space="preserve">Project Manager · USADebusk</w:t>
      </w:r>
    </w:p>
    <w:p>
      <w:pPr>
        <w:spacing w:after="0" w:before="0"/>
      </w:pPr>
      <w:r>
        <w:rPr>
          <w:rFonts w:ascii="Arial" w:cs="Arial" w:eastAsia="Arial" w:hAnsi="Arial"/>
          <w:b w:val="false"/>
          <w:bCs w:val="false"/>
          <w:i w:val="false"/>
          <w:iCs w:val="false"/>
          <w:color w:val="333333"/>
          <w:sz w:val="18"/>
          <w:szCs w:val="18"/>
        </w:rPr>
        <w:t xml:space="preserve">Cell: (832) 997-2072</w:t>
      </w:r>
    </w:p>
    <w:p>
      <w:pPr>
        <w:spacing w:after="0" w:before="0"/>
      </w:pPr>
      <w:r>
        <w:rPr>
          <w:rFonts w:ascii="Arial" w:cs="Arial" w:eastAsia="Arial" w:hAnsi="Arial"/>
          <w:b w:val="false"/>
          <w:bCs w:val="false"/>
          <w:i w:val="false"/>
          <w:iCs w:val="false"/>
          <w:color w:val="333333"/>
          <w:sz w:val="18"/>
          <w:szCs w:val="18"/>
        </w:rPr>
        <w:t xml:space="preserve">dslater@usadebusk.com</w:t>
      </w:r>
    </w:p>
    <w:sectPr>
      <w:headerReference w:type="default" r:id="rId7"/>
      <w:footerReference w:type="default" r:id="rId8"/>
      <w:pgSz w:w="12240" w:h="15840" w:orient="portrait"/>
      <w:pgMar w:top="1500" w:right="1080" w:bottom="1080" w:left="1080" w:header="6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8D8" w:sz="4" w:space="6"/>
      </w:pBdr>
      <w:tabs>
        <w:tab w:val="right" w:pos="10080"/>
      </w:tabs>
    </w:pPr>
    <w:r>
      <w:rPr>
        <w:rFonts w:ascii="Arial" w:cs="Arial" w:eastAsia="Arial" w:hAnsi="Arial"/>
        <w:color w:val="8a8a8a"/>
        <w:sz w:val="16"/>
        <w:szCs w:val="16"/>
      </w:rPr>
      <w:t xml:space="preserve">USADebusk  |  Deer Park, TX  |  usadebusk.com</w:t>
    </w:r>
    <w:r>
      <w:rPr>
        <w:rFonts w:ascii="Arial" w:cs="Arial" w:eastAsia="Arial" w:hAnsi="Arial"/>
      </w:rPr>
      <w:t xml:space="preserve">	</w:t>
    </w:r>
    <w:r>
      <w:rPr>
        <w:rFonts w:ascii="Arial" w:cs="Arial" w:eastAsia="Arial" w:hAnsi="Arial"/>
        <w:color w:val="8a8a8a"/>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none" w:color="auto" w:sz="0"/>
        <w:left w:val="none" w:color="auto" w:sz="0"/>
        <w:bottom w:val="none" w:color="auto" w:sz="0"/>
        <w:right w:val="none" w:color="auto" w:sz="0"/>
        <w:insideH w:val="none" w:color="auto" w:sz="0"/>
        <w:insideV w:val="none" w:color="auto" w:sz="0"/>
      </w:tblBorders>
    </w:tblPr>
    <w:tblGrid>
      <w:gridCol w:w="2600"/>
      <w:gridCol w:w="7480"/>
    </w:tblGrid>
    <w:tr>
      <w:tc>
        <w:tcPr>
          <w:tcW w:type="dxa" w:w="2600"/>
          <w:tcBorders>
            <w:top w:val="none" w:color="auto" w:sz="0"/>
            <w:left w:val="none" w:color="auto" w:sz="0"/>
            <w:bottom w:val="none" w:color="auto" w:sz="0"/>
            <w:right w:val="none" w:color="auto" w:sz="0"/>
          </w:tcBorders>
          <w:vAlign w:val="center"/>
        </w:tcPr>
        <w:p>
          <w:pPr>
            <w:pBdr>
              <w:top w:val="dashed" w:color="BBBBBB" w:sz="6" w:space="3"/>
              <w:bottom w:val="dashed" w:color="BBBBBB" w:sz="6" w:space="3"/>
              <w:left w:val="dashed" w:color="BBBBBB" w:sz="6" w:space="6"/>
              <w:right w:val="dashed" w:color="BBBBBB" w:sz="6" w:space="6"/>
            </w:pBdr>
          </w:pPr>
          <w:r>
            <w:rPr>
              <w:rFonts w:ascii="Arial" w:cs="Arial" w:eastAsia="Arial" w:hAnsi="Arial"/>
              <w:b/>
              <w:bCs/>
              <w:color w:val="8a8a8a"/>
              <w:sz w:val="18"/>
              <w:szCs w:val="18"/>
            </w:rPr>
            <w:t xml:space="preserve">[ logo ]</w:t>
          </w:r>
        </w:p>
      </w:tc>
      <w:tc>
        <w:tcPr>
          <w:tcW w:type="dxa" w:w="7480"/>
          <w:tcBorders>
            <w:top w:val="none" w:color="auto" w:sz="0"/>
            <w:left w:val="none" w:color="auto" w:sz="0"/>
            <w:bottom w:val="none" w:color="auto" w:sz="0"/>
            <w:right w:val="none" w:color="auto" w:sz="0"/>
          </w:tcBorders>
          <w:vAlign w:val="center"/>
        </w:tcPr>
        <w:p>
          <w:pPr>
            <w:spacing w:after="0"/>
            <w:jc w:val="right"/>
          </w:pPr>
          <w:r>
            <w:rPr>
              <w:rFonts w:ascii="Arial" w:cs="Arial" w:eastAsia="Arial" w:hAnsi="Arial"/>
              <w:b/>
              <w:bCs/>
              <w:color w:val="222222"/>
              <w:sz w:val="20"/>
              <w:szCs w:val="20"/>
            </w:rPr>
            <w:t xml:space="preserve">JR-DCK-HFS26038   ·   REV 0</w:t>
          </w:r>
        </w:p>
        <w:p>
          <w:pPr>
            <w:spacing w:before="10"/>
            <w:jc w:val="right"/>
          </w:pPr>
          <w:r>
            <w:rPr>
              <w:rFonts w:ascii="Arial" w:cs="Arial" w:eastAsia="Arial" w:hAnsi="Arial"/>
              <w:color w:val="8a8a8a"/>
              <w:sz w:val="15"/>
              <w:szCs w:val="15"/>
            </w:rPr>
            <w:t xml:space="preserve">Pigging / Decoking  |  2 Heaters  |  HF Sinclair Navajo</w:t>
          </w:r>
        </w:p>
      </w:tc>
    </w:tr>
  </w:tbl>
  <w:p>
    <w:pPr>
      <w:pBdr>
        <w:bottom w:val="single" w:color="F2A900" w:sz="20" w:space="2"/>
      </w:pBdr>
      <w:spacing w:after="0" w:before="20"/>
    </w:pPr>
    <w:r>
      <w:rPr>
        <w:rFonts w:ascii="Arial" w:cs="Arial" w:eastAsia="Arial" w:hAnsi="Arial"/>
        <w:b w:val="false"/>
        <w:bCs w:val="false"/>
        <w:i w:val="false"/>
        <w:iCs w:val="false"/>
        <w:color w:val="333333"/>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d62ea140ea87ba17c7f091e0e31463690f441b0.jpg"/><Relationship Id="rId10" Type="http://schemas.openxmlformats.org/officeDocument/2006/relationships/image" Target="media/756e36494c380dcad3c3a8239dd69a8d33b2d25c.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2026-07-21T19:13:00.456Z</dcterms:created>
  <dcterms:modified xsi:type="dcterms:W3CDTF">2026-07-21T19:13:00.457Z</dcterms:modified>
</cp:coreProperties>
</file>

<file path=docProps/custom.xml><?xml version="1.0" encoding="utf-8"?>
<Properties xmlns="http://schemas.openxmlformats.org/officeDocument/2006/custom-properties" xmlns:vt="http://schemas.openxmlformats.org/officeDocument/2006/docPropsVTypes"/>
</file>