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FCC30A"/>
          <w:sz w:val="20"/>
        </w:rPr>
        <w:t>2026 TURNAROUND MECHANICAL DECOKE</w:t>
      </w:r>
    </w:p>
    <w:p>
      <w:pPr>
        <w:spacing w:before="0" w:after="40"/>
      </w:pPr>
      <w:r>
        <w:rPr>
          <w:rFonts w:ascii="Arial" w:hAnsi="Arial"/>
          <w:b/>
          <w:color w:val="222222"/>
          <w:sz w:val="44"/>
        </w:rPr>
        <w:t>Crude Furnace — PR-170028</w:t>
      </w:r>
    </w:p>
    <w:p>
      <w:pPr>
        <w:spacing w:before="0" w:after="160"/>
      </w:pPr>
      <w:r>
        <w:rPr>
          <w:rFonts w:ascii="Arial" w:hAnsi="Arial"/>
          <w:b w:val="0"/>
          <w:color w:val="555555"/>
          <w:sz w:val="20"/>
        </w:rPr>
        <w:t>Job Report  |  USADebusk  |  Cenovus Lima Refinery — Lima, OH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2639"/>
        <w:gridCol w:w="2639"/>
        <w:gridCol w:w="2639"/>
      </w:tblGrid>
      <w:tr>
        <w:tc>
          <w:tcPr>
            <w:tcW w:type="dxa" w:w="2016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PROJECT NO.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FACILITY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EXECUTION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PROJECT MANAGER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USA26046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Cenovus Lima Refinery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Sep 17 – 25, 2026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Peter Campbell</w:t>
            </w:r>
          </w:p>
        </w:tc>
      </w:tr>
      <w:tr>
        <w:tc>
          <w:tcPr>
            <w:tcW w:type="dxa" w:w="2016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WORK ORDER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HEATER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82036534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TA Mechanical Decoke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PR-170028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9 days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12" w:space="0" w:color="FCC30A"/>
          <w:bottom w:val="single" w:sz="12" w:space="0" w:color="FCC30A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2639"/>
        <w:gridCol w:w="2639"/>
        <w:gridCol w:w="2639"/>
      </w:tblGrid>
      <w:tr>
        <w:tc>
          <w:tcPr>
            <w:tcW w:type="dxa" w:w="201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222222"/>
                <w:sz w:val="42"/>
              </w:rPr>
              <w:t>192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222222"/>
                <w:sz w:val="42"/>
              </w:rPr>
              <w:t>0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222222"/>
                <w:sz w:val="42"/>
              </w:rPr>
              <w:t>201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222222"/>
                <w:sz w:val="42"/>
              </w:rPr>
              <w:t>8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888888"/>
                <w:sz w:val="15"/>
              </w:rPr>
              <w:t>OPERATING HOURS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888888"/>
                <w:sz w:val="15"/>
              </w:rPr>
              <w:t>STAND-BY HOURS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888888"/>
                <w:sz w:val="15"/>
              </w:rPr>
              <w:t>PIGS RUN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888888"/>
                <w:sz w:val="15"/>
              </w:rPr>
              <w:t>PASSES</w:t>
            </w:r>
          </w:p>
        </w:tc>
      </w:tr>
    </w:tbl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Project Information</w:t>
      </w:r>
    </w:p>
    <w:p>
      <w:pPr>
        <w:spacing w:before="160" w:after="60"/>
      </w:pPr>
      <w:r>
        <w:rPr>
          <w:rFonts w:ascii="Arial" w:hAnsi="Arial"/>
          <w:b/>
          <w:color w:val="FCC30A"/>
          <w:sz w:val="22"/>
        </w:rPr>
        <w:t>Customer Details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7920"/>
      </w:tblGrid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FACILITY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Cenovus Lima Refinery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ADDRESS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1150 S Metcalf St, Lima, OH 45804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WORK ORDER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82036534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CONTACT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Alfredo Trevino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FCC30A"/>
          <w:sz w:val="22"/>
        </w:rPr>
        <w:t>Project Details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7920"/>
      </w:tblGrid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SCOPE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2026 turnaround mechanical decoke of the Crude Furnace, with filtration and smart-pig support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EXECUTION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September 17 – 25, 2026  (9 days)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HEATER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PR-170028 Crude Furnace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EQUIPMENT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(1) Trimax Pumper (Trimax 5) · (1) Support Unit · (1) Filter Press (Press 3) · Crew Truck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FCC30A"/>
          <w:sz w:val="22"/>
        </w:rPr>
        <w:t>Crew Details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7920"/>
      </w:tblGrid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PROJECT MANAGER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Peter Campbell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SHIFT LEAD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Day — Peter Campbell; Night — James McDaniel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DAYSHIFT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Rodney Lynch, Brody Lebleau, David Charles, Adrian Garza, Travis Trenholm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NIGHTSHIFT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Justin Kelly, Mikee Green, Jeremiah Harman</w:t>
            </w:r>
          </w:p>
        </w:tc>
      </w:tr>
    </w:tbl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Project Duration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1584"/>
        <w:gridCol w:w="1584"/>
        <w:gridCol w:w="1584"/>
        <w:gridCol w:w="1584"/>
        <w:gridCol w:w="1584"/>
      </w:tblGrid>
      <w:tr>
        <w:tc>
          <w:tcPr>
            <w:tcW w:type="dxa" w:w="2016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RIG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PIG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SMART PIG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SUBTOTAL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PR-170028 Crude Furnace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Trimax 5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35.75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118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38.25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192</w:t>
            </w:r>
          </w:p>
        </w:tc>
      </w:tr>
    </w:tbl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Stand-By Summary</w:t>
      </w:r>
    </w:p>
    <w:p>
      <w:pPr>
        <w:spacing w:before="40" w:after="120" w:line="276" w:lineRule="auto"/>
      </w:pPr>
      <w:r>
        <w:rPr>
          <w:rFonts w:ascii="Arial" w:hAnsi="Arial"/>
          <w:b w:val="0"/>
          <w:color w:val="555555"/>
          <w:sz w:val="20"/>
        </w:rPr>
        <w:t>No stand-by was recorded on the daily service receipts: all 192 pumping-unit hours on this heater were operating hours.</w:t>
      </w:r>
    </w:p>
    <w:p>
      <w:pPr>
        <w:keepNext/>
        <w:spacing w:before="0" w:after="0" w:line="80" w:lineRule="exact"/>
      </w:pP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222222"/>
          <w:left w:val="single" w:sz="4" w:space="0" w:color="222222"/>
          <w:bottom w:val="single" w:sz="4" w:space="0" w:color="222222"/>
          <w:right w:val="single" w:sz="4" w:space="0" w:color="222222"/>
          <w:insideH w:val="single" w:sz="4" w:space="0" w:color="222222"/>
          <w:insideV w:val="single" w:sz="4" w:space="0" w:color="222222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9936"/>
      </w:tblGrid>
      <w:tr>
        <w:tc>
          <w:tcPr>
            <w:tcW w:type="dxa" w:w="9936"/>
            <w:shd w:val="clear" w:fill="222222"/>
            <w:tcBorders>
              <w:bottom w:val="single" w:sz="18" w:space="0" w:color="FCC30A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PR-170028  —  Crude Furnace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7920"/>
      </w:tblGrid>
      <w:tr>
        <w:tc>
          <w:tcPr>
            <w:tcW w:type="dxa" w:w="2016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Number of Passes</w:t>
            </w:r>
          </w:p>
        </w:tc>
        <w:tc>
          <w:tcPr>
            <w:tcW w:type="dxa" w:w="7920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8, pigged individually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Total Footage</w:t>
            </w:r>
          </w:p>
        </w:tc>
        <w:tc>
          <w:tcPr>
            <w:tcW w:type="dxa" w:w="7920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23,856 ft  (2,982 ft per pass)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Convection Tube ID</w:t>
            </w:r>
          </w:p>
        </w:tc>
        <w:tc>
          <w:tcPr>
            <w:tcW w:type="dxa" w:w="7920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5.761" (6" Sch 80S)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Radiant Tube ID</w:t>
            </w:r>
          </w:p>
        </w:tc>
        <w:tc>
          <w:tcPr>
            <w:tcW w:type="dxa" w:w="7920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7.625" (8" Sch 80S)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Metallurgy</w:t>
            </w:r>
          </w:p>
        </w:tc>
        <w:tc>
          <w:tcPr>
            <w:tcW w:type="dxa" w:w="7920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A312 TP317/317L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Return Bends</w:t>
            </w:r>
          </w:p>
        </w:tc>
        <w:tc>
          <w:tcPr>
            <w:tcW w:type="dxa" w:w="7920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180° short-radius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Smart Pigging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Yes — Intero</w:t>
            </w:r>
          </w:p>
        </w:tc>
      </w:tr>
    </w:tbl>
    <w:p>
      <w:pPr>
        <w:spacing w:before="40" w:after="120" w:line="276" w:lineRule="auto"/>
      </w:pPr>
      <w:r>
        <w:rPr>
          <w:rFonts w:ascii="Arial" w:hAnsi="Arial"/>
          <w:b/>
          <w:color w:val="222222"/>
          <w:sz w:val="20"/>
        </w:rPr>
        <w:t xml:space="preserve">Decoking Analysis:  </w:t>
      </w:r>
      <w:r>
        <w:rPr>
          <w:rFonts w:ascii="Arial" w:hAnsi="Arial"/>
          <w:b w:val="0"/>
          <w:color w:val="555555"/>
          <w:sz w:val="20"/>
        </w:rPr>
        <w:t>Fouling was concentrated in the upper 8" radiant tubes, tubes 1 through 5, with lighter fouling through the balance of the coil. Average pigging time was approximately 39 hours per pass.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1589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-PR-1700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89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hAnsi="Arial"/>
          <w:b w:val="0"/>
          <w:color w:val="888888"/>
          <w:sz w:val="16"/>
        </w:rPr>
        <w:t>PR-170028 - task hours by shift, from the daily service receipts.</w:t>
      </w:r>
    </w:p>
    <w:p>
      <w:pPr>
        <w:keepNext/>
        <w:spacing w:before="160" w:after="60"/>
      </w:pPr>
      <w:r>
        <w:rPr>
          <w:rFonts w:ascii="Arial" w:hAnsi="Arial"/>
          <w:b/>
          <w:color w:val="FCC30A"/>
          <w:sz w:val="22"/>
        </w:rPr>
        <w:t>Pigs Used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SIZE — QTY</w:t>
            </w:r>
          </w:p>
        </w:tc>
        <w:tc>
          <w:tcPr>
            <w:tcW w:type="dxa" w:w="24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SIZE — QTY</w:t>
            </w:r>
          </w:p>
        </w:tc>
        <w:tc>
          <w:tcPr>
            <w:tcW w:type="dxa" w:w="24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SIZE — QTY</w:t>
            </w:r>
          </w:p>
        </w:tc>
        <w:tc>
          <w:tcPr>
            <w:tcW w:type="dxa" w:w="24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SIZE — QTY</w:t>
            </w:r>
          </w:p>
        </w:tc>
      </w:tr>
      <w:tr>
        <w:tc>
          <w:tcPr>
            <w:tcW w:type="dxa" w:w="24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6"  —  30</w:t>
            </w:r>
          </w:p>
        </w:tc>
        <w:tc>
          <w:tcPr>
            <w:tcW w:type="dxa" w:w="24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6.25"  —  50</w:t>
            </w:r>
          </w:p>
        </w:tc>
        <w:tc>
          <w:tcPr>
            <w:tcW w:type="dxa" w:w="24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8"  —  40</w:t>
            </w:r>
          </w:p>
        </w:tc>
        <w:tc>
          <w:tcPr>
            <w:tcW w:type="dxa" w:w="24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8.5"  —  12</w:t>
            </w:r>
          </w:p>
        </w:tc>
      </w:tr>
      <w:tr>
        <w:tc>
          <w:tcPr>
            <w:tcW w:type="dxa" w:w="2484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6.125"  —  12</w:t>
            </w:r>
          </w:p>
        </w:tc>
        <w:tc>
          <w:tcPr>
            <w:tcW w:type="dxa" w:w="2484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7.75"  —  3</w:t>
            </w:r>
          </w:p>
        </w:tc>
        <w:tc>
          <w:tcPr>
            <w:tcW w:type="dxa" w:w="2484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8.25"  —  54</w:t>
            </w:r>
          </w:p>
        </w:tc>
        <w:tc>
          <w:tcPr>
            <w:tcW w:type="dxa" w:w="2484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</w:r>
          </w:p>
        </w:tc>
      </w:tr>
      <w:tr>
        <w:tc>
          <w:tcPr>
            <w:tcW w:type="dxa" w:w="2484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TOTAL  —  201</w:t>
            </w:r>
          </w:p>
        </w:tc>
        <w:tc>
          <w:tcPr>
            <w:tcW w:type="dxa" w:w="2484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484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2484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FCC30A"/>
          <w:sz w:val="22"/>
        </w:rPr>
        <w:t>Flow Tests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" w:type="dxa"/>
          <w:bottom w:w="8" w:type="dxa"/>
          <w:left w:w="60" w:type="dxa"/>
          <w:right w:w="60" w:type="dxa"/>
        </w:tblCellMar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Pass 1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1054"/>
              <w:gridCol w:w="1294"/>
              <w:gridCol w:w="1294"/>
              <w:gridCol w:w="1150"/>
            </w:tblGrid>
            <w:tr>
              <w:tc>
                <w:tcPr>
                  <w:tcW w:type="dxa" w:w="105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1151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750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310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270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40</w:t>
                  </w:r>
                </w:p>
              </w:tc>
            </w:tr>
            <w:tr>
              <w:tc>
                <w:tcPr>
                  <w:tcW w:type="dxa" w:w="105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700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285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255</w:t>
                  </w:r>
                </w:p>
              </w:tc>
              <w:tc>
                <w:tcPr>
                  <w:tcW w:type="dxa" w:w="1151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30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225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</w:t>
                  </w:r>
                </w:p>
              </w:tc>
            </w:tr>
          </w:tbl>
          <w:p/>
        </w:tc>
        <w:tc>
          <w:tcPr>
            <w:tcW w:type="dxa" w:w="4968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Pass 2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1054"/>
              <w:gridCol w:w="1294"/>
              <w:gridCol w:w="1294"/>
              <w:gridCol w:w="1150"/>
            </w:tblGrid>
            <w:tr>
              <w:tc>
                <w:tcPr>
                  <w:tcW w:type="dxa" w:w="105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1151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750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315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280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35</w:t>
                  </w:r>
                </w:p>
              </w:tc>
            </w:tr>
            <w:tr>
              <w:tc>
                <w:tcPr>
                  <w:tcW w:type="dxa" w:w="105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700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295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270</w:t>
                  </w:r>
                </w:p>
              </w:tc>
              <w:tc>
                <w:tcPr>
                  <w:tcW w:type="dxa" w:w="1151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270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15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" w:type="dxa"/>
          <w:bottom w:w="8" w:type="dxa"/>
          <w:left w:w="60" w:type="dxa"/>
          <w:right w:w="60" w:type="dxa"/>
        </w:tblCellMar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Pass 3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1054"/>
              <w:gridCol w:w="1294"/>
              <w:gridCol w:w="1294"/>
              <w:gridCol w:w="1150"/>
            </w:tblGrid>
            <w:tr>
              <w:tc>
                <w:tcPr>
                  <w:tcW w:type="dxa" w:w="105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1151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750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305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45</w:t>
                  </w:r>
                </w:p>
              </w:tc>
            </w:tr>
            <w:tr>
              <w:tc>
                <w:tcPr>
                  <w:tcW w:type="dxa" w:w="105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650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275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220</w:t>
                  </w:r>
                </w:p>
              </w:tc>
              <w:tc>
                <w:tcPr>
                  <w:tcW w:type="dxa" w:w="1151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55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550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220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165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55</w:t>
                  </w:r>
                </w:p>
              </w:tc>
            </w:tr>
          </w:tbl>
          <w:p/>
        </w:tc>
        <w:tc>
          <w:tcPr>
            <w:tcW w:type="dxa" w:w="4968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Pass 4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1054"/>
              <w:gridCol w:w="1294"/>
              <w:gridCol w:w="1294"/>
              <w:gridCol w:w="1150"/>
            </w:tblGrid>
            <w:tr>
              <w:tc>
                <w:tcPr>
                  <w:tcW w:type="dxa" w:w="105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1151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750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324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295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29</w:t>
                  </w:r>
                </w:p>
              </w:tc>
            </w:tr>
            <w:tr>
              <w:tc>
                <w:tcPr>
                  <w:tcW w:type="dxa" w:w="105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650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248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230</w:t>
                  </w:r>
                </w:p>
              </w:tc>
              <w:tc>
                <w:tcPr>
                  <w:tcW w:type="dxa" w:w="1151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18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550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177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165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12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" w:type="dxa"/>
          <w:bottom w:w="8" w:type="dxa"/>
          <w:left w:w="60" w:type="dxa"/>
          <w:right w:w="60" w:type="dxa"/>
        </w:tblCellMar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Pass 5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1054"/>
              <w:gridCol w:w="1294"/>
              <w:gridCol w:w="1294"/>
              <w:gridCol w:w="1150"/>
            </w:tblGrid>
            <w:tr>
              <w:tc>
                <w:tcPr>
                  <w:tcW w:type="dxa" w:w="105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1151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750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270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245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</w:t>
                  </w:r>
                </w:p>
              </w:tc>
            </w:tr>
            <w:tr>
              <w:tc>
                <w:tcPr>
                  <w:tcW w:type="dxa" w:w="105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650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215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190</w:t>
                  </w:r>
                </w:p>
              </w:tc>
              <w:tc>
                <w:tcPr>
                  <w:tcW w:type="dxa" w:w="1151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550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155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125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30</w:t>
                  </w:r>
                </w:p>
              </w:tc>
            </w:tr>
          </w:tbl>
          <w:p/>
        </w:tc>
        <w:tc>
          <w:tcPr>
            <w:tcW w:type="dxa" w:w="4968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Pass 6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1054"/>
              <w:gridCol w:w="1294"/>
              <w:gridCol w:w="1294"/>
              <w:gridCol w:w="1150"/>
            </w:tblGrid>
            <w:tr>
              <w:tc>
                <w:tcPr>
                  <w:tcW w:type="dxa" w:w="105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1151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800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300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285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15</w:t>
                  </w:r>
                </w:p>
              </w:tc>
            </w:tr>
            <w:tr>
              <w:tc>
                <w:tcPr>
                  <w:tcW w:type="dxa" w:w="105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700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280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255</w:t>
                  </w:r>
                </w:p>
              </w:tc>
              <w:tc>
                <w:tcPr>
                  <w:tcW w:type="dxa" w:w="1151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600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240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205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35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" w:type="dxa"/>
          <w:bottom w:w="8" w:type="dxa"/>
          <w:left w:w="60" w:type="dxa"/>
          <w:right w:w="60" w:type="dxa"/>
        </w:tblCellMar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Pass 7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1054"/>
              <w:gridCol w:w="1294"/>
              <w:gridCol w:w="1294"/>
              <w:gridCol w:w="1150"/>
            </w:tblGrid>
            <w:tr>
              <w:tc>
                <w:tcPr>
                  <w:tcW w:type="dxa" w:w="105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1151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800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290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265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</w:t>
                  </w:r>
                </w:p>
              </w:tc>
            </w:tr>
            <w:tr>
              <w:tc>
                <w:tcPr>
                  <w:tcW w:type="dxa" w:w="105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700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265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240</w:t>
                  </w:r>
                </w:p>
              </w:tc>
              <w:tc>
                <w:tcPr>
                  <w:tcW w:type="dxa" w:w="1151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600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230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205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</w:t>
                  </w:r>
                </w:p>
              </w:tc>
            </w:tr>
          </w:tbl>
          <w:p/>
        </w:tc>
        <w:tc>
          <w:tcPr>
            <w:tcW w:type="dxa" w:w="4968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Pass 8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1054"/>
              <w:gridCol w:w="1294"/>
              <w:gridCol w:w="1294"/>
              <w:gridCol w:w="1150"/>
            </w:tblGrid>
            <w:tr>
              <w:tc>
                <w:tcPr>
                  <w:tcW w:type="dxa" w:w="105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129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1151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800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221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29</w:t>
                  </w:r>
                </w:p>
              </w:tc>
            </w:tr>
            <w:tr>
              <w:tc>
                <w:tcPr>
                  <w:tcW w:type="dxa" w:w="105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700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220</w:t>
                  </w:r>
                </w:p>
              </w:tc>
              <w:tc>
                <w:tcPr>
                  <w:tcW w:type="dxa" w:w="129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190</w:t>
                  </w:r>
                </w:p>
              </w:tc>
              <w:tc>
                <w:tcPr>
                  <w:tcW w:type="dxa" w:w="1151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30</w:t>
                  </w:r>
                </w:p>
              </w:tc>
            </w:tr>
            <w:tr>
              <w:tc>
                <w:tcPr>
                  <w:tcW w:type="dxa" w:w="105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600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200</w:t>
                  </w:r>
                </w:p>
              </w:tc>
              <w:tc>
                <w:tcPr>
                  <w:tcW w:type="dxa" w:w="129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165</w:t>
                  </w:r>
                </w:p>
              </w:tc>
              <w:tc>
                <w:tcPr>
                  <w:tcW w:type="dxa" w:w="1151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35</w:t>
                  </w:r>
                </w:p>
              </w:tc>
            </w:tr>
          </w:tbl>
          <w:p/>
        </w:tc>
      </w:tr>
    </w:tbl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Project Summary</w:t>
      </w:r>
    </w:p>
    <w:p>
      <w:pPr>
        <w:spacing w:before="40" w:after="120" w:line="276" w:lineRule="auto"/>
      </w:pPr>
      <w:r>
        <w:rPr>
          <w:rFonts w:ascii="Arial" w:hAnsi="Arial"/>
          <w:b w:val="0"/>
          <w:color w:val="555555"/>
          <w:sz w:val="20"/>
        </w:rPr>
        <w:t>USADebusk performed the mechanical decoke of the Crude Furnace (PR-170028) for Cenovus at the Lima Refinery during the 2026 turnaround, September 17 – 25, on Trimax 5 with filtration through Press 3. The eight passes were run in three sets — 8, 7 and 6; then 5, 4 and 3; then 1 and 2 — and smart-pigged by Intero after cleaning. The heater ran 192 operating hours with no stand-by, using 201 pigs.</w:t>
      </w:r>
    </w:p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Project Close</w:t>
      </w:r>
    </w:p>
    <w:p>
      <w:pPr>
        <w:spacing w:before="40" w:after="120" w:line="276" w:lineRule="auto"/>
      </w:pPr>
      <w:r>
        <w:rPr>
          <w:rFonts w:ascii="Arial" w:hAnsi="Arial"/>
          <w:b w:val="0"/>
          <w:color w:val="555555"/>
          <w:sz w:val="20"/>
        </w:rPr>
        <w:t>The Crude Furnace was cleaned, rigged out and returned to Cenovus on September 25, 2026.</w:t>
      </w:r>
    </w:p>
    <w:p>
      <w:pPr>
        <w:keepNext/>
        <w:spacing w:before="40" w:after="120" w:line="276" w:lineRule="auto"/>
      </w:pPr>
      <w:r>
        <w:rPr>
          <w:rFonts w:ascii="Arial" w:hAnsi="Arial"/>
          <w:b w:val="0"/>
          <w:color w:val="555555"/>
          <w:sz w:val="20"/>
        </w:rPr>
        <w:t>USADebusk thanks the Cenovus Lima team for their coordination and support throughout the turnaround, and we look forward to continuing to serve your decoking and pigging needs.</w:t>
      </w:r>
    </w:p>
    <w:p>
      <w:pPr>
        <w:keepNext/>
        <w:spacing w:before="200" w:after="0"/>
      </w:pPr>
      <w:r>
        <w:rPr>
          <w:rFonts w:ascii="Arial" w:hAnsi="Arial"/>
          <w:b/>
          <w:color w:val="222222"/>
          <w:sz w:val="20"/>
        </w:rPr>
        <w:t>Peter Campbell  |  Pigging and Decoking SME</w:t>
      </w:r>
    </w:p>
    <w:p>
      <w:pPr>
        <w:keepNext w:val="0"/>
        <w:spacing w:before="0" w:after="0"/>
      </w:pPr>
      <w:r>
        <w:rPr>
          <w:rFonts w:ascii="Arial" w:hAnsi="Arial"/>
          <w:b w:val="0"/>
          <w:color w:val="222222"/>
          <w:sz w:val="20"/>
        </w:rPr>
        <w:t>Cell: 832-920-4253  |  pcampbell@usadebusk.com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1152" w:bottom="1008" w:left="1152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888888"/>
        <w:sz w:val="16"/>
      </w:rPr>
      <w:t>USADebusk  |  Deer Park, TX  |  usadebusk.com</w:t>
    </w:r>
    <w:r>
      <w:rPr>
        <w:rFonts w:ascii="Arial" w:hAnsi="Arial"/>
        <w:b w:val="0"/>
        <w:color w:val="888888"/>
        <w:sz w:val="16"/>
      </w:rPr>
      <w:t xml:space="preserve">          </w:t>
    </w:r>
    <w:r>
      <w:rPr>
        <w:rFonts w:ascii="Arial" w:hAnsi="Arial"/>
        <w:color w:val="888888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spacing w:before="0" w:after="0"/>
          </w:pPr>
          <w:r/>
          <w:r>
            <w:drawing>
              <wp:inline xmlns:a="http://schemas.openxmlformats.org/drawingml/2006/main" xmlns:pic="http://schemas.openxmlformats.org/drawingml/2006/picture">
                <wp:extent cx="1708570" cy="25603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ebusk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8570" cy="25603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spacing w:before="0" w:after="0"/>
            <w:jc w:val="right"/>
          </w:pPr>
          <w:r/>
          <w:r>
            <w:rPr>
              <w:rFonts w:ascii="Arial" w:hAnsi="Arial"/>
              <w:b/>
              <w:color w:val="222222"/>
              <w:sz w:val="18"/>
            </w:rPr>
            <w:t>JR-DCK-CEN26046-CRU  |  REV 0</w:t>
          </w:r>
        </w:p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888888"/>
              <w:sz w:val="16"/>
            </w:rPr>
            <w:t>Pigging / Decoking  |  PR-170028 Crude  |  Cenovus Lima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