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rial" w:hAnsi="Arial"/>
          <w:b/>
          <w:color w:val="FCC30A"/>
          <w:sz w:val="20"/>
        </w:rPr>
        <w:t>2026 TURNAROUND MECHANICAL DECOKE</w:t>
      </w:r>
    </w:p>
    <w:p>
      <w:pPr>
        <w:spacing w:before="0" w:after="40"/>
      </w:pPr>
      <w:r>
        <w:rPr>
          <w:rFonts w:ascii="Arial" w:hAnsi="Arial"/>
          <w:b/>
          <w:color w:val="222222"/>
          <w:sz w:val="44"/>
        </w:rPr>
        <w:t>HDS Furnace — PR-175169</w:t>
      </w:r>
    </w:p>
    <w:p>
      <w:pPr>
        <w:spacing w:before="0" w:after="160"/>
      </w:pPr>
      <w:r>
        <w:rPr>
          <w:rFonts w:ascii="Arial" w:hAnsi="Arial"/>
          <w:b w:val="0"/>
          <w:color w:val="555555"/>
          <w:sz w:val="20"/>
        </w:rPr>
        <w:t>Job Report  |  USADebusk  |  Cenovus Lima Refinery — Lima, OH</w:t>
      </w:r>
    </w:p>
    <w:tbl>
      <w:tblPr>
        <w:tblW w:type="auto" w:w="0"/>
        <w:tblLook w:firstColumn="1" w:firstRow="1" w:lastColumn="0" w:lastRow="0" w:noHBand="0" w:noVBand="1" w:val="04A0"/>
        <w:tblLayout w:type="fixed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CellMar>
          <w:top w:w="8" w:type="dxa"/>
          <w:bottom w:w="8" w:type="dxa"/>
          <w:left w:w="60" w:type="dxa"/>
          <w:right w:w="60" w:type="dxa"/>
        </w:tblCellMar>
      </w:tblPr>
      <w:tblGrid>
        <w:gridCol w:w="2015"/>
        <w:gridCol w:w="2639"/>
        <w:gridCol w:w="2639"/>
        <w:gridCol w:w="2639"/>
      </w:tblGrid>
      <w:tr>
        <w:tc>
          <w:tcPr>
            <w:tcW w:type="dxa" w:w="2016"/>
            <w:shd w:val="clear" w:fill="222222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PROJECT NO.</w:t>
            </w:r>
          </w:p>
        </w:tc>
        <w:tc>
          <w:tcPr>
            <w:tcW w:type="dxa" w:w="2640"/>
            <w:shd w:val="clear" w:fill="222222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FACILITY</w:t>
            </w:r>
          </w:p>
        </w:tc>
        <w:tc>
          <w:tcPr>
            <w:tcW w:type="dxa" w:w="2640"/>
            <w:shd w:val="clear" w:fill="222222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EXECUTION</w:t>
            </w:r>
          </w:p>
        </w:tc>
        <w:tc>
          <w:tcPr>
            <w:tcW w:type="dxa" w:w="2640"/>
            <w:shd w:val="clear" w:fill="222222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PROJECT MANAGER</w:t>
            </w:r>
          </w:p>
        </w:tc>
      </w:tr>
      <w:tr>
        <w:tc>
          <w:tcPr>
            <w:tcW w:type="dxa" w:w="2016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USA26046</w:t>
            </w:r>
          </w:p>
        </w:tc>
        <w:tc>
          <w:tcPr>
            <w:tcW w:type="dxa" w:w="2640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Cenovus Lima Refinery</w:t>
            </w:r>
          </w:p>
        </w:tc>
        <w:tc>
          <w:tcPr>
            <w:tcW w:type="dxa" w:w="2640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Sep 25 – 27, 2026</w:t>
            </w:r>
          </w:p>
        </w:tc>
        <w:tc>
          <w:tcPr>
            <w:tcW w:type="dxa" w:w="2640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Peter Campbell</w:t>
            </w:r>
          </w:p>
        </w:tc>
      </w:tr>
      <w:tr>
        <w:tc>
          <w:tcPr>
            <w:tcW w:type="dxa" w:w="2016"/>
            <w:shd w:val="clear" w:fill="222222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WORK ORDER</w:t>
            </w:r>
          </w:p>
        </w:tc>
        <w:tc>
          <w:tcPr>
            <w:tcW w:type="dxa" w:w="2640"/>
            <w:shd w:val="clear" w:fill="222222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SCOPE</w:t>
            </w:r>
          </w:p>
        </w:tc>
        <w:tc>
          <w:tcPr>
            <w:tcW w:type="dxa" w:w="2640"/>
            <w:shd w:val="clear" w:fill="222222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HEATER</w:t>
            </w:r>
          </w:p>
        </w:tc>
        <w:tc>
          <w:tcPr>
            <w:tcW w:type="dxa" w:w="2640"/>
            <w:shd w:val="clear" w:fill="222222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DURATION</w:t>
            </w:r>
          </w:p>
        </w:tc>
      </w:tr>
      <w:tr>
        <w:tc>
          <w:tcPr>
            <w:tcW w:type="dxa" w:w="2016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—</w:t>
            </w:r>
          </w:p>
        </w:tc>
        <w:tc>
          <w:tcPr>
            <w:tcW w:type="dxa" w:w="2640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TA Mechanical Decoke</w:t>
            </w:r>
          </w:p>
        </w:tc>
        <w:tc>
          <w:tcPr>
            <w:tcW w:type="dxa" w:w="2640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PR-175169</w:t>
            </w:r>
          </w:p>
        </w:tc>
        <w:tc>
          <w:tcPr>
            <w:tcW w:type="dxa" w:w="2640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3 days</w:t>
            </w:r>
          </w:p>
        </w:tc>
      </w:tr>
    </w:tbl>
    <w:p>
      <w:pPr>
        <w:spacing w:before="0" w:after="0" w:line="200" w:lineRule="exact"/>
      </w:pPr>
    </w:p>
    <w:tbl>
      <w:tblPr>
        <w:tblW w:type="auto" w:w="0"/>
        <w:tblLook w:firstColumn="1" w:firstRow="1" w:lastColumn="0" w:lastRow="0" w:noHBand="0" w:noVBand="1" w:val="04A0"/>
        <w:tblLayout w:type="fixed"/>
        <w:tblBorders>
          <w:top w:val="single" w:sz="12" w:space="0" w:color="FCC30A"/>
          <w:bottom w:val="single" w:sz="12" w:space="0" w:color="FCC30A"/>
          <w:insideV w:val="single" w:sz="4" w:space="0" w:color="DDDDDD"/>
        </w:tblBorders>
        <w:tblCellMar>
          <w:top w:w="8" w:type="dxa"/>
          <w:bottom w:w="8" w:type="dxa"/>
          <w:left w:w="60" w:type="dxa"/>
          <w:right w:w="60" w:type="dxa"/>
        </w:tblCellMar>
      </w:tblPr>
      <w:tblGrid>
        <w:gridCol w:w="2015"/>
        <w:gridCol w:w="2639"/>
        <w:gridCol w:w="2639"/>
        <w:gridCol w:w="2639"/>
      </w:tblGrid>
      <w:tr>
        <w:tc>
          <w:tcPr>
            <w:tcW w:type="dxa" w:w="2016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Arial" w:hAnsi="Arial"/>
                <w:b/>
                <w:color w:val="222222"/>
                <w:sz w:val="42"/>
              </w:rPr>
              <w:t>41</w:t>
            </w:r>
          </w:p>
        </w:tc>
        <w:tc>
          <w:tcPr>
            <w:tcW w:type="dxa" w:w="2640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Arial" w:hAnsi="Arial"/>
                <w:b/>
                <w:color w:val="222222"/>
                <w:sz w:val="42"/>
              </w:rPr>
              <w:t>2</w:t>
            </w:r>
          </w:p>
        </w:tc>
        <w:tc>
          <w:tcPr>
            <w:tcW w:type="dxa" w:w="2640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Arial" w:hAnsi="Arial"/>
                <w:b/>
                <w:color w:val="222222"/>
                <w:sz w:val="42"/>
              </w:rPr>
              <w:t>16</w:t>
            </w:r>
          </w:p>
        </w:tc>
        <w:tc>
          <w:tcPr>
            <w:tcW w:type="dxa" w:w="2640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Arial" w:hAnsi="Arial"/>
                <w:b/>
                <w:color w:val="222222"/>
                <w:sz w:val="42"/>
              </w:rPr>
              <w:t>4</w:t>
            </w:r>
          </w:p>
        </w:tc>
      </w:tr>
      <w:tr>
        <w:tc>
          <w:tcPr>
            <w:tcW w:type="dxa" w:w="2016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Arial" w:hAnsi="Arial"/>
                <w:b/>
                <w:color w:val="888888"/>
                <w:sz w:val="15"/>
              </w:rPr>
              <w:t>OPERATING HOURS</w:t>
            </w:r>
          </w:p>
        </w:tc>
        <w:tc>
          <w:tcPr>
            <w:tcW w:type="dxa" w:w="2640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Arial" w:hAnsi="Arial"/>
                <w:b/>
                <w:color w:val="888888"/>
                <w:sz w:val="15"/>
              </w:rPr>
              <w:t>STAND-BY HOURS</w:t>
            </w:r>
          </w:p>
        </w:tc>
        <w:tc>
          <w:tcPr>
            <w:tcW w:type="dxa" w:w="2640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Arial" w:hAnsi="Arial"/>
                <w:b/>
                <w:color w:val="888888"/>
                <w:sz w:val="15"/>
              </w:rPr>
              <w:t>PIGS RUN</w:t>
            </w:r>
          </w:p>
        </w:tc>
        <w:tc>
          <w:tcPr>
            <w:tcW w:type="dxa" w:w="2640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Arial" w:hAnsi="Arial"/>
                <w:b/>
                <w:color w:val="888888"/>
                <w:sz w:val="15"/>
              </w:rPr>
              <w:t>PASSES</w:t>
            </w:r>
          </w:p>
        </w:tc>
      </w:tr>
    </w:tbl>
    <w:p>
      <w:pPr>
        <w:spacing w:before="120" w:after="60"/>
        <w:keepNext/>
        <w:pBdr>
          <w:bottom w:val="single" w:sz="18" w:space="4" w:color="FCC30A"/>
        </w:pBdr>
      </w:pPr>
      <w:r>
        <w:rPr>
          <w:rFonts w:ascii="Arial" w:hAnsi="Arial"/>
          <w:b/>
          <w:color w:val="222222"/>
          <w:sz w:val="26"/>
        </w:rPr>
        <w:t>Project Information</w:t>
      </w:r>
    </w:p>
    <w:p>
      <w:pPr>
        <w:spacing w:before="160" w:after="60"/>
      </w:pPr>
      <w:r>
        <w:rPr>
          <w:rFonts w:ascii="Arial" w:hAnsi="Arial"/>
          <w:b/>
          <w:color w:val="FCC30A"/>
          <w:sz w:val="22"/>
        </w:rPr>
        <w:t>Customer Details</w:t>
      </w:r>
    </w:p>
    <w:tbl>
      <w:tblPr>
        <w:tblW w:type="auto" w:w="0"/>
        <w:tblLook w:firstColumn="1" w:firstRow="1" w:lastColumn="0" w:lastRow="0" w:noHBand="0" w:noVBand="1" w:val="04A0"/>
        <w:tblLayout w:type="fixed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CellMar>
          <w:top w:w="8" w:type="dxa"/>
          <w:bottom w:w="8" w:type="dxa"/>
          <w:left w:w="60" w:type="dxa"/>
          <w:right w:w="60" w:type="dxa"/>
        </w:tblCellMar>
      </w:tblPr>
      <w:tblGrid>
        <w:gridCol w:w="2015"/>
        <w:gridCol w:w="7920"/>
      </w:tblGrid>
      <w:tr>
        <w:tc>
          <w:tcPr>
            <w:tcW w:type="dxa" w:w="2016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222222"/>
                <w:sz w:val="18"/>
              </w:rPr>
              <w:t>FACILITY</w:t>
            </w:r>
          </w:p>
        </w:tc>
        <w:tc>
          <w:tcPr>
            <w:tcW w:type="dxa" w:w="7920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Cenovus Lima Refinery</w:t>
            </w:r>
          </w:p>
        </w:tc>
      </w:tr>
      <w:tr>
        <w:tc>
          <w:tcPr>
            <w:tcW w:type="dxa" w:w="2016"/>
            <w:shd w:val="clear" w:fill="F7F7F7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222222"/>
                <w:sz w:val="18"/>
              </w:rPr>
              <w:t>ADDRESS</w:t>
            </w:r>
          </w:p>
        </w:tc>
        <w:tc>
          <w:tcPr>
            <w:tcW w:type="dxa" w:w="7920"/>
            <w:shd w:val="clear" w:fill="F7F7F7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1150 S Metcalf St, Lima, OH 45804</w:t>
            </w:r>
          </w:p>
        </w:tc>
      </w:tr>
      <w:tr>
        <w:tc>
          <w:tcPr>
            <w:tcW w:type="dxa" w:w="2016"/>
            <w:shd w:val="clear" w:fill="F7F7F7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222222"/>
                <w:sz w:val="18"/>
              </w:rPr>
              <w:t>CONTACT</w:t>
            </w:r>
          </w:p>
        </w:tc>
        <w:tc>
          <w:tcPr>
            <w:tcW w:type="dxa" w:w="7920"/>
            <w:shd w:val="clear" w:fill="F7F7F7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Alfredo Trevino</w:t>
            </w:r>
          </w:p>
        </w:tc>
      </w:tr>
    </w:tbl>
    <w:p>
      <w:pPr>
        <w:spacing w:before="160" w:after="60"/>
      </w:pPr>
      <w:r>
        <w:rPr>
          <w:rFonts w:ascii="Arial" w:hAnsi="Arial"/>
          <w:b/>
          <w:color w:val="FCC30A"/>
          <w:sz w:val="22"/>
        </w:rPr>
        <w:t>Project Details</w:t>
      </w:r>
    </w:p>
    <w:tbl>
      <w:tblPr>
        <w:tblW w:type="auto" w:w="0"/>
        <w:tblLook w:firstColumn="1" w:firstRow="1" w:lastColumn="0" w:lastRow="0" w:noHBand="0" w:noVBand="1" w:val="04A0"/>
        <w:tblLayout w:type="fixed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CellMar>
          <w:top w:w="8" w:type="dxa"/>
          <w:bottom w:w="8" w:type="dxa"/>
          <w:left w:w="60" w:type="dxa"/>
          <w:right w:w="60" w:type="dxa"/>
        </w:tblCellMar>
      </w:tblPr>
      <w:tblGrid>
        <w:gridCol w:w="2015"/>
        <w:gridCol w:w="7920"/>
      </w:tblGrid>
      <w:tr>
        <w:tc>
          <w:tcPr>
            <w:tcW w:type="dxa" w:w="2016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222222"/>
                <w:sz w:val="18"/>
              </w:rPr>
              <w:t>SCOPE</w:t>
            </w:r>
          </w:p>
        </w:tc>
        <w:tc>
          <w:tcPr>
            <w:tcW w:type="dxa" w:w="7920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2026 turnaround mechanical decoke of the HDS Furnace naphtha passes, with filtration and smart-pig support</w:t>
            </w:r>
          </w:p>
        </w:tc>
      </w:tr>
      <w:tr>
        <w:tc>
          <w:tcPr>
            <w:tcW w:type="dxa" w:w="2016"/>
            <w:shd w:val="clear" w:fill="F7F7F7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222222"/>
                <w:sz w:val="18"/>
              </w:rPr>
              <w:t>EXECUTION</w:t>
            </w:r>
          </w:p>
        </w:tc>
        <w:tc>
          <w:tcPr>
            <w:tcW w:type="dxa" w:w="7920"/>
            <w:shd w:val="clear" w:fill="F7F7F7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September 25 – 27, 2026  (3 days)</w:t>
            </w:r>
          </w:p>
        </w:tc>
      </w:tr>
      <w:tr>
        <w:tc>
          <w:tcPr>
            <w:tcW w:type="dxa" w:w="2016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222222"/>
                <w:sz w:val="18"/>
              </w:rPr>
              <w:t>HEATER</w:t>
            </w:r>
          </w:p>
        </w:tc>
        <w:tc>
          <w:tcPr>
            <w:tcW w:type="dxa" w:w="7920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PR-175169 HDS Furnace</w:t>
            </w:r>
          </w:p>
        </w:tc>
      </w:tr>
      <w:tr>
        <w:tc>
          <w:tcPr>
            <w:tcW w:type="dxa" w:w="2016"/>
            <w:shd w:val="clear" w:fill="F7F7F7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222222"/>
                <w:sz w:val="18"/>
              </w:rPr>
              <w:t>EQUIPMENT</w:t>
            </w:r>
          </w:p>
        </w:tc>
        <w:tc>
          <w:tcPr>
            <w:tcW w:type="dxa" w:w="7920"/>
            <w:shd w:val="clear" w:fill="F7F7F7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(1) Trimax Pumper (Trimax 5) · (1) Support Unit · (1) Filter Press (Press 3) · Crew Truck</w:t>
            </w:r>
          </w:p>
        </w:tc>
      </w:tr>
    </w:tbl>
    <w:p>
      <w:pPr>
        <w:spacing w:before="160" w:after="60"/>
      </w:pPr>
      <w:r>
        <w:rPr>
          <w:rFonts w:ascii="Arial" w:hAnsi="Arial"/>
          <w:b/>
          <w:color w:val="FCC30A"/>
          <w:sz w:val="22"/>
        </w:rPr>
        <w:t>Crew Details</w:t>
      </w:r>
    </w:p>
    <w:tbl>
      <w:tblPr>
        <w:tblW w:type="auto" w:w="0"/>
        <w:tblLook w:firstColumn="1" w:firstRow="1" w:lastColumn="0" w:lastRow="0" w:noHBand="0" w:noVBand="1" w:val="04A0"/>
        <w:tblLayout w:type="fixed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CellMar>
          <w:top w:w="8" w:type="dxa"/>
          <w:bottom w:w="8" w:type="dxa"/>
          <w:left w:w="60" w:type="dxa"/>
          <w:right w:w="60" w:type="dxa"/>
        </w:tblCellMar>
      </w:tblPr>
      <w:tblGrid>
        <w:gridCol w:w="2015"/>
        <w:gridCol w:w="7920"/>
      </w:tblGrid>
      <w:tr>
        <w:tc>
          <w:tcPr>
            <w:tcW w:type="dxa" w:w="2016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222222"/>
                <w:sz w:val="18"/>
              </w:rPr>
              <w:t>PROJECT MANAGER</w:t>
            </w:r>
          </w:p>
        </w:tc>
        <w:tc>
          <w:tcPr>
            <w:tcW w:type="dxa" w:w="7920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Peter Campbell</w:t>
            </w:r>
          </w:p>
        </w:tc>
      </w:tr>
      <w:tr>
        <w:tc>
          <w:tcPr>
            <w:tcW w:type="dxa" w:w="2016"/>
            <w:shd w:val="clear" w:fill="F7F7F7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222222"/>
                <w:sz w:val="18"/>
              </w:rPr>
              <w:t>SHIFT LEAD</w:t>
            </w:r>
          </w:p>
        </w:tc>
        <w:tc>
          <w:tcPr>
            <w:tcW w:type="dxa" w:w="7920"/>
            <w:shd w:val="clear" w:fill="F7F7F7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Day — Peter Campbell; Night — James McDaniel</w:t>
            </w:r>
          </w:p>
        </w:tc>
      </w:tr>
      <w:tr>
        <w:tc>
          <w:tcPr>
            <w:tcW w:type="dxa" w:w="2016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222222"/>
                <w:sz w:val="18"/>
              </w:rPr>
              <w:t>DAYSHIFT</w:t>
            </w:r>
          </w:p>
        </w:tc>
        <w:tc>
          <w:tcPr>
            <w:tcW w:type="dxa" w:w="7920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Adrian Garza, David Charles, Marshall Douglas, Travis Trenholm</w:t>
            </w:r>
          </w:p>
        </w:tc>
      </w:tr>
      <w:tr>
        <w:tc>
          <w:tcPr>
            <w:tcW w:type="dxa" w:w="2016"/>
            <w:shd w:val="clear" w:fill="F7F7F7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222222"/>
                <w:sz w:val="18"/>
              </w:rPr>
              <w:t>NIGHTSHIFT</w:t>
            </w:r>
          </w:p>
        </w:tc>
        <w:tc>
          <w:tcPr>
            <w:tcW w:type="dxa" w:w="7920"/>
            <w:shd w:val="clear" w:fill="F7F7F7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Justin Kelly, Mikee Green, Jeremiah Harman</w:t>
            </w:r>
          </w:p>
        </w:tc>
      </w:tr>
    </w:tbl>
    <w:p>
      <w:pPr>
        <w:spacing w:before="120" w:after="60"/>
        <w:keepNext/>
        <w:pBdr>
          <w:bottom w:val="single" w:sz="18" w:space="4" w:color="FCC30A"/>
        </w:pBdr>
      </w:pPr>
      <w:r>
        <w:rPr>
          <w:rFonts w:ascii="Arial" w:hAnsi="Arial"/>
          <w:b/>
          <w:color w:val="222222"/>
          <w:sz w:val="26"/>
        </w:rPr>
        <w:t>Project Duration</w:t>
      </w:r>
    </w:p>
    <w:tbl>
      <w:tblPr>
        <w:tblW w:type="auto" w:w="0"/>
        <w:tblLook w:firstColumn="1" w:firstRow="1" w:lastColumn="0" w:lastRow="0" w:noHBand="0" w:noVBand="1" w:val="04A0"/>
        <w:tblLayout w:type="fixed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CellMar>
          <w:top w:w="8" w:type="dxa"/>
          <w:bottom w:w="8" w:type="dxa"/>
          <w:left w:w="60" w:type="dxa"/>
          <w:right w:w="60" w:type="dxa"/>
        </w:tblCellMar>
      </w:tblPr>
      <w:tblGrid>
        <w:gridCol w:w="2015"/>
        <w:gridCol w:w="1584"/>
        <w:gridCol w:w="1584"/>
        <w:gridCol w:w="1584"/>
        <w:gridCol w:w="1584"/>
        <w:gridCol w:w="1584"/>
      </w:tblGrid>
      <w:tr>
        <w:tc>
          <w:tcPr>
            <w:tcW w:type="dxa" w:w="2016"/>
            <w:shd w:val="clear" w:fill="222222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SCOPE</w:t>
            </w:r>
          </w:p>
        </w:tc>
        <w:tc>
          <w:tcPr>
            <w:tcW w:type="dxa" w:w="1584"/>
            <w:shd w:val="clear" w:fill="222222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UNIT</w:t>
            </w:r>
          </w:p>
        </w:tc>
        <w:tc>
          <w:tcPr>
            <w:tcW w:type="dxa" w:w="1584"/>
            <w:shd w:val="clear" w:fill="222222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RIG</w:t>
            </w:r>
          </w:p>
        </w:tc>
        <w:tc>
          <w:tcPr>
            <w:tcW w:type="dxa" w:w="1584"/>
            <w:shd w:val="clear" w:fill="222222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PIG</w:t>
            </w:r>
          </w:p>
        </w:tc>
        <w:tc>
          <w:tcPr>
            <w:tcW w:type="dxa" w:w="1584"/>
            <w:shd w:val="clear" w:fill="222222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SMART PIG</w:t>
            </w:r>
          </w:p>
        </w:tc>
        <w:tc>
          <w:tcPr>
            <w:tcW w:type="dxa" w:w="1584"/>
            <w:shd w:val="clear" w:fill="222222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SUBTOTAL</w:t>
            </w:r>
          </w:p>
        </w:tc>
      </w:tr>
      <w:tr>
        <w:tc>
          <w:tcPr>
            <w:tcW w:type="dxa" w:w="2016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PR-175169 HDS Furnace</w:t>
            </w:r>
          </w:p>
        </w:tc>
        <w:tc>
          <w:tcPr>
            <w:tcW w:type="dxa" w:w="1584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Trimax 5</w:t>
            </w:r>
          </w:p>
        </w:tc>
        <w:tc>
          <w:tcPr>
            <w:tcW w:type="dxa" w:w="1584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16</w:t>
            </w:r>
          </w:p>
        </w:tc>
        <w:tc>
          <w:tcPr>
            <w:tcW w:type="dxa" w:w="1584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20.5</w:t>
            </w:r>
          </w:p>
        </w:tc>
        <w:tc>
          <w:tcPr>
            <w:tcW w:type="dxa" w:w="1584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4.5</w:t>
            </w:r>
          </w:p>
        </w:tc>
        <w:tc>
          <w:tcPr>
            <w:tcW w:type="dxa" w:w="1584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41</w:t>
            </w:r>
          </w:p>
        </w:tc>
      </w:tr>
    </w:tbl>
    <w:p>
      <w:pPr>
        <w:spacing w:before="120" w:after="60"/>
        <w:keepNext/>
        <w:pBdr>
          <w:bottom w:val="single" w:sz="18" w:space="4" w:color="FCC30A"/>
        </w:pBdr>
      </w:pPr>
      <w:r>
        <w:rPr>
          <w:rFonts w:ascii="Arial" w:hAnsi="Arial"/>
          <w:b/>
          <w:color w:val="222222"/>
          <w:sz w:val="26"/>
        </w:rPr>
        <w:t>Stand-By Summary</w:t>
      </w:r>
    </w:p>
    <w:p>
      <w:pPr>
        <w:spacing w:before="40" w:after="120" w:line="276" w:lineRule="auto"/>
      </w:pPr>
      <w:r>
        <w:rPr>
          <w:rFonts w:ascii="Arial" w:hAnsi="Arial"/>
          <w:b w:val="0"/>
          <w:color w:val="555555"/>
          <w:sz w:val="20"/>
        </w:rPr>
        <w:t>Stand-by is on-site time during which the pumping units were not actively pigging. Cause is recorded from the daily service receipts.</w:t>
      </w:r>
    </w:p>
    <w:tbl>
      <w:tblPr>
        <w:tblW w:type="auto" w:w="0"/>
        <w:tblLook w:firstColumn="1" w:firstRow="1" w:lastColumn="0" w:lastRow="0" w:noHBand="0" w:noVBand="1" w:val="04A0"/>
        <w:tblLayout w:type="fixed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CellMar>
          <w:top w:w="8" w:type="dxa"/>
          <w:bottom w:w="8" w:type="dxa"/>
          <w:left w:w="60" w:type="dxa"/>
          <w:right w:w="60" w:type="dxa"/>
        </w:tblCellMar>
      </w:tblPr>
      <w:tblGrid>
        <w:gridCol w:w="2015"/>
        <w:gridCol w:w="1007"/>
        <w:gridCol w:w="6912"/>
      </w:tblGrid>
      <w:tr>
        <w:tc>
          <w:tcPr>
            <w:tcW w:type="dxa" w:w="2016"/>
            <w:shd w:val="clear" w:fill="222222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DATES</w:t>
            </w:r>
          </w:p>
        </w:tc>
        <w:tc>
          <w:tcPr>
            <w:tcW w:type="dxa" w:w="1008"/>
            <w:shd w:val="clear" w:fill="222222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HOURS</w:t>
            </w:r>
          </w:p>
        </w:tc>
        <w:tc>
          <w:tcPr>
            <w:tcW w:type="dxa" w:w="6912"/>
            <w:shd w:val="clear" w:fill="222222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CAUSE</w:t>
            </w:r>
          </w:p>
        </w:tc>
      </w:tr>
      <w:tr>
        <w:tc>
          <w:tcPr>
            <w:tcW w:type="dxa" w:w="2016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Sep 25 (8417)</w:t>
            </w:r>
          </w:p>
        </w:tc>
        <w:tc>
          <w:tcPr>
            <w:tcW w:type="dxa" w:w="1008"/>
          </w:tcPr>
          <w:p>
            <w:pPr>
              <w:keepNext/>
              <w:spacing w:before="20" w:after="20" w:line="240" w:lineRule="auto"/>
              <w:jc w:val="right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1</w:t>
            </w:r>
          </w:p>
        </w:tc>
        <w:tc>
          <w:tcPr>
            <w:tcW w:type="dxa" w:w="6912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Site safety review of hose routing near the catalyst job (HDS)</w:t>
            </w:r>
          </w:p>
        </w:tc>
      </w:tr>
      <w:tr>
        <w:tc>
          <w:tcPr>
            <w:tcW w:type="dxa" w:w="2016"/>
            <w:shd w:val="clear" w:fill="F7F7F7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Sep 27 (8420)</w:t>
            </w:r>
          </w:p>
        </w:tc>
        <w:tc>
          <w:tcPr>
            <w:tcW w:type="dxa" w:w="1008"/>
            <w:shd w:val="clear" w:fill="F7F7F7"/>
          </w:tcPr>
          <w:p>
            <w:pPr>
              <w:keepNext/>
              <w:spacing w:before="20" w:after="20" w:line="240" w:lineRule="auto"/>
              <w:jc w:val="right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1</w:t>
            </w:r>
          </w:p>
        </w:tc>
        <w:tc>
          <w:tcPr>
            <w:tcW w:type="dxa" w:w="6912"/>
            <w:shd w:val="clear" w:fill="F7F7F7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Awaiting a 1600 CFM compressor to dewater (HDS)</w:t>
            </w:r>
          </w:p>
        </w:tc>
      </w:tr>
      <w:tr>
        <w:tc>
          <w:tcPr>
            <w:tcW w:type="dxa" w:w="2016"/>
            <w:shd w:val="clear" w:fill="F7F7F7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222222"/>
                <w:sz w:val="20"/>
              </w:rPr>
              <w:t>TOTAL</w:t>
            </w:r>
          </w:p>
        </w:tc>
        <w:tc>
          <w:tcPr>
            <w:tcW w:type="dxa" w:w="1008"/>
            <w:shd w:val="clear" w:fill="F7F7F7"/>
          </w:tcPr>
          <w:p>
            <w:pPr>
              <w:spacing w:before="20" w:after="20" w:line="240" w:lineRule="auto"/>
              <w:jc w:val="right"/>
            </w:pPr>
            <w:r/>
            <w:r>
              <w:rPr>
                <w:rFonts w:ascii="Arial" w:hAnsi="Arial"/>
                <w:b/>
                <w:color w:val="222222"/>
                <w:sz w:val="20"/>
              </w:rPr>
              <w:t>2</w:t>
            </w:r>
          </w:p>
        </w:tc>
        <w:tc>
          <w:tcPr>
            <w:tcW w:type="dxa" w:w="6912"/>
            <w:shd w:val="clear" w:fill="F7F7F7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</w:r>
          </w:p>
        </w:tc>
      </w:tr>
    </w:tbl>
    <w:p>
      <w:pPr>
        <w:spacing w:before="80" w:after="40"/>
      </w:pPr>
      <w:r>
        <w:rPr>
          <w:rFonts w:ascii="Arial" w:hAnsi="Arial"/>
          <w:b w:val="0"/>
          <w:color w:val="888888"/>
          <w:sz w:val="18"/>
        </w:rPr>
        <w:t>Heater total: 41 operating hours plus 2 stand-by hours — 43 pumping-unit hours.</w:t>
      </w:r>
    </w:p>
    <w:p>
      <w:pPr>
        <w:keepNext/>
        <w:spacing w:before="0" w:after="0" w:line="320" w:lineRule="exact"/>
      </w:pPr>
    </w:p>
    <w:tbl>
      <w:tblPr>
        <w:tblW w:type="auto" w:w="0"/>
        <w:tblLook w:firstColumn="1" w:firstRow="1" w:lastColumn="0" w:lastRow="0" w:noHBand="0" w:noVBand="1" w:val="04A0"/>
        <w:tblLayout w:type="fixed"/>
        <w:tblBorders>
          <w:top w:val="single" w:sz="4" w:space="0" w:color="222222"/>
          <w:left w:val="single" w:sz="4" w:space="0" w:color="222222"/>
          <w:bottom w:val="single" w:sz="4" w:space="0" w:color="222222"/>
          <w:right w:val="single" w:sz="4" w:space="0" w:color="222222"/>
          <w:insideH w:val="single" w:sz="4" w:space="0" w:color="222222"/>
          <w:insideV w:val="single" w:sz="4" w:space="0" w:color="222222"/>
        </w:tblBorders>
        <w:tblCellMar>
          <w:top w:w="8" w:type="dxa"/>
          <w:bottom w:w="8" w:type="dxa"/>
          <w:left w:w="60" w:type="dxa"/>
          <w:right w:w="60" w:type="dxa"/>
        </w:tblCellMar>
      </w:tblPr>
      <w:tblGrid>
        <w:gridCol w:w="9936"/>
      </w:tblGrid>
      <w:tr>
        <w:tc>
          <w:tcPr>
            <w:tcW w:type="dxa" w:w="9936"/>
            <w:shd w:val="clear" w:fill="222222"/>
            <w:tcBorders>
              <w:bottom w:val="single" w:sz="18" w:space="0" w:color="FCC30A"/>
            </w:tcBorders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FFFFFF"/>
                <w:sz w:val="24"/>
              </w:rPr>
              <w:t>PR-175169  —  HDS Furnace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Layout w:type="fixed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CellMar>
          <w:top w:w="8" w:type="dxa"/>
          <w:bottom w:w="8" w:type="dxa"/>
          <w:left w:w="60" w:type="dxa"/>
          <w:right w:w="60" w:type="dxa"/>
        </w:tblCellMar>
      </w:tblPr>
      <w:tblGrid>
        <w:gridCol w:w="2015"/>
        <w:gridCol w:w="7920"/>
      </w:tblGrid>
      <w:tr>
        <w:tc>
          <w:tcPr>
            <w:tcW w:type="dxa" w:w="2016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222222"/>
                <w:sz w:val="18"/>
              </w:rPr>
              <w:t>Number of Passes</w:t>
            </w:r>
          </w:p>
        </w:tc>
        <w:tc>
          <w:tcPr>
            <w:tcW w:type="dxa" w:w="7920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4, looped into 2 circuits (passes 1 + 2, passes 3 + 4)</w:t>
            </w:r>
          </w:p>
        </w:tc>
      </w:tr>
      <w:tr>
        <w:tc>
          <w:tcPr>
            <w:tcW w:type="dxa" w:w="2016"/>
            <w:shd w:val="clear" w:fill="F7F7F7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222222"/>
                <w:sz w:val="18"/>
              </w:rPr>
              <w:t>Total Footage</w:t>
            </w:r>
          </w:p>
        </w:tc>
        <w:tc>
          <w:tcPr>
            <w:tcW w:type="dxa" w:w="7920"/>
            <w:shd w:val="clear" w:fill="F7F7F7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3,600 ft  (900 ft per pass)</w:t>
            </w:r>
          </w:p>
        </w:tc>
      </w:tr>
      <w:tr>
        <w:tc>
          <w:tcPr>
            <w:tcW w:type="dxa" w:w="2016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222222"/>
                <w:sz w:val="18"/>
              </w:rPr>
              <w:t>Radiant Tube ID</w:t>
            </w:r>
          </w:p>
        </w:tc>
        <w:tc>
          <w:tcPr>
            <w:tcW w:type="dxa" w:w="7920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5.885"</w:t>
            </w:r>
          </w:p>
        </w:tc>
      </w:tr>
      <w:tr>
        <w:tc>
          <w:tcPr>
            <w:tcW w:type="dxa" w:w="2016"/>
            <w:shd w:val="clear" w:fill="F7F7F7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222222"/>
                <w:sz w:val="18"/>
              </w:rPr>
              <w:t>Metallurgy</w:t>
            </w:r>
          </w:p>
        </w:tc>
        <w:tc>
          <w:tcPr>
            <w:tcW w:type="dxa" w:w="7920"/>
            <w:shd w:val="clear" w:fill="F7F7F7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A335 P5 (radiant)</w:t>
            </w:r>
          </w:p>
        </w:tc>
      </w:tr>
      <w:tr>
        <w:tc>
          <w:tcPr>
            <w:tcW w:type="dxa" w:w="2016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222222"/>
                <w:sz w:val="18"/>
              </w:rPr>
              <w:t>Smart Pigging</w:t>
            </w:r>
          </w:p>
        </w:tc>
        <w:tc>
          <w:tcPr>
            <w:tcW w:type="dxa" w:w="7920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20"/>
              </w:rPr>
              <w:t>Yes</w:t>
            </w:r>
          </w:p>
        </w:tc>
      </w:tr>
    </w:tbl>
    <w:p>
      <w:pPr>
        <w:spacing w:before="40" w:after="120" w:line="276" w:lineRule="auto"/>
      </w:pPr>
      <w:r>
        <w:rPr>
          <w:rFonts w:ascii="Arial" w:hAnsi="Arial"/>
          <w:b/>
          <w:color w:val="222222"/>
          <w:sz w:val="20"/>
        </w:rPr>
        <w:t xml:space="preserve">Decoking Analysis:  </w:t>
      </w:r>
      <w:r>
        <w:rPr>
          <w:rFonts w:ascii="Arial" w:hAnsi="Arial"/>
          <w:b w:val="0"/>
          <w:color w:val="555555"/>
          <w:sz w:val="20"/>
        </w:rPr>
        <w:t>Light fouling was found throughout the convection and radiant sections. Average pigging time was approximately 20.5 hours per circuit.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937760" cy="66351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eline-PR-175169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6635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Arial" w:hAnsi="Arial"/>
          <w:b w:val="0"/>
          <w:color w:val="888888"/>
          <w:sz w:val="16"/>
        </w:rPr>
        <w:t>PR-175169 - task hours by shift, from the daily service receipts.</w:t>
      </w:r>
    </w:p>
    <w:p>
      <w:pPr>
        <w:keepNext/>
        <w:spacing w:before="160" w:after="60"/>
      </w:pPr>
      <w:r>
        <w:rPr>
          <w:rFonts w:ascii="Arial" w:hAnsi="Arial"/>
          <w:b/>
          <w:color w:val="FCC30A"/>
          <w:sz w:val="22"/>
        </w:rPr>
        <w:t>Pigs Used</w:t>
      </w:r>
    </w:p>
    <w:tbl>
      <w:tblPr>
        <w:tblW w:type="auto" w:w="0"/>
        <w:tblLook w:firstColumn="1" w:firstRow="1" w:lastColumn="0" w:lastRow="0" w:noHBand="0" w:noVBand="1" w:val="04A0"/>
        <w:tblLayout w:type="fixed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CellMar>
          <w:top w:w="8" w:type="dxa"/>
          <w:bottom w:w="8" w:type="dxa"/>
          <w:left w:w="60" w:type="dxa"/>
          <w:right w:w="60" w:type="dxa"/>
        </w:tblCellMar>
      </w:tblPr>
      <w:tblGrid>
        <w:gridCol w:w="4968"/>
        <w:gridCol w:w="4968"/>
      </w:tblGrid>
      <w:tr>
        <w:tc>
          <w:tcPr>
            <w:tcW w:type="dxa" w:w="4968"/>
            <w:shd w:val="clear" w:fill="222222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SIZE — QTY</w:t>
            </w:r>
          </w:p>
        </w:tc>
        <w:tc>
          <w:tcPr>
            <w:tcW w:type="dxa" w:w="4968"/>
            <w:shd w:val="clear" w:fill="222222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SIZE — QTY</w:t>
            </w:r>
          </w:p>
        </w:tc>
      </w:tr>
      <w:tr>
        <w:tc>
          <w:tcPr>
            <w:tcW w:type="dxa" w:w="4968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17"/>
              </w:rPr>
              <w:t>6"  —  4</w:t>
            </w:r>
          </w:p>
        </w:tc>
        <w:tc>
          <w:tcPr>
            <w:tcW w:type="dxa" w:w="4968"/>
          </w:tcPr>
          <w:p>
            <w:pPr>
              <w:keepNext/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17"/>
              </w:rPr>
              <w:t>6.25"  —  12</w:t>
            </w:r>
          </w:p>
        </w:tc>
      </w:tr>
      <w:tr>
        <w:tc>
          <w:tcPr>
            <w:tcW w:type="dxa" w:w="4968"/>
            <w:shd w:val="clear" w:fill="F7F7F7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/>
                <w:color w:val="222222"/>
                <w:sz w:val="17"/>
              </w:rPr>
              <w:t>TOTAL  —  16</w:t>
            </w:r>
          </w:p>
        </w:tc>
        <w:tc>
          <w:tcPr>
            <w:tcW w:type="dxa" w:w="4968"/>
            <w:shd w:val="clear" w:fill="F7F7F7"/>
          </w:tcPr>
          <w:p>
            <w:pPr>
              <w:spacing w:before="20" w:after="20" w:line="240" w:lineRule="auto"/>
            </w:pPr>
            <w:r/>
            <w:r>
              <w:rPr>
                <w:rFonts w:ascii="Arial" w:hAnsi="Arial"/>
                <w:b w:val="0"/>
                <w:color w:val="555555"/>
                <w:sz w:val="16"/>
              </w:rPr>
            </w:r>
          </w:p>
        </w:tc>
      </w:tr>
    </w:tbl>
    <w:p>
      <w:pPr>
        <w:keepNext/>
        <w:spacing w:before="160" w:after="60"/>
      </w:pPr>
      <w:r>
        <w:rPr>
          <w:rFonts w:ascii="Arial" w:hAnsi="Arial"/>
          <w:b/>
          <w:color w:val="FCC30A"/>
          <w:sz w:val="22"/>
        </w:rPr>
        <w:t>Flow Tests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" w:type="dxa"/>
          <w:bottom w:w="8" w:type="dxa"/>
          <w:left w:w="60" w:type="dxa"/>
          <w:right w:w="60" w:type="dxa"/>
        </w:tblCellMar>
      </w:tblPr>
      <w:tblGrid>
        <w:gridCol w:w="4968"/>
        <w:gridCol w:w="4968"/>
      </w:tblGrid>
      <w:tr>
        <w:trPr>
          <w:cantSplit/>
        </w:trPr>
        <w:tc>
          <w:tcPr>
            <w:tcW w:type="dxa" w:w="4968"/>
          </w:tcPr>
          <w:p>
            <w:pPr>
              <w:spacing w:before="120" w:after="40"/>
            </w:pPr>
            <w:r/>
            <w:r>
              <w:rPr>
                <w:rFonts w:ascii="Arial" w:hAnsi="Arial"/>
                <w:b/>
                <w:color w:val="FCC30A"/>
                <w:sz w:val="19"/>
              </w:rPr>
              <w:t>Passes 1 + 2 (looped)</w:t>
            </w:r>
          </w:p>
          <w:tbl>
            <w:tblPr>
              <w:tblW w:type="auto" w:w="0"/>
              <w:tblLook w:firstColumn="1" w:firstRow="1" w:lastColumn="0" w:lastRow="0" w:noHBand="0" w:noVBand="1" w:val="04A0"/>
              <w:tblLayout w:type="fixed"/>
              <w:tblBorders>
                <w:top w:val="single" w:sz="4" w:space="0" w:color="DDDDDD"/>
                <w:left w:val="single" w:sz="4" w:space="0" w:color="DDDDDD"/>
                <w:bottom w:val="single" w:sz="4" w:space="0" w:color="DDDDDD"/>
                <w:right w:val="single" w:sz="4" w:space="0" w:color="DDDDDD"/>
                <w:insideH w:val="single" w:sz="4" w:space="0" w:color="DDDDDD"/>
                <w:insideV w:val="single" w:sz="4" w:space="0" w:color="DDDDDD"/>
              </w:tblBorders>
              <w:tblCellMar>
                <w:top w:w="8" w:type="dxa"/>
                <w:bottom w:w="8" w:type="dxa"/>
                <w:left w:w="60" w:type="dxa"/>
                <w:right w:w="60" w:type="dxa"/>
              </w:tblCellMar>
            </w:tblPr>
            <w:tblGrid>
              <w:gridCol w:w="1054"/>
              <w:gridCol w:w="1294"/>
              <w:gridCol w:w="1294"/>
              <w:gridCol w:w="1150"/>
            </w:tblGrid>
            <w:tr>
              <w:tc>
                <w:tcPr>
                  <w:tcW w:type="dxa" w:w="1055"/>
                  <w:shd w:val="clear" w:fill="222222"/>
                </w:tcPr>
                <w:p>
                  <w:pPr>
                    <w:spacing w:before="20" w:after="20" w:line="240" w:lineRule="auto"/>
                  </w:pPr>
                  <w:r/>
                  <w:r>
                    <w:rPr>
                      <w:rFonts w:ascii="Arial" w:hAnsi="Arial"/>
                      <w:b/>
                      <w:color w:val="FFFFFF"/>
                      <w:sz w:val="15"/>
                    </w:rPr>
                    <w:t>GPM</w:t>
                  </w:r>
                </w:p>
              </w:tc>
              <w:tc>
                <w:tcPr>
                  <w:tcW w:type="dxa" w:w="1295"/>
                  <w:shd w:val="clear" w:fill="222222"/>
                </w:tcPr>
                <w:p>
                  <w:pPr>
                    <w:spacing w:before="20" w:after="20" w:line="240" w:lineRule="auto"/>
                  </w:pPr>
                  <w:r/>
                  <w:r>
                    <w:rPr>
                      <w:rFonts w:ascii="Arial" w:hAnsi="Arial"/>
                      <w:b/>
                      <w:color w:val="FFFFFF"/>
                      <w:sz w:val="15"/>
                    </w:rPr>
                    <w:t>BEFORE PSI</w:t>
                  </w:r>
                </w:p>
              </w:tc>
              <w:tc>
                <w:tcPr>
                  <w:tcW w:type="dxa" w:w="1295"/>
                  <w:shd w:val="clear" w:fill="222222"/>
                </w:tcPr>
                <w:p>
                  <w:pPr>
                    <w:spacing w:before="20" w:after="20" w:line="240" w:lineRule="auto"/>
                  </w:pPr>
                  <w:r/>
                  <w:r>
                    <w:rPr>
                      <w:rFonts w:ascii="Arial" w:hAnsi="Arial"/>
                      <w:b/>
                      <w:color w:val="FFFFFF"/>
                      <w:sz w:val="15"/>
                    </w:rPr>
                    <w:t>AFTER PSI</w:t>
                  </w:r>
                </w:p>
              </w:tc>
              <w:tc>
                <w:tcPr>
                  <w:tcW w:type="dxa" w:w="1151"/>
                  <w:shd w:val="clear" w:fill="222222"/>
                </w:tcPr>
                <w:p>
                  <w:pPr>
                    <w:spacing w:before="20" w:after="20" w:line="240" w:lineRule="auto"/>
                  </w:pPr>
                  <w:r/>
                  <w:r>
                    <w:rPr>
                      <w:rFonts w:ascii="Arial" w:hAnsi="Arial"/>
                      <w:b/>
                      <w:color w:val="FFFFFF"/>
                      <w:sz w:val="15"/>
                    </w:rPr>
                    <w:t>Δ PSI</w:t>
                  </w:r>
                </w:p>
              </w:tc>
            </w:tr>
            <w:tr>
              <w:tc>
                <w:tcPr>
                  <w:tcW w:type="dxa" w:w="1055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800</w:t>
                  </w:r>
                </w:p>
              </w:tc>
              <w:tc>
                <w:tcPr>
                  <w:tcW w:type="dxa" w:w="1295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320</w:t>
                  </w:r>
                </w:p>
              </w:tc>
              <w:tc>
                <w:tcPr>
                  <w:tcW w:type="dxa" w:w="1295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267</w:t>
                  </w:r>
                </w:p>
              </w:tc>
              <w:tc>
                <w:tcPr>
                  <w:tcW w:type="dxa" w:w="1151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53</w:t>
                  </w:r>
                </w:p>
              </w:tc>
            </w:tr>
            <w:tr>
              <w:tc>
                <w:tcPr>
                  <w:tcW w:type="dxa" w:w="1055"/>
                  <w:shd w:val="clear" w:fill="F7F7F7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750</w:t>
                  </w:r>
                </w:p>
              </w:tc>
              <w:tc>
                <w:tcPr>
                  <w:tcW w:type="dxa" w:w="1295"/>
                  <w:shd w:val="clear" w:fill="F7F7F7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290</w:t>
                  </w:r>
                </w:p>
              </w:tc>
              <w:tc>
                <w:tcPr>
                  <w:tcW w:type="dxa" w:w="1295"/>
                  <w:shd w:val="clear" w:fill="F7F7F7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238</w:t>
                  </w:r>
                </w:p>
              </w:tc>
              <w:tc>
                <w:tcPr>
                  <w:tcW w:type="dxa" w:w="1151"/>
                  <w:shd w:val="clear" w:fill="F7F7F7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52</w:t>
                  </w:r>
                </w:p>
              </w:tc>
            </w:tr>
            <w:tr>
              <w:tc>
                <w:tcPr>
                  <w:tcW w:type="dxa" w:w="1055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700</w:t>
                  </w:r>
                </w:p>
              </w:tc>
              <w:tc>
                <w:tcPr>
                  <w:tcW w:type="dxa" w:w="1295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250</w:t>
                  </w:r>
                </w:p>
              </w:tc>
              <w:tc>
                <w:tcPr>
                  <w:tcW w:type="dxa" w:w="1295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215</w:t>
                  </w:r>
                </w:p>
              </w:tc>
              <w:tc>
                <w:tcPr>
                  <w:tcW w:type="dxa" w:w="1151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35</w:t>
                  </w:r>
                </w:p>
              </w:tc>
            </w:tr>
          </w:tbl>
          <w:p/>
        </w:tc>
        <w:tc>
          <w:tcPr>
            <w:tcW w:type="dxa" w:w="4968"/>
          </w:tcPr>
          <w:p>
            <w:pPr>
              <w:spacing w:before="120" w:after="40"/>
            </w:pPr>
            <w:r/>
            <w:r>
              <w:rPr>
                <w:rFonts w:ascii="Arial" w:hAnsi="Arial"/>
                <w:b/>
                <w:color w:val="FCC30A"/>
                <w:sz w:val="19"/>
              </w:rPr>
              <w:t>Passes 3 + 4 (looped)</w:t>
            </w:r>
          </w:p>
          <w:tbl>
            <w:tblPr>
              <w:tblW w:type="auto" w:w="0"/>
              <w:tblLook w:firstColumn="1" w:firstRow="1" w:lastColumn="0" w:lastRow="0" w:noHBand="0" w:noVBand="1" w:val="04A0"/>
              <w:tblLayout w:type="fixed"/>
              <w:tblBorders>
                <w:top w:val="single" w:sz="4" w:space="0" w:color="DDDDDD"/>
                <w:left w:val="single" w:sz="4" w:space="0" w:color="DDDDDD"/>
                <w:bottom w:val="single" w:sz="4" w:space="0" w:color="DDDDDD"/>
                <w:right w:val="single" w:sz="4" w:space="0" w:color="DDDDDD"/>
                <w:insideH w:val="single" w:sz="4" w:space="0" w:color="DDDDDD"/>
                <w:insideV w:val="single" w:sz="4" w:space="0" w:color="DDDDDD"/>
              </w:tblBorders>
              <w:tblCellMar>
                <w:top w:w="8" w:type="dxa"/>
                <w:bottom w:w="8" w:type="dxa"/>
                <w:left w:w="60" w:type="dxa"/>
                <w:right w:w="60" w:type="dxa"/>
              </w:tblCellMar>
            </w:tblPr>
            <w:tblGrid>
              <w:gridCol w:w="1054"/>
              <w:gridCol w:w="1294"/>
              <w:gridCol w:w="1294"/>
              <w:gridCol w:w="1150"/>
            </w:tblGrid>
            <w:tr>
              <w:tc>
                <w:tcPr>
                  <w:tcW w:type="dxa" w:w="1055"/>
                  <w:shd w:val="clear" w:fill="222222"/>
                </w:tcPr>
                <w:p>
                  <w:pPr>
                    <w:spacing w:before="20" w:after="20" w:line="240" w:lineRule="auto"/>
                  </w:pPr>
                  <w:r/>
                  <w:r>
                    <w:rPr>
                      <w:rFonts w:ascii="Arial" w:hAnsi="Arial"/>
                      <w:b/>
                      <w:color w:val="FFFFFF"/>
                      <w:sz w:val="15"/>
                    </w:rPr>
                    <w:t>GPM</w:t>
                  </w:r>
                </w:p>
              </w:tc>
              <w:tc>
                <w:tcPr>
                  <w:tcW w:type="dxa" w:w="1295"/>
                  <w:shd w:val="clear" w:fill="222222"/>
                </w:tcPr>
                <w:p>
                  <w:pPr>
                    <w:spacing w:before="20" w:after="20" w:line="240" w:lineRule="auto"/>
                  </w:pPr>
                  <w:r/>
                  <w:r>
                    <w:rPr>
                      <w:rFonts w:ascii="Arial" w:hAnsi="Arial"/>
                      <w:b/>
                      <w:color w:val="FFFFFF"/>
                      <w:sz w:val="15"/>
                    </w:rPr>
                    <w:t>BEFORE PSI</w:t>
                  </w:r>
                </w:p>
              </w:tc>
              <w:tc>
                <w:tcPr>
                  <w:tcW w:type="dxa" w:w="1295"/>
                  <w:shd w:val="clear" w:fill="222222"/>
                </w:tcPr>
                <w:p>
                  <w:pPr>
                    <w:spacing w:before="20" w:after="20" w:line="240" w:lineRule="auto"/>
                  </w:pPr>
                  <w:r/>
                  <w:r>
                    <w:rPr>
                      <w:rFonts w:ascii="Arial" w:hAnsi="Arial"/>
                      <w:b/>
                      <w:color w:val="FFFFFF"/>
                      <w:sz w:val="15"/>
                    </w:rPr>
                    <w:t>AFTER PSI</w:t>
                  </w:r>
                </w:p>
              </w:tc>
              <w:tc>
                <w:tcPr>
                  <w:tcW w:type="dxa" w:w="1151"/>
                  <w:shd w:val="clear" w:fill="222222"/>
                </w:tcPr>
                <w:p>
                  <w:pPr>
                    <w:spacing w:before="20" w:after="20" w:line="240" w:lineRule="auto"/>
                  </w:pPr>
                  <w:r/>
                  <w:r>
                    <w:rPr>
                      <w:rFonts w:ascii="Arial" w:hAnsi="Arial"/>
                      <w:b/>
                      <w:color w:val="FFFFFF"/>
                      <w:sz w:val="15"/>
                    </w:rPr>
                    <w:t>Δ PSI</w:t>
                  </w:r>
                </w:p>
              </w:tc>
            </w:tr>
            <w:tr>
              <w:tc>
                <w:tcPr>
                  <w:tcW w:type="dxa" w:w="1055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650</w:t>
                  </w:r>
                </w:p>
              </w:tc>
              <w:tc>
                <w:tcPr>
                  <w:tcW w:type="dxa" w:w="1295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230</w:t>
                  </w:r>
                </w:p>
              </w:tc>
              <w:tc>
                <w:tcPr>
                  <w:tcW w:type="dxa" w:w="1295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180</w:t>
                  </w:r>
                </w:p>
              </w:tc>
              <w:tc>
                <w:tcPr>
                  <w:tcW w:type="dxa" w:w="1151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50</w:t>
                  </w:r>
                </w:p>
              </w:tc>
            </w:tr>
            <w:tr>
              <w:tc>
                <w:tcPr>
                  <w:tcW w:type="dxa" w:w="1055"/>
                  <w:shd w:val="clear" w:fill="F7F7F7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600</w:t>
                  </w:r>
                </w:p>
              </w:tc>
              <w:tc>
                <w:tcPr>
                  <w:tcW w:type="dxa" w:w="1295"/>
                  <w:shd w:val="clear" w:fill="F7F7F7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210</w:t>
                  </w:r>
                </w:p>
              </w:tc>
              <w:tc>
                <w:tcPr>
                  <w:tcW w:type="dxa" w:w="1295"/>
                  <w:shd w:val="clear" w:fill="F7F7F7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170</w:t>
                  </w:r>
                </w:p>
              </w:tc>
              <w:tc>
                <w:tcPr>
                  <w:tcW w:type="dxa" w:w="1151"/>
                  <w:shd w:val="clear" w:fill="F7F7F7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40</w:t>
                  </w:r>
                </w:p>
              </w:tc>
            </w:tr>
            <w:tr>
              <w:tc>
                <w:tcPr>
                  <w:tcW w:type="dxa" w:w="1055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550</w:t>
                  </w:r>
                </w:p>
              </w:tc>
              <w:tc>
                <w:tcPr>
                  <w:tcW w:type="dxa" w:w="1295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175</w:t>
                  </w:r>
                </w:p>
              </w:tc>
              <w:tc>
                <w:tcPr>
                  <w:tcW w:type="dxa" w:w="1295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140</w:t>
                  </w:r>
                </w:p>
              </w:tc>
              <w:tc>
                <w:tcPr>
                  <w:tcW w:type="dxa" w:w="1151"/>
                </w:tcPr>
                <w:p>
                  <w:pPr>
                    <w:spacing w:before="20" w:after="20" w:line="240" w:lineRule="auto"/>
                    <w:jc w:val="center"/>
                  </w:pPr>
                  <w:r/>
                  <w:r>
                    <w:rPr>
                      <w:rFonts w:ascii="Arial" w:hAnsi="Arial"/>
                      <w:b w:val="0"/>
                      <w:color w:val="555555"/>
                      <w:sz w:val="17"/>
                    </w:rPr>
                    <w:t>35</w:t>
                  </w:r>
                </w:p>
              </w:tc>
            </w:tr>
          </w:tbl>
          <w:p/>
        </w:tc>
      </w:tr>
    </w:tbl>
    <w:p>
      <w:pPr>
        <w:spacing w:before="120" w:after="60"/>
        <w:keepNext/>
        <w:pBdr>
          <w:bottom w:val="single" w:sz="18" w:space="4" w:color="FCC30A"/>
        </w:pBdr>
      </w:pPr>
      <w:r>
        <w:rPr>
          <w:rFonts w:ascii="Arial" w:hAnsi="Arial"/>
          <w:b/>
          <w:color w:val="222222"/>
          <w:sz w:val="26"/>
        </w:rPr>
        <w:t>Project Summary</w:t>
      </w:r>
    </w:p>
    <w:p>
      <w:pPr>
        <w:spacing w:before="40" w:after="120" w:line="276" w:lineRule="auto"/>
      </w:pPr>
      <w:r>
        <w:rPr>
          <w:rFonts w:ascii="Arial" w:hAnsi="Arial"/>
          <w:b w:val="0"/>
          <w:color w:val="555555"/>
          <w:sz w:val="20"/>
        </w:rPr>
        <w:t>USADebusk performed the mechanical decoke of the HDS Furnace (PR-175169) for Cenovus at the Lima Refinery during the 2026 turnaround, September 25 – 27, on Trimax 5 with filtration through Press 3. The four naphtha passes were looped into two circuits, passes 1 + 2 and 3 + 4, and smart-pigged after cleaning. The heater ran 41 operating hours and 2 stand-by hours, using 16 pigs.</w:t>
      </w:r>
    </w:p>
    <w:p>
      <w:pPr>
        <w:spacing w:before="120" w:after="60"/>
        <w:keepNext/>
        <w:pBdr>
          <w:bottom w:val="single" w:sz="18" w:space="4" w:color="FCC30A"/>
        </w:pBdr>
      </w:pPr>
      <w:r>
        <w:rPr>
          <w:rFonts w:ascii="Arial" w:hAnsi="Arial"/>
          <w:b/>
          <w:color w:val="222222"/>
          <w:sz w:val="26"/>
        </w:rPr>
        <w:t>Project Close</w:t>
      </w:r>
    </w:p>
    <w:p>
      <w:pPr>
        <w:spacing w:before="40" w:after="120" w:line="276" w:lineRule="auto"/>
      </w:pPr>
      <w:r>
        <w:rPr>
          <w:rFonts w:ascii="Arial" w:hAnsi="Arial"/>
          <w:b w:val="0"/>
          <w:color w:val="555555"/>
          <w:sz w:val="20"/>
        </w:rPr>
        <w:t>The HDS Furnace was cleaned, rigged out and returned to Cenovus on September 27, 2026.</w:t>
      </w:r>
    </w:p>
    <w:p>
      <w:pPr>
        <w:keepNext/>
        <w:spacing w:before="40" w:after="120" w:line="276" w:lineRule="auto"/>
      </w:pPr>
      <w:r>
        <w:rPr>
          <w:rFonts w:ascii="Arial" w:hAnsi="Arial"/>
          <w:b w:val="0"/>
          <w:color w:val="555555"/>
          <w:sz w:val="20"/>
        </w:rPr>
        <w:t>USADebusk thanks the Cenovus Lima team for their coordination and support throughout the turnaround, and we look forward to continuing to serve your decoking and pigging needs.</w:t>
      </w:r>
    </w:p>
    <w:p>
      <w:pPr>
        <w:keepNext/>
        <w:spacing w:before="200" w:after="0"/>
      </w:pPr>
      <w:r>
        <w:rPr>
          <w:rFonts w:ascii="Arial" w:hAnsi="Arial"/>
          <w:b/>
          <w:color w:val="222222"/>
          <w:sz w:val="20"/>
        </w:rPr>
        <w:t>Jesse Utsey  |  Project Manager, USADebusk</w:t>
      </w:r>
    </w:p>
    <w:p>
      <w:pPr>
        <w:keepNext w:val="0"/>
        <w:spacing w:before="0" w:after="0"/>
      </w:pPr>
      <w:r>
        <w:rPr>
          <w:rFonts w:ascii="Arial" w:hAnsi="Arial"/>
          <w:b w:val="0"/>
          <w:color w:val="222222"/>
          <w:sz w:val="20"/>
        </w:rPr>
        <w:t>713-252-8516  |  JUtsey@USADebusk.com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368" w:right="1152" w:bottom="1008" w:left="1152" w:header="576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Arial" w:hAnsi="Arial"/>
        <w:b w:val="0"/>
        <w:color w:val="888888"/>
        <w:sz w:val="16"/>
      </w:rPr>
      <w:t>USADebusk  |  Deer Park, TX  |  usadebusk.com</w:t>
    </w:r>
    <w:r>
      <w:rPr>
        <w:rFonts w:ascii="Arial" w:hAnsi="Arial"/>
        <w:b w:val="0"/>
        <w:color w:val="888888"/>
        <w:sz w:val="16"/>
      </w:rPr>
      <w:t xml:space="preserve">          </w:t>
    </w:r>
    <w:r>
      <w:rPr>
        <w:rFonts w:ascii="Arial" w:hAnsi="Arial"/>
        <w:color w:val="888888"/>
        <w:sz w:val="16"/>
      </w:rPr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5040"/>
      <w:gridCol w:w="5040"/>
    </w:tblGrid>
    <w:tr>
      <w:tc>
        <w:tcPr>
          <w:tcW w:type="dxa" w:w="5040"/>
        </w:tcPr>
        <w:p>
          <w:pPr>
            <w:spacing w:before="0" w:after="0"/>
          </w:pPr>
          <w:r/>
          <w:r>
            <w:drawing>
              <wp:inline xmlns:a="http://schemas.openxmlformats.org/drawingml/2006/main" xmlns:pic="http://schemas.openxmlformats.org/drawingml/2006/picture">
                <wp:extent cx="1708570" cy="256032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Debusk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8570" cy="256032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040"/>
        </w:tcPr>
        <w:p>
          <w:pPr>
            <w:spacing w:before="0" w:after="0"/>
            <w:jc w:val="right"/>
          </w:pPr>
          <w:r/>
          <w:r>
            <w:rPr>
              <w:rFonts w:ascii="Arial" w:hAnsi="Arial"/>
              <w:b/>
              <w:color w:val="222222"/>
              <w:sz w:val="18"/>
            </w:rPr>
            <w:t>JR-DCK-CEN26046-HDS  |  REV 0</w:t>
          </w:r>
        </w:p>
        <w:p>
          <w:pPr>
            <w:spacing w:before="0" w:after="0"/>
            <w:jc w:val="right"/>
          </w:pPr>
          <w:r>
            <w:rPr>
              <w:rFonts w:ascii="Arial" w:hAnsi="Arial"/>
              <w:b w:val="0"/>
              <w:color w:val="888888"/>
              <w:sz w:val="16"/>
            </w:rPr>
            <w:t>Pigging / Decoking  |  PR-175169 HDS  |  Cenovus Lima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jpg"/><Relationship Id="rId14" Type="http://schemas.openxmlformats.org/officeDocument/2006/relationships/image" Target="media/image5.jpg"/><Relationship Id="rId15" Type="http://schemas.openxmlformats.org/officeDocument/2006/relationships/image" Target="media/image6.png"/><Relationship Id="rId16" Type="http://schemas.openxmlformats.org/officeDocument/2006/relationships/image" Target="media/image7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