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Cenovus Lima — Crude, Vacuum, HDS &amp; Coker Furnaces</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17 – 30, 2026</w:t>
            </w:r>
          </w:p>
        </w:tc>
        <w:tc>
          <w:tcPr>
            <w:tcW w:type="dxa" w:w="2640"/>
          </w:tcPr>
          <w:p>
            <w:pPr>
              <w:spacing w:before="20" w:after="20" w:line="240" w:lineRule="auto"/>
            </w:pPr>
            <w:r/>
            <w:r>
              <w:rPr>
                <w:rFonts w:ascii="Arial" w:hAnsi="Arial"/>
                <w:b w:val="0"/>
                <w:color w:val="555555"/>
                <w:sz w:val="20"/>
              </w:rPr>
              <w:t>Jesse Utsey · Peter Campbell</w:t>
            </w:r>
          </w:p>
        </w:tc>
      </w:tr>
      <w:tr>
        <w:tc>
          <w:tcPr>
            <w:tcW w:type="dxa" w:w="2016"/>
            <w:shd w:val="clear" w:fill="222222"/>
          </w:tcPr>
          <w:p>
            <w:pPr>
              <w:spacing w:before="20" w:after="20" w:line="240" w:lineRule="auto"/>
            </w:pPr>
            <w:r/>
            <w:r>
              <w:rPr>
                <w:rFonts w:ascii="Arial" w:hAnsi="Arial"/>
                <w:b/>
                <w:color w:val="FFFFFF"/>
                <w:sz w:val="18"/>
              </w:rPr>
              <w:t>WORK ORDERS</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HEATERS</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Crude 82036534 · Vacuum 82036776 · Coker 82096135</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4</w:t>
            </w:r>
          </w:p>
        </w:tc>
        <w:tc>
          <w:tcPr>
            <w:tcW w:type="dxa" w:w="2640"/>
          </w:tcPr>
          <w:p>
            <w:pPr>
              <w:spacing w:before="20" w:after="20" w:line="240" w:lineRule="auto"/>
            </w:pPr>
            <w:r/>
            <w:r>
              <w:rPr>
                <w:rFonts w:ascii="Arial" w:hAnsi="Arial"/>
                <w:b w:val="0"/>
                <w:color w:val="555555"/>
                <w:sz w:val="20"/>
              </w:rPr>
              <w:t>14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4</w:t>
            </w:r>
          </w:p>
        </w:tc>
        <w:tc>
          <w:tcPr>
            <w:tcW w:type="dxa" w:w="2640"/>
          </w:tcPr>
          <w:p>
            <w:pPr>
              <w:spacing w:before="20" w:after="20" w:line="240" w:lineRule="auto"/>
              <w:jc w:val="center"/>
            </w:pPr>
            <w:r/>
            <w:r>
              <w:rPr>
                <w:rFonts w:ascii="Arial" w:hAnsi="Arial"/>
                <w:b/>
                <w:color w:val="222222"/>
                <w:sz w:val="42"/>
              </w:rPr>
              <w:t>501.5</w:t>
            </w:r>
          </w:p>
        </w:tc>
        <w:tc>
          <w:tcPr>
            <w:tcW w:type="dxa" w:w="2640"/>
          </w:tcPr>
          <w:p>
            <w:pPr>
              <w:spacing w:before="20" w:after="20" w:line="240" w:lineRule="auto"/>
              <w:jc w:val="center"/>
            </w:pPr>
            <w:r/>
            <w:r>
              <w:rPr>
                <w:rFonts w:ascii="Arial" w:hAnsi="Arial"/>
                <w:b/>
                <w:color w:val="222222"/>
                <w:sz w:val="42"/>
              </w:rPr>
              <w:t>378</w:t>
            </w:r>
          </w:p>
        </w:tc>
        <w:tc>
          <w:tcPr>
            <w:tcW w:type="dxa" w:w="2640"/>
          </w:tcPr>
          <w:p>
            <w:pPr>
              <w:spacing w:before="20" w:after="20" w:line="240" w:lineRule="auto"/>
              <w:jc w:val="center"/>
            </w:pPr>
            <w:r/>
            <w:r>
              <w:rPr>
                <w:rFonts w:ascii="Arial" w:hAnsi="Arial"/>
                <w:b/>
                <w:color w:val="222222"/>
                <w:sz w:val="42"/>
              </w:rPr>
              <w:t>3</w:t>
            </w:r>
          </w:p>
        </w:tc>
      </w:tr>
      <w:tr>
        <w:tc>
          <w:tcPr>
            <w:tcW w:type="dxa" w:w="2016"/>
          </w:tcPr>
          <w:p>
            <w:pPr>
              <w:spacing w:before="20" w:after="20" w:line="240" w:lineRule="auto"/>
              <w:jc w:val="center"/>
            </w:pPr>
            <w:r/>
            <w:r>
              <w:rPr>
                <w:rFonts w:ascii="Arial" w:hAnsi="Arial"/>
                <w:b/>
                <w:color w:val="888888"/>
                <w:sz w:val="15"/>
              </w:rPr>
              <w:t>HEATERS CLEANED</w:t>
            </w:r>
          </w:p>
        </w:tc>
        <w:tc>
          <w:tcPr>
            <w:tcW w:type="dxa" w:w="2640"/>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HEATERS SMART-PIGGED</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ORDERS</w:t>
            </w:r>
          </w:p>
        </w:tc>
        <w:tc>
          <w:tcPr>
            <w:tcW w:type="dxa" w:w="7920"/>
          </w:tcPr>
          <w:p>
            <w:pPr>
              <w:spacing w:before="20" w:after="20" w:line="240" w:lineRule="auto"/>
            </w:pPr>
            <w:r/>
            <w:r>
              <w:rPr>
                <w:rFonts w:ascii="Arial" w:hAnsi="Arial"/>
                <w:b w:val="0"/>
                <w:color w:val="555555"/>
                <w:sz w:val="20"/>
              </w:rPr>
              <w:t>Crude 82036534 · Vacuum 82036776 · Coker 82096135</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 (Crude, Vacuum, HDS) · Kaleb Dodson (Coker)</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four fired heaters,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17 – 30, 2026  (14 days)</w:t>
            </w:r>
          </w:p>
        </w:tc>
      </w:tr>
      <w:tr>
        <w:tc>
          <w:tcPr>
            <w:tcW w:type="dxa" w:w="2016"/>
          </w:tcPr>
          <w:p>
            <w:pPr>
              <w:spacing w:before="20" w:after="20" w:line="240" w:lineRule="auto"/>
            </w:pPr>
            <w:r/>
            <w:r>
              <w:rPr>
                <w:rFonts w:ascii="Arial" w:hAnsi="Arial"/>
                <w:b/>
                <w:color w:val="222222"/>
                <w:sz w:val="18"/>
              </w:rPr>
              <w:t>HEATERS</w:t>
            </w:r>
          </w:p>
        </w:tc>
        <w:tc>
          <w:tcPr>
            <w:tcW w:type="dxa" w:w="7920"/>
          </w:tcPr>
          <w:p>
            <w:pPr>
              <w:spacing w:before="20" w:after="20" w:line="240" w:lineRule="auto"/>
            </w:pPr>
            <w:r/>
            <w:r>
              <w:rPr>
                <w:rFonts w:ascii="Arial" w:hAnsi="Arial"/>
                <w:b w:val="0"/>
                <w:color w:val="555555"/>
                <w:sz w:val="20"/>
              </w:rPr>
              <w:t>PR-170028 Crude · PR-170029 Vacuum Charge · PR-175169 HDS · PR-170002 Coker</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(2) Trimax Pumpers (Trimax 5 &amp; 6) · (2) Support Units · (2) Filter Presses · Crew Trucks</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 (Vacuum) · Peter Campbell (Crude, HDS, Coker)</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Peter Campbell; Night — Sam Mixon, James McDaniel</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Rodney Lynch, Brody Lebleau, David Charles, Adrian Garza, Marshall Douglas, Travis Trenholm</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Joel Ruiz, Tyler Garza, Justin Kelly, Mikee Green, Jeremiah Harman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PR-170028 Crude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35.75</w:t>
            </w:r>
          </w:p>
        </w:tc>
        <w:tc>
          <w:tcPr>
            <w:tcW w:type="dxa" w:w="1584"/>
          </w:tcPr>
          <w:p>
            <w:pPr>
              <w:keepNext/>
              <w:spacing w:before="20" w:after="20" w:line="240" w:lineRule="auto"/>
            </w:pPr>
            <w:r/>
            <w:r>
              <w:rPr>
                <w:rFonts w:ascii="Arial" w:hAnsi="Arial"/>
                <w:b w:val="0"/>
                <w:color w:val="555555"/>
                <w:sz w:val="20"/>
              </w:rPr>
              <w:t>118</w:t>
            </w:r>
          </w:p>
        </w:tc>
        <w:tc>
          <w:tcPr>
            <w:tcW w:type="dxa" w:w="1584"/>
          </w:tcPr>
          <w:p>
            <w:pPr>
              <w:keepNext/>
              <w:spacing w:before="20" w:after="20" w:line="240" w:lineRule="auto"/>
            </w:pPr>
            <w:r/>
            <w:r>
              <w:rPr>
                <w:rFonts w:ascii="Arial" w:hAnsi="Arial"/>
                <w:b w:val="0"/>
                <w:color w:val="555555"/>
                <w:sz w:val="20"/>
              </w:rPr>
              <w:t>38.25</w:t>
            </w:r>
          </w:p>
        </w:tc>
        <w:tc>
          <w:tcPr>
            <w:tcW w:type="dxa" w:w="1584"/>
          </w:tcPr>
          <w:p>
            <w:pPr>
              <w:keepNext/>
              <w:spacing w:before="20" w:after="20" w:line="240" w:lineRule="auto"/>
            </w:pPr>
            <w:r/>
            <w:r>
              <w:rPr>
                <w:rFonts w:ascii="Arial" w:hAnsi="Arial"/>
                <w:b w:val="0"/>
                <w:color w:val="555555"/>
                <w:sz w:val="20"/>
              </w:rPr>
              <w:t>192</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r>
        <w:tc>
          <w:tcPr>
            <w:tcW w:type="dxa" w:w="2016"/>
          </w:tcPr>
          <w:p>
            <w:pPr>
              <w:keepNext/>
              <w:spacing w:before="20" w:after="20" w:line="240" w:lineRule="auto"/>
            </w:pPr>
            <w:r/>
            <w:r>
              <w:rPr>
                <w:rFonts w:ascii="Arial" w:hAnsi="Arial"/>
                <w:b w:val="0"/>
                <w:color w:val="555555"/>
                <w:sz w:val="20"/>
              </w:rPr>
              <w:t>PR-175169 HDS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16</w:t>
            </w:r>
          </w:p>
        </w:tc>
        <w:tc>
          <w:tcPr>
            <w:tcW w:type="dxa" w:w="1584"/>
          </w:tcPr>
          <w:p>
            <w:pPr>
              <w:keepNext/>
              <w:spacing w:before="20" w:after="20" w:line="240" w:lineRule="auto"/>
            </w:pPr>
            <w:r/>
            <w:r>
              <w:rPr>
                <w:rFonts w:ascii="Arial" w:hAnsi="Arial"/>
                <w:b w:val="0"/>
                <w:color w:val="555555"/>
                <w:sz w:val="20"/>
              </w:rPr>
              <w:t>20.5</w:t>
            </w:r>
          </w:p>
        </w:tc>
        <w:tc>
          <w:tcPr>
            <w:tcW w:type="dxa" w:w="1584"/>
          </w:tcPr>
          <w:p>
            <w:pPr>
              <w:keepNext/>
              <w:spacing w:before="20" w:after="20" w:line="240" w:lineRule="auto"/>
            </w:pPr>
            <w:r/>
            <w:r>
              <w:rPr>
                <w:rFonts w:ascii="Arial" w:hAnsi="Arial"/>
                <w:b w:val="0"/>
                <w:color w:val="555555"/>
                <w:sz w:val="20"/>
              </w:rPr>
              <w:t>4.5</w:t>
            </w:r>
          </w:p>
        </w:tc>
        <w:tc>
          <w:tcPr>
            <w:tcW w:type="dxa" w:w="1584"/>
          </w:tcPr>
          <w:p>
            <w:pPr>
              <w:keepNext/>
              <w:spacing w:before="20" w:after="20" w:line="240" w:lineRule="auto"/>
            </w:pPr>
            <w:r/>
            <w:r>
              <w:rPr>
                <w:rFonts w:ascii="Arial" w:hAnsi="Arial"/>
                <w:b w:val="0"/>
                <w:color w:val="555555"/>
                <w:sz w:val="20"/>
              </w:rPr>
              <w:t>41</w:t>
            </w:r>
          </w:p>
        </w:tc>
      </w:tr>
      <w:tr>
        <w:tc>
          <w:tcPr>
            <w:tcW w:type="dxa" w:w="2016"/>
          </w:tcPr>
          <w:p>
            <w:pPr>
              <w:keepNext/>
              <w:spacing w:before="20" w:after="20" w:line="240" w:lineRule="auto"/>
            </w:pPr>
            <w:r/>
            <w:r>
              <w:rPr>
                <w:rFonts w:ascii="Arial" w:hAnsi="Arial"/>
                <w:b w:val="0"/>
                <w:color w:val="555555"/>
                <w:sz w:val="20"/>
              </w:rPr>
              <w:t>PR-170002 Coker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22</w:t>
            </w:r>
          </w:p>
        </w:tc>
        <w:tc>
          <w:tcPr>
            <w:tcW w:type="dxa" w:w="1584"/>
          </w:tcPr>
          <w:p>
            <w:pPr>
              <w:keepNext/>
              <w:spacing w:before="20" w:after="20" w:line="240" w:lineRule="auto"/>
            </w:pPr>
            <w:r/>
            <w:r>
              <w:rPr>
                <w:rFonts w:ascii="Arial" w:hAnsi="Arial"/>
                <w:b w:val="0"/>
                <w:color w:val="555555"/>
                <w:sz w:val="20"/>
              </w:rPr>
              <w:t>51</w:t>
            </w:r>
          </w:p>
        </w:tc>
        <w:tc>
          <w:tcPr>
            <w:tcW w:type="dxa" w:w="1584"/>
          </w:tcPr>
          <w:p>
            <w:pPr>
              <w:keepNext/>
              <w:spacing w:before="20" w:after="20" w:line="240" w:lineRule="auto"/>
            </w:pPr>
            <w:r/>
            <w:r>
              <w:rPr>
                <w:rFonts w:ascii="Arial" w:hAnsi="Arial"/>
                <w:b w:val="0"/>
                <w:color w:val="555555"/>
                <w:sz w:val="20"/>
              </w:rPr>
              <w:t>0</w:t>
            </w:r>
          </w:p>
        </w:tc>
        <w:tc>
          <w:tcPr>
            <w:tcW w:type="dxa" w:w="1584"/>
          </w:tcPr>
          <w:p>
            <w:pPr>
              <w:keepNext/>
              <w:spacing w:before="20" w:after="20" w:line="240" w:lineRule="auto"/>
            </w:pPr>
            <w:r/>
            <w:r>
              <w:rPr>
                <w:rFonts w:ascii="Arial" w:hAnsi="Arial"/>
                <w:b w:val="0"/>
                <w:color w:val="555555"/>
                <w:sz w:val="20"/>
              </w:rPr>
              <w:t>73</w:t>
            </w:r>
          </w:p>
        </w:tc>
      </w:tr>
      <w:tr>
        <w:tc>
          <w:tcPr>
            <w:tcW w:type="dxa" w:w="2016"/>
            <w:shd w:val="clear" w:fill="F7F7F7"/>
          </w:tcPr>
          <w:p>
            <w:pPr>
              <w:spacing w:before="20" w:after="20" w:line="240" w:lineRule="auto"/>
            </w:pPr>
            <w:r/>
            <w:r>
              <w:rPr>
                <w:rFonts w:ascii="Arial" w:hAnsi="Arial"/>
                <w:b/>
                <w:color w:val="222222"/>
                <w:sz w:val="20"/>
              </w:rPr>
              <w:t>TOTAL</w:t>
            </w:r>
          </w:p>
        </w:tc>
        <w:tc>
          <w:tcPr>
            <w:tcW w:type="dxa" w:w="1584"/>
            <w:shd w:val="clear" w:fill="F7F7F7"/>
          </w:tcPr>
          <w:p>
            <w:pPr>
              <w:spacing w:before="20" w:after="20" w:line="240" w:lineRule="auto"/>
            </w:pPr>
            <w:r/>
            <w:r>
              <w:rPr>
                <w:rFonts w:ascii="Arial" w:hAnsi="Arial"/>
                <w:b w:val="0"/>
                <w:color w:val="222222"/>
                <w:sz w:val="20"/>
              </w:rPr>
            </w:r>
          </w:p>
        </w:tc>
        <w:tc>
          <w:tcPr>
            <w:tcW w:type="dxa" w:w="1584"/>
            <w:shd w:val="clear" w:fill="F7F7F7"/>
          </w:tcPr>
          <w:p>
            <w:pPr>
              <w:spacing w:before="20" w:after="20" w:line="240" w:lineRule="auto"/>
            </w:pPr>
            <w:r/>
            <w:r>
              <w:rPr>
                <w:rFonts w:ascii="Arial" w:hAnsi="Arial"/>
                <w:b/>
                <w:color w:val="222222"/>
                <w:sz w:val="20"/>
              </w:rPr>
              <w:t>132.25</w:t>
            </w:r>
          </w:p>
        </w:tc>
        <w:tc>
          <w:tcPr>
            <w:tcW w:type="dxa" w:w="1584"/>
            <w:shd w:val="clear" w:fill="F7F7F7"/>
          </w:tcPr>
          <w:p>
            <w:pPr>
              <w:spacing w:before="20" w:after="20" w:line="240" w:lineRule="auto"/>
            </w:pPr>
            <w:r/>
            <w:r>
              <w:rPr>
                <w:rFonts w:ascii="Arial" w:hAnsi="Arial"/>
                <w:b/>
                <w:color w:val="222222"/>
                <w:sz w:val="20"/>
              </w:rPr>
              <w:t>252.5</w:t>
            </w:r>
          </w:p>
        </w:tc>
        <w:tc>
          <w:tcPr>
            <w:tcW w:type="dxa" w:w="1584"/>
            <w:shd w:val="clear" w:fill="F7F7F7"/>
          </w:tcPr>
          <w:p>
            <w:pPr>
              <w:spacing w:before="20" w:after="20" w:line="240" w:lineRule="auto"/>
            </w:pPr>
            <w:r/>
            <w:r>
              <w:rPr>
                <w:rFonts w:ascii="Arial" w:hAnsi="Arial"/>
                <w:b/>
                <w:color w:val="222222"/>
                <w:sz w:val="20"/>
              </w:rPr>
              <w:t>116.75</w:t>
            </w:r>
          </w:p>
        </w:tc>
        <w:tc>
          <w:tcPr>
            <w:tcW w:type="dxa" w:w="1584"/>
            <w:shd w:val="clear" w:fill="F7F7F7"/>
          </w:tcPr>
          <w:p>
            <w:pPr>
              <w:spacing w:before="20" w:after="20" w:line="240" w:lineRule="auto"/>
            </w:pPr>
            <w:r/>
            <w:r>
              <w:rPr>
                <w:rFonts w:ascii="Arial" w:hAnsi="Arial"/>
                <w:b/>
                <w:color w:val="222222"/>
                <w:sz w:val="20"/>
              </w:rPr>
              <w:t>501.5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tcPr>
          <w:p>
            <w:pPr>
              <w:keepNext/>
              <w:spacing w:before="20" w:after="20" w:line="240" w:lineRule="auto"/>
            </w:pPr>
            <w:r/>
            <w:r>
              <w:rPr>
                <w:rFonts w:ascii="Arial" w:hAnsi="Arial"/>
                <w:b w:val="0"/>
                <w:color w:val="555555"/>
                <w:sz w:val="20"/>
              </w:rPr>
              <w:t>Sep 25 (8417)</w:t>
            </w:r>
          </w:p>
        </w:tc>
        <w:tc>
          <w:tcPr>
            <w:tcW w:type="dxa" w:w="1008"/>
          </w:tcPr>
          <w:p>
            <w:pPr>
              <w:keepNext/>
              <w:spacing w:before="20" w:after="20" w:line="240" w:lineRule="auto"/>
              <w:jc w:val="right"/>
            </w:pPr>
            <w:r/>
            <w:r>
              <w:rPr>
                <w:rFonts w:ascii="Arial" w:hAnsi="Arial"/>
                <w:b w:val="0"/>
                <w:color w:val="555555"/>
                <w:sz w:val="20"/>
              </w:rPr>
              <w:t>1</w:t>
            </w:r>
          </w:p>
        </w:tc>
        <w:tc>
          <w:tcPr>
            <w:tcW w:type="dxa" w:w="6912"/>
          </w:tcPr>
          <w:p>
            <w:pPr>
              <w:keepNext/>
              <w:spacing w:before="20" w:after="20" w:line="240" w:lineRule="auto"/>
            </w:pPr>
            <w:r/>
            <w:r>
              <w:rPr>
                <w:rFonts w:ascii="Arial" w:hAnsi="Arial"/>
                <w:b w:val="0"/>
                <w:color w:val="555555"/>
                <w:sz w:val="20"/>
              </w:rPr>
              <w:t>Site safety review of hose routing near the catalyst job (HDS)</w:t>
            </w:r>
          </w:p>
        </w:tc>
      </w:tr>
      <w:tr>
        <w:tc>
          <w:tcPr>
            <w:tcW w:type="dxa" w:w="2016"/>
            <w:shd w:val="clear" w:fill="F7F7F7"/>
          </w:tcPr>
          <w:p>
            <w:pPr>
              <w:keepNext/>
              <w:spacing w:before="20" w:after="20" w:line="240" w:lineRule="auto"/>
            </w:pPr>
            <w:r/>
            <w:r>
              <w:rPr>
                <w:rFonts w:ascii="Arial" w:hAnsi="Arial"/>
                <w:b w:val="0"/>
                <w:color w:val="555555"/>
                <w:sz w:val="20"/>
              </w:rPr>
              <w:t>Sep 27 (8420)</w:t>
            </w:r>
          </w:p>
        </w:tc>
        <w:tc>
          <w:tcPr>
            <w:tcW w:type="dxa" w:w="1008"/>
            <w:shd w:val="clear" w:fill="F7F7F7"/>
          </w:tcPr>
          <w:p>
            <w:pPr>
              <w:keepNext/>
              <w:spacing w:before="20" w:after="20" w:line="240" w:lineRule="auto"/>
              <w:jc w:val="right"/>
            </w:pPr>
            <w:r/>
            <w:r>
              <w:rPr>
                <w:rFonts w:ascii="Arial" w:hAnsi="Arial"/>
                <w:b w:val="0"/>
                <w:color w:val="555555"/>
                <w:sz w:val="20"/>
              </w:rPr>
              <w:t>1</w:t>
            </w:r>
          </w:p>
        </w:tc>
        <w:tc>
          <w:tcPr>
            <w:tcW w:type="dxa" w:w="6912"/>
            <w:shd w:val="clear" w:fill="F7F7F7"/>
          </w:tcPr>
          <w:p>
            <w:pPr>
              <w:keepNext/>
              <w:spacing w:before="20" w:after="20" w:line="240" w:lineRule="auto"/>
            </w:pPr>
            <w:r/>
            <w:r>
              <w:rPr>
                <w:rFonts w:ascii="Arial" w:hAnsi="Arial"/>
                <w:b w:val="0"/>
                <w:color w:val="555555"/>
                <w:sz w:val="20"/>
              </w:rPr>
              <w:t>Awaiting a 1600 CFM compressor to dewater (HDS)</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54</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Combined project total: 501.5 operating hours plus 54 stand-by hours — 555.5 pumping-unit hours.</w:t>
      </w:r>
    </w:p>
    <w:p>
      <w:pPr>
        <w:keepNext/>
        <w:spacing w:before="0" w:after="0" w:line="8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PR-170028  —  Crude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23,856 ft  (2,982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5.761" (6" Sch 80S)</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7.625" (8" Sch 80S)</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short-radius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Fouling was concentrated in the upper 8" radiant tubes, tubes 1 through 5, with lighter fouling through the balance of the coil. Average pigging time was approximately 39 hours per pass.</w:t>
      </w:r>
    </w:p>
    <w:p>
      <w:pPr>
        <w:keepNext/>
        <w:spacing w:before="120" w:after="40"/>
        <w:jc w:val="center"/>
      </w:pPr>
      <w:r>
        <w:drawing>
          <wp:inline xmlns:a="http://schemas.openxmlformats.org/drawingml/2006/main" xmlns:pic="http://schemas.openxmlformats.org/drawingml/2006/picture">
            <wp:extent cx="5852160" cy="1883664"/>
            <wp:docPr id="1" name="Picture 1"/>
            <wp:cNvGraphicFramePr>
              <a:graphicFrameLocks noChangeAspect="1"/>
            </wp:cNvGraphicFramePr>
            <a:graphic>
              <a:graphicData uri="http://schemas.openxmlformats.org/drawingml/2006/picture">
                <pic:pic>
                  <pic:nvPicPr>
                    <pic:cNvPr id="0" name="timeline-PR-170028.png"/>
                    <pic:cNvPicPr/>
                  </pic:nvPicPr>
                  <pic:blipFill>
                    <a:blip r:embed="rId11"/>
                    <a:stretch>
                      <a:fillRect/>
                    </a:stretch>
                  </pic:blipFill>
                  <pic:spPr>
                    <a:xfrm>
                      <a:off x="0" y="0"/>
                      <a:ext cx="5852160" cy="1883664"/>
                    </a:xfrm>
                    <a:prstGeom prst="rect"/>
                  </pic:spPr>
                </pic:pic>
              </a:graphicData>
            </a:graphic>
          </wp:inline>
        </w:drawing>
      </w:r>
    </w:p>
    <w:p>
      <w:pPr>
        <w:spacing w:before="0" w:after="120"/>
        <w:jc w:val="center"/>
      </w:pPr>
      <w:r>
        <w:rPr>
          <w:rFonts w:ascii="Arial" w:hAnsi="Arial"/>
          <w:b w:val="0"/>
          <w:color w:val="888888"/>
          <w:sz w:val="16"/>
        </w:rPr>
        <w:t>PR-170028 -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6"  —  30</w:t>
            </w:r>
          </w:p>
        </w:tc>
        <w:tc>
          <w:tcPr>
            <w:tcW w:type="dxa" w:w="2484"/>
          </w:tcPr>
          <w:p>
            <w:pPr>
              <w:keepNext/>
              <w:spacing w:before="20" w:after="20" w:line="240" w:lineRule="auto"/>
            </w:pPr>
            <w:r/>
            <w:r>
              <w:rPr>
                <w:rFonts w:ascii="Arial" w:hAnsi="Arial"/>
                <w:b w:val="0"/>
                <w:color w:val="555555"/>
                <w:sz w:val="17"/>
              </w:rPr>
              <w:t>6.25"  —  50</w:t>
            </w:r>
          </w:p>
        </w:tc>
        <w:tc>
          <w:tcPr>
            <w:tcW w:type="dxa" w:w="2484"/>
          </w:tcPr>
          <w:p>
            <w:pPr>
              <w:keepNext/>
              <w:spacing w:before="20" w:after="20" w:line="240" w:lineRule="auto"/>
            </w:pPr>
            <w:r/>
            <w:r>
              <w:rPr>
                <w:rFonts w:ascii="Arial" w:hAnsi="Arial"/>
                <w:b w:val="0"/>
                <w:color w:val="555555"/>
                <w:sz w:val="17"/>
              </w:rPr>
              <w:t>8"  —  40</w:t>
            </w:r>
          </w:p>
        </w:tc>
        <w:tc>
          <w:tcPr>
            <w:tcW w:type="dxa" w:w="2484"/>
          </w:tcPr>
          <w:p>
            <w:pPr>
              <w:keepNext/>
              <w:spacing w:before="20" w:after="20" w:line="240" w:lineRule="auto"/>
            </w:pPr>
            <w:r/>
            <w:r>
              <w:rPr>
                <w:rFonts w:ascii="Arial" w:hAnsi="Arial"/>
                <w:b w:val="0"/>
                <w:color w:val="555555"/>
                <w:sz w:val="17"/>
              </w:rPr>
              <w:t>8.5"  —  12</w:t>
            </w:r>
          </w:p>
        </w:tc>
      </w:tr>
      <w:tr>
        <w:tc>
          <w:tcPr>
            <w:tcW w:type="dxa" w:w="2484"/>
            <w:shd w:val="clear" w:fill="F7F7F7"/>
          </w:tcPr>
          <w:p>
            <w:pPr>
              <w:keepNext/>
              <w:spacing w:before="20" w:after="20" w:line="240" w:lineRule="auto"/>
            </w:pPr>
            <w:r/>
            <w:r>
              <w:rPr>
                <w:rFonts w:ascii="Arial" w:hAnsi="Arial"/>
                <w:b w:val="0"/>
                <w:color w:val="555555"/>
                <w:sz w:val="17"/>
              </w:rPr>
              <w:t>6.125"  —  12</w:t>
            </w:r>
          </w:p>
        </w:tc>
        <w:tc>
          <w:tcPr>
            <w:tcW w:type="dxa" w:w="2484"/>
            <w:shd w:val="clear" w:fill="F7F7F7"/>
          </w:tcPr>
          <w:p>
            <w:pPr>
              <w:keepNext/>
              <w:spacing w:before="20" w:after="20" w:line="240" w:lineRule="auto"/>
            </w:pPr>
            <w:r/>
            <w:r>
              <w:rPr>
                <w:rFonts w:ascii="Arial" w:hAnsi="Arial"/>
                <w:b w:val="0"/>
                <w:color w:val="555555"/>
                <w:sz w:val="17"/>
              </w:rPr>
              <w:t>7.75"  —  3</w:t>
            </w:r>
          </w:p>
        </w:tc>
        <w:tc>
          <w:tcPr>
            <w:tcW w:type="dxa" w:w="2484"/>
            <w:shd w:val="clear" w:fill="F7F7F7"/>
          </w:tcPr>
          <w:p>
            <w:pPr>
              <w:keepNext/>
              <w:spacing w:before="20" w:after="20" w:line="240" w:lineRule="auto"/>
            </w:pPr>
            <w:r/>
            <w:r>
              <w:rPr>
                <w:rFonts w:ascii="Arial" w:hAnsi="Arial"/>
                <w:b w:val="0"/>
                <w:color w:val="555555"/>
                <w:sz w:val="17"/>
              </w:rPr>
              <w:t>8.25"  —  54</w:t>
            </w:r>
          </w:p>
        </w:tc>
        <w:tc>
          <w:tcPr>
            <w:tcW w:type="dxa" w:w="2484"/>
            <w:shd w:val="clear" w:fill="F7F7F7"/>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201</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201 pigs across 7 sizes, 6" through 8.5".</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310</w:t>
                  </w:r>
                </w:p>
              </w:tc>
              <w:tc>
                <w:tcPr>
                  <w:tcW w:type="dxa" w:w="1295"/>
                </w:tcPr>
                <w:p>
                  <w:pPr>
                    <w:spacing w:before="20" w:after="20" w:line="240" w:lineRule="auto"/>
                    <w:jc w:val="center"/>
                  </w:pPr>
                  <w:r/>
                  <w:r>
                    <w:rPr>
                      <w:rFonts w:ascii="Arial" w:hAnsi="Arial"/>
                      <w:b w:val="0"/>
                      <w:color w:val="555555"/>
                      <w:sz w:val="17"/>
                    </w:rPr>
                    <w:t>270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285</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315</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35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295</w:t>
                  </w:r>
                </w:p>
              </w:tc>
              <w:tc>
                <w:tcPr>
                  <w:tcW w:type="dxa" w:w="1295"/>
                  <w:shd w:val="clear" w:fill="F7F7F7"/>
                </w:tcPr>
                <w:p>
                  <w:pPr>
                    <w:spacing w:before="20" w:after="20" w:line="240" w:lineRule="auto"/>
                    <w:jc w:val="center"/>
                  </w:pPr>
                  <w:r/>
                  <w:r>
                    <w:rPr>
                      <w:rFonts w:ascii="Arial" w:hAnsi="Arial"/>
                      <w:b w:val="0"/>
                      <w:color w:val="555555"/>
                      <w:sz w:val="17"/>
                    </w:rPr>
                    <w:t>270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255</w:t>
                  </w:r>
                </w:p>
              </w:tc>
              <w:tc>
                <w:tcPr>
                  <w:tcW w:type="dxa" w:w="1151"/>
                </w:tcPr>
                <w:p>
                  <w:pPr>
                    <w:spacing w:before="20" w:after="20" w:line="240" w:lineRule="auto"/>
                    <w:jc w:val="center"/>
                  </w:pPr>
                  <w:r/>
                  <w:r>
                    <w:rPr>
                      <w:rFonts w:ascii="Arial" w:hAnsi="Arial"/>
                      <w:b w:val="0"/>
                      <w:color w:val="555555"/>
                      <w:sz w:val="17"/>
                    </w:rPr>
                    <w:t>15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305</w:t>
                  </w:r>
                </w:p>
              </w:tc>
              <w:tc>
                <w:tcPr>
                  <w:tcW w:type="dxa" w:w="1151"/>
                </w:tcPr>
                <w:p>
                  <w:pPr>
                    <w:spacing w:before="20" w:after="20" w:line="240" w:lineRule="auto"/>
                    <w:jc w:val="center"/>
                  </w:pPr>
                  <w:r/>
                  <w:r>
                    <w:rPr>
                      <w:rFonts w:ascii="Arial" w:hAnsi="Arial"/>
                      <w:b w:val="0"/>
                      <w:color w:val="555555"/>
                      <w:sz w:val="17"/>
                    </w:rPr>
                    <w:t>45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275</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151"/>
                  <w:shd w:val="clear" w:fill="F7F7F7"/>
                </w:tcPr>
                <w:p>
                  <w:pPr>
                    <w:spacing w:before="20" w:after="20" w:line="240" w:lineRule="auto"/>
                    <w:jc w:val="center"/>
                  </w:pPr>
                  <w:r/>
                  <w:r>
                    <w:rPr>
                      <w:rFonts w:ascii="Arial" w:hAnsi="Arial"/>
                      <w:b w:val="0"/>
                      <w:color w:val="555555"/>
                      <w:sz w:val="17"/>
                    </w:rPr>
                    <w:t>55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55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324</w:t>
                  </w:r>
                </w:p>
              </w:tc>
              <w:tc>
                <w:tcPr>
                  <w:tcW w:type="dxa" w:w="1295"/>
                </w:tcPr>
                <w:p>
                  <w:pPr>
                    <w:spacing w:before="20" w:after="20" w:line="240" w:lineRule="auto"/>
                    <w:jc w:val="center"/>
                  </w:pPr>
                  <w:r/>
                  <w:r>
                    <w:rPr>
                      <w:rFonts w:ascii="Arial" w:hAnsi="Arial"/>
                      <w:b w:val="0"/>
                      <w:color w:val="555555"/>
                      <w:sz w:val="17"/>
                    </w:rPr>
                    <w:t>295</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248</w:t>
                  </w:r>
                </w:p>
              </w:tc>
              <w:tc>
                <w:tcPr>
                  <w:tcW w:type="dxa" w:w="1295"/>
                  <w:shd w:val="clear" w:fill="F7F7F7"/>
                </w:tcPr>
                <w:p>
                  <w:pPr>
                    <w:spacing w:before="20" w:after="20" w:line="240" w:lineRule="auto"/>
                    <w:jc w:val="center"/>
                  </w:pPr>
                  <w:r/>
                  <w:r>
                    <w:rPr>
                      <w:rFonts w:ascii="Arial" w:hAnsi="Arial"/>
                      <w:b w:val="0"/>
                      <w:color w:val="555555"/>
                      <w:sz w:val="17"/>
                    </w:rPr>
                    <w:t>230</w:t>
                  </w:r>
                </w:p>
              </w:tc>
              <w:tc>
                <w:tcPr>
                  <w:tcW w:type="dxa" w:w="1151"/>
                  <w:shd w:val="clear" w:fill="F7F7F7"/>
                </w:tcPr>
                <w:p>
                  <w:pPr>
                    <w:spacing w:before="20" w:after="20" w:line="240" w:lineRule="auto"/>
                    <w:jc w:val="center"/>
                  </w:pPr>
                  <w:r/>
                  <w:r>
                    <w:rPr>
                      <w:rFonts w:ascii="Arial" w:hAnsi="Arial"/>
                      <w:b w:val="0"/>
                      <w:color w:val="555555"/>
                      <w:sz w:val="17"/>
                    </w:rPr>
                    <w:t>18</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177</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12</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245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215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155</w:t>
                  </w:r>
                </w:p>
              </w:tc>
              <w:tc>
                <w:tcPr>
                  <w:tcW w:type="dxa" w:w="1295"/>
                </w:tcPr>
                <w:p>
                  <w:pPr>
                    <w:spacing w:before="20" w:after="20" w:line="240" w:lineRule="auto"/>
                    <w:jc w:val="center"/>
                  </w:pPr>
                  <w:r/>
                  <w:r>
                    <w:rPr>
                      <w:rFonts w:ascii="Arial" w:hAnsi="Arial"/>
                      <w:b w:val="0"/>
                      <w:color w:val="555555"/>
                      <w:sz w:val="17"/>
                    </w:rPr>
                    <w:t>125</w:t>
                  </w:r>
                </w:p>
              </w:tc>
              <w:tc>
                <w:tcPr>
                  <w:tcW w:type="dxa" w:w="1151"/>
                </w:tcPr>
                <w:p>
                  <w:pPr>
                    <w:spacing w:before="20" w:after="20" w:line="240" w:lineRule="auto"/>
                    <w:jc w:val="center"/>
                  </w:pPr>
                  <w:r/>
                  <w:r>
                    <w:rPr>
                      <w:rFonts w:ascii="Arial" w:hAnsi="Arial"/>
                      <w:b w:val="0"/>
                      <w:color w:val="555555"/>
                      <w:sz w:val="17"/>
                    </w:rPr>
                    <w:t>30</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300</w:t>
                  </w:r>
                </w:p>
              </w:tc>
              <w:tc>
                <w:tcPr>
                  <w:tcW w:type="dxa" w:w="1295"/>
                </w:tcPr>
                <w:p>
                  <w:pPr>
                    <w:spacing w:before="20" w:after="20" w:line="240" w:lineRule="auto"/>
                    <w:jc w:val="center"/>
                  </w:pPr>
                  <w:r/>
                  <w:r>
                    <w:rPr>
                      <w:rFonts w:ascii="Arial" w:hAnsi="Arial"/>
                      <w:b w:val="0"/>
                      <w:color w:val="555555"/>
                      <w:sz w:val="17"/>
                    </w:rPr>
                    <w:t>285</w:t>
                  </w:r>
                </w:p>
              </w:tc>
              <w:tc>
                <w:tcPr>
                  <w:tcW w:type="dxa" w:w="1151"/>
                </w:tcPr>
                <w:p>
                  <w:pPr>
                    <w:spacing w:before="20" w:after="20" w:line="240" w:lineRule="auto"/>
                    <w:jc w:val="center"/>
                  </w:pPr>
                  <w:r/>
                  <w:r>
                    <w:rPr>
                      <w:rFonts w:ascii="Arial" w:hAnsi="Arial"/>
                      <w:b w:val="0"/>
                      <w:color w:val="555555"/>
                      <w:sz w:val="17"/>
                    </w:rPr>
                    <w:t>15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290</w:t>
                  </w:r>
                </w:p>
              </w:tc>
              <w:tc>
                <w:tcPr>
                  <w:tcW w:type="dxa" w:w="1295"/>
                </w:tcPr>
                <w:p>
                  <w:pPr>
                    <w:spacing w:before="20" w:after="20" w:line="240" w:lineRule="auto"/>
                    <w:jc w:val="center"/>
                  </w:pPr>
                  <w:r/>
                  <w:r>
                    <w:rPr>
                      <w:rFonts w:ascii="Arial" w:hAnsi="Arial"/>
                      <w:b w:val="0"/>
                      <w:color w:val="555555"/>
                      <w:sz w:val="17"/>
                    </w:rPr>
                    <w:t>265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265</w:t>
                  </w:r>
                </w:p>
              </w:tc>
              <w:tc>
                <w:tcPr>
                  <w:tcW w:type="dxa" w:w="1295"/>
                  <w:shd w:val="clear" w:fill="F7F7F7"/>
                </w:tcPr>
                <w:p>
                  <w:pPr>
                    <w:spacing w:before="20" w:after="20" w:line="240" w:lineRule="auto"/>
                    <w:jc w:val="center"/>
                  </w:pPr>
                  <w:r/>
                  <w:r>
                    <w:rPr>
                      <w:rFonts w:ascii="Arial" w:hAnsi="Arial"/>
                      <w:b w:val="0"/>
                      <w:color w:val="555555"/>
                      <w:sz w:val="17"/>
                    </w:rPr>
                    <w:t>240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221</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PR-170029  —  Vacuum Charge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carried the heaviest fouling, pass 5 the most. In pass 5, fouling was heavy in the 12" section, moderate in the 10" and 4" sections, and light in the 6" and 8" sections. In pass 4, it was moderate in the 12", light to moderate in the 10", and light in the 8", 6" and 4" sections. The remaining six passes showed light fouling throughout. The external 6" convection inlet piping, between the control valve and the 4" convection inlet tube, was heavily fouled on all eight passes, enough to keep 4" pigs from entering the convection section, and was cleaned first on each pass. Average pigging time was approximately 21 hours per pass.</w:t>
      </w:r>
    </w:p>
    <w:p>
      <w:pPr>
        <w:keepNext/>
        <w:spacing w:before="120" w:after="40"/>
        <w:jc w:val="center"/>
      </w:pPr>
      <w:r>
        <w:drawing>
          <wp:inline xmlns:a="http://schemas.openxmlformats.org/drawingml/2006/main" xmlns:pic="http://schemas.openxmlformats.org/drawingml/2006/picture">
            <wp:extent cx="5486400" cy="1733550"/>
            <wp:docPr id="2" name="Picture 2"/>
            <wp:cNvGraphicFramePr>
              <a:graphicFrameLocks noChangeAspect="1"/>
            </wp:cNvGraphicFramePr>
            <a:graphic>
              <a:graphicData uri="http://schemas.openxmlformats.org/drawingml/2006/picture">
                <pic:pic>
                  <pic:nvPicPr>
                    <pic:cNvPr id="0" name="USA26046-vac-radiant-outlet-layout.jpg"/>
                    <pic:cNvPicPr/>
                  </pic:nvPicPr>
                  <pic:blipFill>
                    <a:blip r:embed="rId12"/>
                    <a:stretch>
                      <a:fillRect/>
                    </a:stretch>
                  </pic:blipFill>
                  <pic:spPr>
                    <a:xfrm>
                      <a:off x="0" y="0"/>
                      <a:ext cx="5486400" cy="1733550"/>
                    </a:xfrm>
                    <a:prstGeom prst="rect"/>
                  </pic:spPr>
                </pic:pic>
              </a:graphicData>
            </a:graphic>
          </wp:inline>
        </w:drawing>
      </w:r>
    </w:p>
    <w:p>
      <w:pPr>
        <w:spacing w:before="0" w:after="120"/>
        <w:jc w:val="center"/>
      </w:pPr>
      <w:r>
        <w:rPr>
          <w:rFonts w:ascii="Arial" w:hAnsi="Arial"/>
          <w:b w:val="0"/>
          <w:color w:val="888888"/>
          <w:sz w:val="16"/>
        </w:rPr>
        <w:t>Radiant outlet flanges, viewed facing the outlets.</w:t>
      </w:r>
    </w:p>
    <w:tbl>
      <w:tblPr>
        <w:tblW w:type="auto" w:w="0"/>
        <w:tblLook w:firstColumn="1" w:firstRow="1" w:lastColumn="0" w:lastRow="0" w:noHBand="0" w:noVBand="1" w:val="04A0"/>
        <w:tblLayout w:type="fixed"/>
        <w:tblCellMar>
          <w:top w:w="8" w:type="dxa"/>
          <w:bottom w:w="8" w:type="dxa"/>
          <w:left w:w="60" w:type="dxa"/>
          <w:right w:w="60" w:type="dxa"/>
        </w:tblCellMar>
      </w:tblPr>
      <w:tblGrid>
        <w:gridCol w:w="9936"/>
      </w:tblGrid>
      <w:tr>
        <w:tc>
          <w:tcPr>
            <w:tcW w:type="dxa" w:w="9936"/>
            <w:shd w:val="clear" w:fill="FFFBE6"/>
            <w:tcBorders>
              <w:left w:val="single" w:sz="24" w:space="4" w:color="FCC30A"/>
            </w:tcBorders>
          </w:tcPr>
          <w:p>
            <w:pPr>
              <w:spacing w:before="20" w:after="20" w:line="240" w:lineRule="auto"/>
            </w:pPr>
            <w:r/>
            <w:r>
              <w:rPr>
                <w:rFonts w:ascii="Arial" w:hAnsi="Arial"/>
                <w:b w:val="0"/>
                <w:color w:val="555555"/>
                <w:sz w:val="18"/>
              </w:rPr>
              <w:t>The layout above illustrates the correct radiant outlet labels and orientation. Each outlet connects to the convection inlet of the same pass number.</w:t>
            </w:r>
          </w:p>
        </w:tc>
      </w:tr>
    </w:tbl>
    <w:p>
      <w:pPr>
        <w:keepNext/>
        <w:spacing w:before="120" w:after="40"/>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timeline-PR-170029.png"/>
                    <pic:cNvPicPr/>
                  </pic:nvPicPr>
                  <pic:blipFill>
                    <a:blip r:embed="rId13"/>
                    <a:stretch>
                      <a:fillRect/>
                    </a:stretch>
                  </pic:blipFill>
                  <pic:spPr>
                    <a:xfrm>
                      <a:off x="0" y="0"/>
                      <a:ext cx="5852160" cy="2340864"/>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3.75"  —  4</w:t>
            </w:r>
          </w:p>
        </w:tc>
        <w:tc>
          <w:tcPr>
            <w:tcW w:type="dxa" w:w="2484"/>
          </w:tcPr>
          <w:p>
            <w:pPr>
              <w:keepNext/>
              <w:spacing w:before="20" w:after="20" w:line="240" w:lineRule="auto"/>
            </w:pPr>
            <w:r/>
            <w:r>
              <w:rPr>
                <w:rFonts w:ascii="Arial" w:hAnsi="Arial"/>
                <w:b w:val="0"/>
                <w:color w:val="555555"/>
                <w:sz w:val="17"/>
              </w:rPr>
              <w:t>4.125"  —  15</w:t>
            </w:r>
          </w:p>
        </w:tc>
        <w:tc>
          <w:tcPr>
            <w:tcW w:type="dxa" w:w="2484"/>
          </w:tcPr>
          <w:p>
            <w:pPr>
              <w:keepNext/>
              <w:spacing w:before="20" w:after="20" w:line="240" w:lineRule="auto"/>
            </w:pPr>
            <w:r/>
            <w:r>
              <w:rPr>
                <w:rFonts w:ascii="Arial" w:hAnsi="Arial"/>
                <w:b w:val="0"/>
                <w:color w:val="555555"/>
                <w:sz w:val="17"/>
              </w:rPr>
              <w:t>6.25"  —  6</w:t>
            </w:r>
          </w:p>
        </w:tc>
        <w:tc>
          <w:tcPr>
            <w:tcW w:type="dxa" w:w="2484"/>
          </w:tcPr>
          <w:p>
            <w:pPr>
              <w:keepNext/>
              <w:spacing w:before="20" w:after="20" w:line="240" w:lineRule="auto"/>
            </w:pPr>
            <w:r/>
            <w:r>
              <w:rPr>
                <w:rFonts w:ascii="Arial" w:hAnsi="Arial"/>
                <w:b w:val="0"/>
                <w:color w:val="555555"/>
                <w:sz w:val="17"/>
              </w:rPr>
              <w:t>10"  —  20</w:t>
            </w:r>
          </w:p>
        </w:tc>
      </w:tr>
      <w:tr>
        <w:tc>
          <w:tcPr>
            <w:tcW w:type="dxa" w:w="2484"/>
            <w:shd w:val="clear" w:fill="F7F7F7"/>
          </w:tcPr>
          <w:p>
            <w:pPr>
              <w:keepNext/>
              <w:spacing w:before="20" w:after="20" w:line="240" w:lineRule="auto"/>
            </w:pPr>
            <w:r/>
            <w:r>
              <w:rPr>
                <w:rFonts w:ascii="Arial" w:hAnsi="Arial"/>
                <w:b w:val="0"/>
                <w:color w:val="555555"/>
                <w:sz w:val="17"/>
              </w:rPr>
              <w:t>3.8"  —  1</w:t>
            </w:r>
          </w:p>
        </w:tc>
        <w:tc>
          <w:tcPr>
            <w:tcW w:type="dxa" w:w="2484"/>
            <w:shd w:val="clear" w:fill="F7F7F7"/>
          </w:tcPr>
          <w:p>
            <w:pPr>
              <w:keepNext/>
              <w:spacing w:before="20" w:after="20" w:line="240" w:lineRule="auto"/>
            </w:pPr>
            <w:r/>
            <w:r>
              <w:rPr>
                <w:rFonts w:ascii="Arial" w:hAnsi="Arial"/>
                <w:b w:val="0"/>
                <w:color w:val="555555"/>
                <w:sz w:val="17"/>
              </w:rPr>
              <w:t>4.25"  —  4</w:t>
            </w:r>
          </w:p>
        </w:tc>
        <w:tc>
          <w:tcPr>
            <w:tcW w:type="dxa" w:w="2484"/>
            <w:shd w:val="clear" w:fill="F7F7F7"/>
          </w:tcPr>
          <w:p>
            <w:pPr>
              <w:keepNext/>
              <w:spacing w:before="20" w:after="20" w:line="240" w:lineRule="auto"/>
            </w:pPr>
            <w:r/>
            <w:r>
              <w:rPr>
                <w:rFonts w:ascii="Arial" w:hAnsi="Arial"/>
                <w:b w:val="0"/>
                <w:color w:val="555555"/>
                <w:sz w:val="17"/>
              </w:rPr>
              <w:t>8"  —  7</w:t>
            </w:r>
          </w:p>
        </w:tc>
        <w:tc>
          <w:tcPr>
            <w:tcW w:type="dxa" w:w="2484"/>
            <w:shd w:val="clear" w:fill="F7F7F7"/>
          </w:tcPr>
          <w:p>
            <w:pPr>
              <w:keepNext/>
              <w:spacing w:before="20" w:after="20" w:line="240" w:lineRule="auto"/>
            </w:pPr>
            <w:r/>
            <w:r>
              <w:rPr>
                <w:rFonts w:ascii="Arial" w:hAnsi="Arial"/>
                <w:b w:val="0"/>
                <w:color w:val="555555"/>
                <w:sz w:val="17"/>
              </w:rPr>
              <w:t>12"  —  6</w:t>
            </w:r>
          </w:p>
        </w:tc>
      </w:tr>
      <w:tr>
        <w:tc>
          <w:tcPr>
            <w:tcW w:type="dxa" w:w="2484"/>
          </w:tcPr>
          <w:p>
            <w:pPr>
              <w:keepNext/>
              <w:spacing w:before="20" w:after="20" w:line="240" w:lineRule="auto"/>
            </w:pPr>
            <w:r/>
            <w:r>
              <w:rPr>
                <w:rFonts w:ascii="Arial" w:hAnsi="Arial"/>
                <w:b w:val="0"/>
                <w:color w:val="555555"/>
                <w:sz w:val="17"/>
              </w:rPr>
              <w:t>4"  —  22</w:t>
            </w:r>
          </w:p>
        </w:tc>
        <w:tc>
          <w:tcPr>
            <w:tcW w:type="dxa" w:w="2484"/>
          </w:tcPr>
          <w:p>
            <w:pPr>
              <w:keepNext/>
              <w:spacing w:before="20" w:after="20" w:line="240" w:lineRule="auto"/>
            </w:pPr>
            <w:r/>
            <w:r>
              <w:rPr>
                <w:rFonts w:ascii="Arial" w:hAnsi="Arial"/>
                <w:b w:val="0"/>
                <w:color w:val="555555"/>
                <w:sz w:val="17"/>
              </w:rPr>
              <w:t>6"  —  10</w:t>
            </w:r>
          </w:p>
        </w:tc>
        <w:tc>
          <w:tcPr>
            <w:tcW w:type="dxa" w:w="2484"/>
          </w:tcPr>
          <w:p>
            <w:pPr>
              <w:keepNext/>
              <w:spacing w:before="20" w:after="20" w:line="240" w:lineRule="auto"/>
            </w:pPr>
            <w:r/>
            <w:r>
              <w:rPr>
                <w:rFonts w:ascii="Arial" w:hAnsi="Arial"/>
                <w:b w:val="0"/>
                <w:color w:val="555555"/>
                <w:sz w:val="17"/>
              </w:rPr>
              <w:t>8.25"  —  2</w:t>
            </w:r>
          </w:p>
        </w:tc>
        <w:tc>
          <w:tcPr>
            <w:tcW w:type="dxa" w:w="2484"/>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97</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97 pigs across 11 sizes, 3.75" through 12".</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295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75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260</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75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60</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205</w:t>
                  </w:r>
                </w:p>
              </w:tc>
              <w:tc>
                <w:tcPr>
                  <w:tcW w:type="dxa" w:w="1295"/>
                </w:tcPr>
                <w:p>
                  <w:pPr>
                    <w:spacing w:before="20" w:after="20" w:line="240" w:lineRule="auto"/>
                    <w:jc w:val="center"/>
                  </w:pPr>
                  <w:r/>
                  <w:r>
                    <w:rPr>
                      <w:rFonts w:ascii="Arial" w:hAnsi="Arial"/>
                      <w:b w:val="0"/>
                      <w:color w:val="555555"/>
                      <w:sz w:val="17"/>
                    </w:rPr>
                    <w:t>170</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332</w:t>
                  </w:r>
                </w:p>
              </w:tc>
              <w:tc>
                <w:tcPr>
                  <w:tcW w:type="dxa" w:w="1295"/>
                </w:tcPr>
                <w:p>
                  <w:pPr>
                    <w:spacing w:before="20" w:after="20" w:line="240" w:lineRule="auto"/>
                    <w:jc w:val="center"/>
                  </w:pPr>
                  <w:r/>
                  <w:r>
                    <w:rPr>
                      <w:rFonts w:ascii="Arial" w:hAnsi="Arial"/>
                      <w:b w:val="0"/>
                      <w:color w:val="555555"/>
                      <w:sz w:val="17"/>
                    </w:rPr>
                    <w:t>282</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255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280</w:t>
                  </w:r>
                </w:p>
              </w:tc>
              <w:tc>
                <w:tcPr>
                  <w:tcW w:type="dxa" w:w="1295"/>
                </w:tcPr>
                <w:p>
                  <w:pPr>
                    <w:spacing w:before="20" w:after="20" w:line="240" w:lineRule="auto"/>
                    <w:jc w:val="center"/>
                  </w:pPr>
                  <w:r/>
                  <w:r>
                    <w:rPr>
                      <w:rFonts w:ascii="Arial" w:hAnsi="Arial"/>
                      <w:b w:val="0"/>
                      <w:color w:val="555555"/>
                      <w:sz w:val="17"/>
                    </w:rPr>
                    <w:t>210</w:t>
                  </w:r>
                </w:p>
              </w:tc>
              <w:tc>
                <w:tcPr>
                  <w:tcW w:type="dxa" w:w="1151"/>
                </w:tcPr>
                <w:p>
                  <w:pPr>
                    <w:spacing w:before="20" w:after="20" w:line="240" w:lineRule="auto"/>
                    <w:jc w:val="center"/>
                  </w:pPr>
                  <w:r/>
                  <w:r>
                    <w:rPr>
                      <w:rFonts w:ascii="Arial" w:hAnsi="Arial"/>
                      <w:b w:val="0"/>
                      <w:color w:val="555555"/>
                      <w:sz w:val="17"/>
                    </w:rPr>
                    <w:t>70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188</w:t>
                  </w:r>
                </w:p>
              </w:tc>
              <w:tc>
                <w:tcPr>
                  <w:tcW w:type="dxa" w:w="1151"/>
                  <w:shd w:val="clear" w:fill="F7F7F7"/>
                </w:tcPr>
                <w:p>
                  <w:pPr>
                    <w:spacing w:before="20" w:after="20" w:line="240" w:lineRule="auto"/>
                    <w:jc w:val="center"/>
                  </w:pPr>
                  <w:r/>
                  <w:r>
                    <w:rPr>
                      <w:rFonts w:ascii="Arial" w:hAnsi="Arial"/>
                      <w:b w:val="0"/>
                      <w:color w:val="555555"/>
                      <w:sz w:val="17"/>
                    </w:rPr>
                    <w:t>47</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50</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45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202</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42</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45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260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225</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195</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20</w:t>
                  </w:r>
                </w:p>
              </w:tc>
            </w:tr>
          </w:tbl>
          <w:p/>
        </w:tc>
      </w:tr>
    </w:tbl>
    <w:p>
      <w:pPr>
        <w:keepNext/>
        <w:spacing w:before="160" w:after="60"/>
      </w:pPr>
      <w:r>
        <w:rPr>
          <w:rFonts w:ascii="Arial" w:hAnsi="Arial"/>
          <w:b/>
          <w:color w:val="FCC30A"/>
          <w:sz w:val="22"/>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9936"/>
      </w:tblGrid>
      <w:tr>
        <w:trPr>
          <w:cantSplit/>
        </w:trPr>
        <w:tc>
          <w:tcPr>
            <w:tcW w:type="dxa" w:w="9936"/>
          </w:tcPr>
          <w:p>
            <w:pPr>
              <w:keepNext/>
              <w:spacing w:before="40" w:after="40"/>
              <w:jc w:val="center"/>
            </w:pPr>
            <w:r/>
            <w:r>
              <w:drawing>
                <wp:inline xmlns:a="http://schemas.openxmlformats.org/drawingml/2006/main" xmlns:pic="http://schemas.openxmlformats.org/drawingml/2006/picture">
                  <wp:extent cx="5852160" cy="3787605"/>
                  <wp:docPr id="4" name="Picture 4"/>
                  <wp:cNvGraphicFramePr>
                    <a:graphicFrameLocks noChangeAspect="1"/>
                  </wp:cNvGraphicFramePr>
                  <a:graphic>
                    <a:graphicData uri="http://schemas.openxmlformats.org/drawingml/2006/picture">
                      <pic:pic>
                        <pic:nvPicPr>
                          <pic:cNvPr id="0" name="USA26046-vac-deposits-collage.jpg"/>
                          <pic:cNvPicPr/>
                        </pic:nvPicPr>
                        <pic:blipFill>
                          <a:blip r:embed="rId14"/>
                          <a:stretch>
                            <a:fillRect/>
                          </a:stretch>
                        </pic:blipFill>
                        <pic:spPr>
                          <a:xfrm>
                            <a:off x="0" y="0"/>
                            <a:ext cx="5852160" cy="3787605"/>
                          </a:xfrm>
                          <a:prstGeom prst="rect"/>
                        </pic:spPr>
                      </pic:pic>
                    </a:graphicData>
                  </a:graphic>
                </wp:inline>
              </w:drawing>
            </w:r>
          </w:p>
        </w:tc>
      </w:tr>
      <w:tr>
        <w:trPr>
          <w:cantSplit/>
        </w:trPr>
        <w:tc>
          <w:tcPr>
            <w:tcW w:type="dxa" w:w="9936"/>
          </w:tcPr>
          <w:p>
            <w:pPr>
              <w:spacing w:before="20" w:after="20" w:line="240" w:lineRule="auto"/>
              <w:jc w:val="center"/>
            </w:pPr>
            <w:r/>
            <w:r>
              <w:rPr>
                <w:rFonts w:ascii="Arial" w:hAnsi="Arial"/>
                <w:b w:val="0"/>
                <w:color w:val="888888"/>
                <w:sz w:val="16"/>
              </w:rPr>
              <w:t>Top: coke removed from the 12" tube, pass 5. Bottom: deposits removed from the external 6" convection inlet piping, collected from all eight passes.</w:t>
            </w:r>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PR-175169  —  HDS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looped into 2 circuits (passes 1 + 2, passes 3 + 4)</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3,600 ft  (900 ft per pass)</w:t>
            </w:r>
          </w:p>
        </w:tc>
      </w:tr>
      <w:tr>
        <w:tc>
          <w:tcPr>
            <w:tcW w:type="dxa" w:w="2016"/>
          </w:tcPr>
          <w:p>
            <w:pPr>
              <w:keepNext/>
              <w:spacing w:before="20" w:after="20" w:line="240" w:lineRule="auto"/>
            </w:pPr>
            <w:r/>
            <w:r>
              <w:rPr>
                <w:rFonts w:ascii="Arial" w:hAnsi="Arial"/>
                <w:b/>
                <w:color w:val="222222"/>
                <w:sz w:val="18"/>
              </w:rPr>
              <w:t>Radiant Tube ID</w:t>
            </w:r>
          </w:p>
        </w:tc>
        <w:tc>
          <w:tcPr>
            <w:tcW w:type="dxa" w:w="7920"/>
          </w:tcPr>
          <w:p>
            <w:pPr>
              <w:keepNext/>
              <w:spacing w:before="20" w:after="20" w:line="240" w:lineRule="auto"/>
            </w:pPr>
            <w:r/>
            <w:r>
              <w:rPr>
                <w:rFonts w:ascii="Arial" w:hAnsi="Arial"/>
                <w:b w:val="0"/>
                <w:color w:val="555555"/>
                <w:sz w:val="20"/>
              </w:rPr>
              <w:t>5.885"</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A335 P5 (radiant)</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was found throughout the convection and radiant sections. Average pigging time was approximately 20.5 hours per circuit.</w:t>
      </w:r>
    </w:p>
    <w:p>
      <w:pPr>
        <w:keepNext/>
        <w:spacing w:before="120" w:after="40"/>
        <w:jc w:val="center"/>
      </w:pPr>
      <w:r>
        <w:drawing>
          <wp:inline xmlns:a="http://schemas.openxmlformats.org/drawingml/2006/main" xmlns:pic="http://schemas.openxmlformats.org/drawingml/2006/picture">
            <wp:extent cx="5852160" cy="786384"/>
            <wp:docPr id="5" name="Picture 5"/>
            <wp:cNvGraphicFramePr>
              <a:graphicFrameLocks noChangeAspect="1"/>
            </wp:cNvGraphicFramePr>
            <a:graphic>
              <a:graphicData uri="http://schemas.openxmlformats.org/drawingml/2006/picture">
                <pic:pic>
                  <pic:nvPicPr>
                    <pic:cNvPr id="0" name="timeline-PR-175169.png"/>
                    <pic:cNvPicPr/>
                  </pic:nvPicPr>
                  <pic:blipFill>
                    <a:blip r:embed="rId15"/>
                    <a:stretch>
                      <a:fillRect/>
                    </a:stretch>
                  </pic:blipFill>
                  <pic:spPr>
                    <a:xfrm>
                      <a:off x="0" y="0"/>
                      <a:ext cx="5852160" cy="786384"/>
                    </a:xfrm>
                    <a:prstGeom prst="rect"/>
                  </pic:spPr>
                </pic:pic>
              </a:graphicData>
            </a:graphic>
          </wp:inline>
        </w:drawing>
      </w:r>
    </w:p>
    <w:p>
      <w:pPr>
        <w:spacing w:before="0" w:after="120"/>
        <w:jc w:val="center"/>
      </w:pPr>
      <w:r>
        <w:rPr>
          <w:rFonts w:ascii="Arial" w:hAnsi="Arial"/>
          <w:b w:val="0"/>
          <w:color w:val="888888"/>
          <w:sz w:val="16"/>
        </w:rPr>
        <w:t>PR-175169 -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4968"/>
        <w:gridCol w:w="4968"/>
      </w:tblGrid>
      <w:tr>
        <w:tc>
          <w:tcPr>
            <w:tcW w:type="dxa" w:w="4968"/>
            <w:shd w:val="clear" w:fill="222222"/>
          </w:tcPr>
          <w:p>
            <w:pPr>
              <w:keepNext/>
              <w:spacing w:before="20" w:after="20" w:line="240" w:lineRule="auto"/>
            </w:pPr>
            <w:r/>
            <w:r>
              <w:rPr>
                <w:rFonts w:ascii="Arial" w:hAnsi="Arial"/>
                <w:b/>
                <w:color w:val="FFFFFF"/>
                <w:sz w:val="16"/>
              </w:rPr>
              <w:t>SIZE — QTY</w:t>
            </w:r>
          </w:p>
        </w:tc>
        <w:tc>
          <w:tcPr>
            <w:tcW w:type="dxa" w:w="4968"/>
            <w:shd w:val="clear" w:fill="222222"/>
          </w:tcPr>
          <w:p>
            <w:pPr>
              <w:keepNext/>
              <w:spacing w:before="20" w:after="20" w:line="240" w:lineRule="auto"/>
            </w:pPr>
            <w:r/>
            <w:r>
              <w:rPr>
                <w:rFonts w:ascii="Arial" w:hAnsi="Arial"/>
                <w:b/>
                <w:color w:val="FFFFFF"/>
                <w:sz w:val="16"/>
              </w:rPr>
              <w:t>SIZE — QTY</w:t>
            </w:r>
          </w:p>
        </w:tc>
      </w:tr>
      <w:tr>
        <w:tc>
          <w:tcPr>
            <w:tcW w:type="dxa" w:w="4968"/>
          </w:tcPr>
          <w:p>
            <w:pPr>
              <w:keepNext/>
              <w:spacing w:before="20" w:after="20" w:line="240" w:lineRule="auto"/>
            </w:pPr>
            <w:r/>
            <w:r>
              <w:rPr>
                <w:rFonts w:ascii="Arial" w:hAnsi="Arial"/>
                <w:b w:val="0"/>
                <w:color w:val="555555"/>
                <w:sz w:val="17"/>
              </w:rPr>
              <w:t>6"  —  4</w:t>
            </w:r>
          </w:p>
        </w:tc>
        <w:tc>
          <w:tcPr>
            <w:tcW w:type="dxa" w:w="4968"/>
          </w:tcPr>
          <w:p>
            <w:pPr>
              <w:keepNext/>
              <w:spacing w:before="20" w:after="20" w:line="240" w:lineRule="auto"/>
            </w:pPr>
            <w:r/>
            <w:r>
              <w:rPr>
                <w:rFonts w:ascii="Arial" w:hAnsi="Arial"/>
                <w:b w:val="0"/>
                <w:color w:val="555555"/>
                <w:sz w:val="17"/>
              </w:rPr>
              <w:t>6.25"  —  12</w:t>
            </w:r>
          </w:p>
        </w:tc>
      </w:tr>
      <w:tr>
        <w:tc>
          <w:tcPr>
            <w:tcW w:type="dxa" w:w="4968"/>
            <w:shd w:val="clear" w:fill="F7F7F7"/>
          </w:tcPr>
          <w:p>
            <w:pPr>
              <w:spacing w:before="20" w:after="20" w:line="240" w:lineRule="auto"/>
            </w:pPr>
            <w:r/>
            <w:r>
              <w:rPr>
                <w:rFonts w:ascii="Arial" w:hAnsi="Arial"/>
                <w:b/>
                <w:color w:val="222222"/>
                <w:sz w:val="17"/>
              </w:rPr>
              <w:t>TOTAL  —  16</w:t>
            </w:r>
          </w:p>
        </w:tc>
        <w:tc>
          <w:tcPr>
            <w:tcW w:type="dxa" w:w="4968"/>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16 pigs across 2 sizes, 6" through 6.25".</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Passes 1 + 2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267</w:t>
                  </w:r>
                </w:p>
              </w:tc>
              <w:tc>
                <w:tcPr>
                  <w:tcW w:type="dxa" w:w="1151"/>
                </w:tcPr>
                <w:p>
                  <w:pPr>
                    <w:spacing w:before="20" w:after="20" w:line="240" w:lineRule="auto"/>
                    <w:jc w:val="center"/>
                  </w:pPr>
                  <w:r/>
                  <w:r>
                    <w:rPr>
                      <w:rFonts w:ascii="Arial" w:hAnsi="Arial"/>
                      <w:b w:val="0"/>
                      <w:color w:val="555555"/>
                      <w:sz w:val="17"/>
                    </w:rPr>
                    <w:t>53</w:t>
                  </w:r>
                </w:p>
              </w:tc>
            </w:tr>
            <w:tr>
              <w:tc>
                <w:tcPr>
                  <w:tcW w:type="dxa" w:w="1055"/>
                  <w:shd w:val="clear" w:fill="F7F7F7"/>
                </w:tcPr>
                <w:p>
                  <w:pPr>
                    <w:spacing w:before="20" w:after="20" w:line="240" w:lineRule="auto"/>
                    <w:jc w:val="center"/>
                  </w:pPr>
                  <w:r/>
                  <w:r>
                    <w:rPr>
                      <w:rFonts w:ascii="Arial" w:hAnsi="Arial"/>
                      <w:b w:val="0"/>
                      <w:color w:val="555555"/>
                      <w:sz w:val="17"/>
                    </w:rPr>
                    <w:t>750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238</w:t>
                  </w:r>
                </w:p>
              </w:tc>
              <w:tc>
                <w:tcPr>
                  <w:tcW w:type="dxa" w:w="1151"/>
                  <w:shd w:val="clear" w:fill="F7F7F7"/>
                </w:tcPr>
                <w:p>
                  <w:pPr>
                    <w:spacing w:before="20" w:after="20" w:line="240" w:lineRule="auto"/>
                    <w:jc w:val="center"/>
                  </w:pPr>
                  <w:r/>
                  <w:r>
                    <w:rPr>
                      <w:rFonts w:ascii="Arial" w:hAnsi="Arial"/>
                      <w:b w:val="0"/>
                      <w:color w:val="555555"/>
                      <w:sz w:val="17"/>
                    </w:rPr>
                    <w:t>52</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215</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Passes 3 + 4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600</w:t>
                  </w:r>
                </w:p>
              </w:tc>
              <w:tc>
                <w:tcPr>
                  <w:tcW w:type="dxa" w:w="1295"/>
                  <w:shd w:val="clear" w:fill="F7F7F7"/>
                </w:tcPr>
                <w:p>
                  <w:pPr>
                    <w:spacing w:before="20" w:after="20" w:line="240" w:lineRule="auto"/>
                    <w:jc w:val="center"/>
                  </w:pPr>
                  <w:r/>
                  <w:r>
                    <w:rPr>
                      <w:rFonts w:ascii="Arial" w:hAnsi="Arial"/>
                      <w:b w:val="0"/>
                      <w:color w:val="555555"/>
                      <w:sz w:val="17"/>
                    </w:rPr>
                    <w:t>210</w:t>
                  </w:r>
                </w:p>
              </w:tc>
              <w:tc>
                <w:tcPr>
                  <w:tcW w:type="dxa" w:w="1295"/>
                  <w:shd w:val="clear" w:fill="F7F7F7"/>
                </w:tcPr>
                <w:p>
                  <w:pPr>
                    <w:spacing w:before="20" w:after="20" w:line="240" w:lineRule="auto"/>
                    <w:jc w:val="center"/>
                  </w:pPr>
                  <w:r/>
                  <w:r>
                    <w:rPr>
                      <w:rFonts w:ascii="Arial" w:hAnsi="Arial"/>
                      <w:b w:val="0"/>
                      <w:color w:val="555555"/>
                      <w:sz w:val="17"/>
                    </w:rPr>
                    <w:t>170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175</w:t>
                  </w:r>
                </w:p>
              </w:tc>
              <w:tc>
                <w:tcPr>
                  <w:tcW w:type="dxa" w:w="1295"/>
                </w:tcPr>
                <w:p>
                  <w:pPr>
                    <w:spacing w:before="20" w:after="20" w:line="240" w:lineRule="auto"/>
                    <w:jc w:val="center"/>
                  </w:pPr>
                  <w:r/>
                  <w:r>
                    <w:rPr>
                      <w:rFonts w:ascii="Arial" w:hAnsi="Arial"/>
                      <w:b w:val="0"/>
                      <w:color w:val="555555"/>
                      <w:sz w:val="17"/>
                    </w:rPr>
                    <w:t>140</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PR-170002  —  Coker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pigged as 3 circuits: convection (4 coils looped as one), radiant A + B, radiant C + D</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15,904 ft  (3,976 ft per pass)</w:t>
            </w:r>
          </w:p>
        </w:tc>
      </w:tr>
      <w:tr>
        <w:tc>
          <w:tcPr>
            <w:tcW w:type="dxa" w:w="2016"/>
          </w:tcPr>
          <w:p>
            <w:pPr>
              <w:keepNext/>
              <w:spacing w:before="20" w:after="20" w:line="240" w:lineRule="auto"/>
            </w:pPr>
            <w:r/>
            <w:r>
              <w:rPr>
                <w:rFonts w:ascii="Arial" w:hAnsi="Arial"/>
                <w:b/>
                <w:color w:val="222222"/>
                <w:sz w:val="18"/>
              </w:rPr>
              <w:t>Tube ID</w:t>
            </w:r>
          </w:p>
        </w:tc>
        <w:tc>
          <w:tcPr>
            <w:tcW w:type="dxa" w:w="7920"/>
          </w:tcPr>
          <w:p>
            <w:pPr>
              <w:keepNext/>
              <w:spacing w:before="20" w:after="20" w:line="240" w:lineRule="auto"/>
            </w:pPr>
            <w:r/>
            <w:r>
              <w:rPr>
                <w:rFonts w:ascii="Arial" w:hAnsi="Arial"/>
                <w:b w:val="0"/>
                <w:color w:val="555555"/>
                <w:sz w:val="20"/>
              </w:rPr>
              <w:t>3.398" (4" OD tube); radiant outlet section 3.624" (4" Sch 120)</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9Cr-1Mo</w:t>
            </w:r>
          </w:p>
        </w:tc>
      </w:tr>
      <w:tr>
        <w:tc>
          <w:tcPr>
            <w:tcW w:type="dxa" w:w="2016"/>
          </w:tcPr>
          <w:p>
            <w:pPr>
              <w:spacing w:before="20" w:after="20" w:line="240" w:lineRule="auto"/>
            </w:pPr>
            <w:r/>
            <w:r>
              <w:rPr>
                <w:rFonts w:ascii="Arial" w:hAnsi="Arial"/>
                <w:b/>
                <w:color w:val="222222"/>
                <w:sz w:val="18"/>
              </w:rPr>
              <w:t>Return Bends</w:t>
            </w:r>
          </w:p>
        </w:tc>
        <w:tc>
          <w:tcPr>
            <w:tcW w:type="dxa" w:w="7920"/>
          </w:tcPr>
          <w:p>
            <w:pPr>
              <w:spacing w:before="20" w:after="20" w:line="240" w:lineRule="auto"/>
            </w:pPr>
            <w:r/>
            <w:r>
              <w:rPr>
                <w:rFonts w:ascii="Arial" w:hAnsi="Arial"/>
                <w:b w:val="0"/>
                <w:color w:val="555555"/>
                <w:sz w:val="20"/>
              </w:rPr>
              <w:t>Cast 180° U-bends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The convection section showed light fouling and the radiant section moderate fouling. The crossovers were removed, the convection was pigged as a single circuit, and the radiant passes were looped A + B and C + D with temporary 180° returns at the radiant inlet flanges. Average pigging time was approximately 51 hours per circuit.</w:t>
      </w:r>
    </w:p>
    <w:p>
      <w:pPr>
        <w:keepNext/>
        <w:spacing w:before="120" w:after="40"/>
        <w:jc w:val="center"/>
      </w:pPr>
      <w:r>
        <w:drawing>
          <wp:inline xmlns:a="http://schemas.openxmlformats.org/drawingml/2006/main" xmlns:pic="http://schemas.openxmlformats.org/drawingml/2006/picture">
            <wp:extent cx="5852160" cy="1060704"/>
            <wp:docPr id="6" name="Picture 6"/>
            <wp:cNvGraphicFramePr>
              <a:graphicFrameLocks noChangeAspect="1"/>
            </wp:cNvGraphicFramePr>
            <a:graphic>
              <a:graphicData uri="http://schemas.openxmlformats.org/drawingml/2006/picture">
                <pic:pic>
                  <pic:nvPicPr>
                    <pic:cNvPr id="0" name="timeline-PR-170002.png"/>
                    <pic:cNvPicPr/>
                  </pic:nvPicPr>
                  <pic:blipFill>
                    <a:blip r:embed="rId16"/>
                    <a:stretch>
                      <a:fillRect/>
                    </a:stretch>
                  </pic:blipFill>
                  <pic:spPr>
                    <a:xfrm>
                      <a:off x="0" y="0"/>
                      <a:ext cx="5852160" cy="1060704"/>
                    </a:xfrm>
                    <a:prstGeom prst="rect"/>
                  </pic:spPr>
                </pic:pic>
              </a:graphicData>
            </a:graphic>
          </wp:inline>
        </w:drawing>
      </w:r>
    </w:p>
    <w:p>
      <w:pPr>
        <w:spacing w:before="0" w:after="120"/>
        <w:jc w:val="center"/>
      </w:pPr>
      <w:r>
        <w:rPr>
          <w:rFonts w:ascii="Arial" w:hAnsi="Arial"/>
          <w:b w:val="0"/>
          <w:color w:val="888888"/>
          <w:sz w:val="16"/>
        </w:rPr>
        <w:t>PR-170002 -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3"  —  3</w:t>
            </w:r>
          </w:p>
        </w:tc>
        <w:tc>
          <w:tcPr>
            <w:tcW w:type="dxa" w:w="2484"/>
          </w:tcPr>
          <w:p>
            <w:pPr>
              <w:keepNext/>
              <w:spacing w:before="20" w:after="20" w:line="240" w:lineRule="auto"/>
            </w:pPr>
            <w:r/>
            <w:r>
              <w:rPr>
                <w:rFonts w:ascii="Arial" w:hAnsi="Arial"/>
                <w:b w:val="0"/>
                <w:color w:val="555555"/>
                <w:sz w:val="17"/>
              </w:rPr>
              <w:t>3.3"  —  2</w:t>
            </w:r>
          </w:p>
        </w:tc>
        <w:tc>
          <w:tcPr>
            <w:tcW w:type="dxa" w:w="2484"/>
          </w:tcPr>
          <w:p>
            <w:pPr>
              <w:keepNext/>
              <w:spacing w:before="20" w:after="20" w:line="240" w:lineRule="auto"/>
            </w:pPr>
            <w:r/>
            <w:r>
              <w:rPr>
                <w:rFonts w:ascii="Arial" w:hAnsi="Arial"/>
                <w:b w:val="0"/>
                <w:color w:val="555555"/>
                <w:sz w:val="17"/>
              </w:rPr>
              <w:t>3.625"  —  21</w:t>
            </w:r>
          </w:p>
        </w:tc>
        <w:tc>
          <w:tcPr>
            <w:tcW w:type="dxa" w:w="2484"/>
          </w:tcPr>
          <w:p>
            <w:pPr>
              <w:keepNext/>
              <w:spacing w:before="20" w:after="20" w:line="240" w:lineRule="auto"/>
            </w:pPr>
            <w:r/>
            <w:r>
              <w:rPr>
                <w:rFonts w:ascii="Arial" w:hAnsi="Arial"/>
                <w:b w:val="0"/>
                <w:color w:val="555555"/>
                <w:sz w:val="17"/>
              </w:rPr>
              <w:t>4"  —  2</w:t>
            </w:r>
          </w:p>
        </w:tc>
      </w:tr>
      <w:tr>
        <w:tc>
          <w:tcPr>
            <w:tcW w:type="dxa" w:w="2484"/>
            <w:shd w:val="clear" w:fill="F7F7F7"/>
          </w:tcPr>
          <w:p>
            <w:pPr>
              <w:keepNext/>
              <w:spacing w:before="20" w:after="20" w:line="240" w:lineRule="auto"/>
            </w:pPr>
            <w:r/>
            <w:r>
              <w:rPr>
                <w:rFonts w:ascii="Arial" w:hAnsi="Arial"/>
                <w:b w:val="0"/>
                <w:color w:val="555555"/>
                <w:sz w:val="17"/>
              </w:rPr>
              <w:t>3.125"  —  3</w:t>
            </w:r>
          </w:p>
        </w:tc>
        <w:tc>
          <w:tcPr>
            <w:tcW w:type="dxa" w:w="2484"/>
            <w:shd w:val="clear" w:fill="F7F7F7"/>
          </w:tcPr>
          <w:p>
            <w:pPr>
              <w:keepNext/>
              <w:spacing w:before="20" w:after="20" w:line="240" w:lineRule="auto"/>
            </w:pPr>
            <w:r/>
            <w:r>
              <w:rPr>
                <w:rFonts w:ascii="Arial" w:hAnsi="Arial"/>
                <w:b w:val="0"/>
                <w:color w:val="555555"/>
                <w:sz w:val="17"/>
              </w:rPr>
              <w:t>3.325"  —  3</w:t>
            </w:r>
          </w:p>
        </w:tc>
        <w:tc>
          <w:tcPr>
            <w:tcW w:type="dxa" w:w="2484"/>
            <w:shd w:val="clear" w:fill="F7F7F7"/>
          </w:tcPr>
          <w:p>
            <w:pPr>
              <w:keepNext/>
              <w:spacing w:before="20" w:after="20" w:line="240" w:lineRule="auto"/>
            </w:pPr>
            <w:r/>
            <w:r>
              <w:rPr>
                <w:rFonts w:ascii="Arial" w:hAnsi="Arial"/>
                <w:b w:val="0"/>
                <w:color w:val="555555"/>
                <w:sz w:val="17"/>
              </w:rPr>
              <w:t>3.75"  —  14</w:t>
            </w:r>
          </w:p>
        </w:tc>
        <w:tc>
          <w:tcPr>
            <w:tcW w:type="dxa" w:w="2484"/>
            <w:shd w:val="clear" w:fill="F7F7F7"/>
          </w:tcPr>
          <w:p>
            <w:pPr>
              <w:keepNext/>
              <w:spacing w:before="20" w:after="20" w:line="240" w:lineRule="auto"/>
            </w:pPr>
            <w:r/>
            <w:r>
              <w:rPr>
                <w:rFonts w:ascii="Arial" w:hAnsi="Arial"/>
                <w:b w:val="0"/>
                <w:color w:val="555555"/>
                <w:sz w:val="17"/>
              </w:rPr>
            </w:r>
          </w:p>
        </w:tc>
      </w:tr>
      <w:tr>
        <w:tc>
          <w:tcPr>
            <w:tcW w:type="dxa" w:w="2484"/>
          </w:tcPr>
          <w:p>
            <w:pPr>
              <w:keepNext/>
              <w:spacing w:before="20" w:after="20" w:line="240" w:lineRule="auto"/>
            </w:pPr>
            <w:r/>
            <w:r>
              <w:rPr>
                <w:rFonts w:ascii="Arial" w:hAnsi="Arial"/>
                <w:b w:val="0"/>
                <w:color w:val="555555"/>
                <w:sz w:val="17"/>
              </w:rPr>
              <w:t>3.25"  —  6</w:t>
            </w:r>
          </w:p>
        </w:tc>
        <w:tc>
          <w:tcPr>
            <w:tcW w:type="dxa" w:w="2484"/>
          </w:tcPr>
          <w:p>
            <w:pPr>
              <w:keepNext/>
              <w:spacing w:before="20" w:after="20" w:line="240" w:lineRule="auto"/>
            </w:pPr>
            <w:r/>
            <w:r>
              <w:rPr>
                <w:rFonts w:ascii="Arial" w:hAnsi="Arial"/>
                <w:b w:val="0"/>
                <w:color w:val="555555"/>
                <w:sz w:val="17"/>
              </w:rPr>
              <w:t>3.5"  —  6</w:t>
            </w:r>
          </w:p>
        </w:tc>
        <w:tc>
          <w:tcPr>
            <w:tcW w:type="dxa" w:w="2484"/>
          </w:tcPr>
          <w:p>
            <w:pPr>
              <w:keepNext/>
              <w:spacing w:before="20" w:after="20" w:line="240" w:lineRule="auto"/>
            </w:pPr>
            <w:r/>
            <w:r>
              <w:rPr>
                <w:rFonts w:ascii="Arial" w:hAnsi="Arial"/>
                <w:b w:val="0"/>
                <w:color w:val="555555"/>
                <w:sz w:val="17"/>
              </w:rPr>
              <w:t>3.875"  —  4</w:t>
            </w:r>
          </w:p>
        </w:tc>
        <w:tc>
          <w:tcPr>
            <w:tcW w:type="dxa" w:w="2484"/>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64</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64 pigs across 10 sizes, 3" through 4".</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All convection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435</w:t>
                  </w:r>
                </w:p>
              </w:tc>
              <w:tc>
                <w:tcPr>
                  <w:tcW w:type="dxa" w:w="1295"/>
                </w:tcPr>
                <w:p>
                  <w:pPr>
                    <w:spacing w:before="20" w:after="20" w:line="240" w:lineRule="auto"/>
                    <w:jc w:val="center"/>
                  </w:pPr>
                  <w:r/>
                  <w:r>
                    <w:rPr>
                      <w:rFonts w:ascii="Arial" w:hAnsi="Arial"/>
                      <w:b w:val="0"/>
                      <w:color w:val="555555"/>
                      <w:sz w:val="17"/>
                    </w:rPr>
                    <w:t>375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330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40</w:t>
                  </w:r>
                </w:p>
              </w:tc>
            </w:tr>
          </w:tbl>
          <w:p/>
        </w:tc>
        <w:tc>
          <w:tcPr>
            <w:tcW w:type="dxa" w:w="4968"/>
          </w:tcPr>
          <w:p>
            <w:pPr>
              <w:spacing w:before="120" w:after="40"/>
            </w:pPr>
            <w:r/>
            <w:r>
              <w:rPr>
                <w:rFonts w:ascii="Arial" w:hAnsi="Arial"/>
                <w:b/>
                <w:color w:val="FCC30A"/>
                <w:sz w:val="19"/>
              </w:rPr>
              <w:t>Passes C + 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419</w:t>
                  </w:r>
                </w:p>
              </w:tc>
              <w:tc>
                <w:tcPr>
                  <w:tcW w:type="dxa" w:w="1295"/>
                </w:tcPr>
                <w:p>
                  <w:pPr>
                    <w:spacing w:before="20" w:after="20" w:line="240" w:lineRule="auto"/>
                    <w:jc w:val="center"/>
                  </w:pPr>
                  <w:r/>
                  <w:r>
                    <w:rPr>
                      <w:rFonts w:ascii="Arial" w:hAnsi="Arial"/>
                      <w:b w:val="0"/>
                      <w:color w:val="555555"/>
                      <w:sz w:val="17"/>
                    </w:rPr>
                    <w:t>287</w:t>
                  </w:r>
                </w:p>
              </w:tc>
              <w:tc>
                <w:tcPr>
                  <w:tcW w:type="dxa" w:w="1151"/>
                </w:tcPr>
                <w:p>
                  <w:pPr>
                    <w:spacing w:before="20" w:after="20" w:line="240" w:lineRule="auto"/>
                    <w:jc w:val="center"/>
                  </w:pPr>
                  <w:r/>
                  <w:r>
                    <w:rPr>
                      <w:rFonts w:ascii="Arial" w:hAnsi="Arial"/>
                      <w:b w:val="0"/>
                      <w:color w:val="555555"/>
                      <w:sz w:val="17"/>
                    </w:rPr>
                    <w:t>132</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320</w:t>
                  </w:r>
                </w:p>
              </w:tc>
              <w:tc>
                <w:tcPr>
                  <w:tcW w:type="dxa" w:w="1295"/>
                  <w:shd w:val="clear" w:fill="F7F7F7"/>
                </w:tcPr>
                <w:p>
                  <w:pPr>
                    <w:spacing w:before="20" w:after="20" w:line="240" w:lineRule="auto"/>
                    <w:jc w:val="center"/>
                  </w:pPr>
                  <w:r/>
                  <w:r>
                    <w:rPr>
                      <w:rFonts w:ascii="Arial" w:hAnsi="Arial"/>
                      <w:b w:val="0"/>
                      <w:color w:val="555555"/>
                      <w:sz w:val="17"/>
                    </w:rPr>
                    <w:t>219</w:t>
                  </w:r>
                </w:p>
              </w:tc>
              <w:tc>
                <w:tcPr>
                  <w:tcW w:type="dxa" w:w="1151"/>
                  <w:shd w:val="clear" w:fill="F7F7F7"/>
                </w:tcPr>
                <w:p>
                  <w:pPr>
                    <w:spacing w:before="20" w:after="20" w:line="240" w:lineRule="auto"/>
                    <w:jc w:val="center"/>
                  </w:pPr>
                  <w:r/>
                  <w:r>
                    <w:rPr>
                      <w:rFonts w:ascii="Arial" w:hAnsi="Arial"/>
                      <w:b w:val="0"/>
                      <w:color w:val="555555"/>
                      <w:sz w:val="17"/>
                    </w:rPr>
                    <w:t>101</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159</w:t>
                  </w:r>
                </w:p>
              </w:tc>
              <w:tc>
                <w:tcPr>
                  <w:tcW w:type="dxa" w:w="1151"/>
                </w:tcPr>
                <w:p>
                  <w:pPr>
                    <w:spacing w:before="20" w:after="20" w:line="240" w:lineRule="auto"/>
                    <w:jc w:val="center"/>
                  </w:pPr>
                  <w:r/>
                  <w:r>
                    <w:rPr>
                      <w:rFonts w:ascii="Arial" w:hAnsi="Arial"/>
                      <w:b w:val="0"/>
                      <w:color w:val="555555"/>
                      <w:sz w:val="17"/>
                    </w:rPr>
                    <w:t>66</w:t>
                  </w:r>
                </w:p>
              </w:tc>
            </w:tr>
          </w:tbl>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four fired heaters for Cenovus at the Lima Refinery during the 2026 turnaround, September 17 – 30: the Crude Furnace (PR-170028), Vacuum Charge Furnace (PR-170029), HDS Furnace (PR-175169) and Coker Furnace (PR-170002). Two Trimax pumping units ran independent schedules — Trimax 6 on the Vacuum heater, and Trimax 5 on the Crude, HDS and Coker in turn. The Crude, Vacuum and HDS heaters were smart-pigged after cleaning.</w:t>
      </w:r>
    </w:p>
    <w:p>
      <w:pPr>
        <w:spacing w:before="40" w:after="120" w:line="276" w:lineRule="auto"/>
      </w:pPr>
      <w:r>
        <w:rPr>
          <w:rFonts w:ascii="Arial" w:hAnsi="Arial"/>
          <w:b w:val="0"/>
          <w:color w:val="555555"/>
          <w:sz w:val="20"/>
        </w:rPr>
        <w:t>Fifty-two of the project's 54 stand-by hours were on the Vacuum heater,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All four heaters were cleaned and returned to Cenovus, and all equipment was demobilized from the facility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w:t>
      </w:r>
    </w:p>
    <w:p>
      <w:pPr>
        <w:keepNext/>
        <w:spacing w:before="0" w:after="0"/>
      </w:pPr>
      <w:r>
        <w:rPr>
          <w:rFonts w:ascii="Arial" w:hAnsi="Arial"/>
          <w:b w:val="0"/>
          <w:color w:val="222222"/>
          <w:sz w:val="20"/>
        </w:rPr>
        <w:t>USADebusk</w:t>
      </w:r>
    </w:p>
    <w:p>
      <w:pPr>
        <w:keepNext w:val="0"/>
        <w:spacing w:before="0" w:after="0"/>
      </w:pPr>
      <w:r>
        <w:rPr>
          <w:rFonts w:ascii="Arial" w:hAnsi="Arial"/>
          <w:b w:val="0"/>
          <w:color w:val="222222"/>
          <w:sz w:val="20"/>
        </w:rPr>
        <w:t>Project Manager</w:t>
      </w:r>
    </w:p>
    <w:sectPr w:rsidR="00FC693F" w:rsidRPr="0006063C" w:rsidSect="00034616">
      <w:headerReference w:type="default" r:id="rId9"/>
      <w:footerReference w:type="default" r:id="rId10"/>
      <w:pgSz w:w="12240" w:h="15840"/>
      <w:pgMar w:top="1368" w:right="1152" w:bottom="1008" w:left="1152"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  |  REV 0</w:t>
          </w:r>
        </w:p>
        <w:p>
          <w:pPr>
            <w:spacing w:before="0" w:after="0"/>
            <w:jc w:val="right"/>
          </w:pPr>
          <w:r>
            <w:rPr>
              <w:rFonts w:ascii="Arial" w:hAnsi="Arial"/>
              <w:b w:val="0"/>
              <w:color w:val="888888"/>
              <w:sz w:val="16"/>
            </w:rPr>
            <w:t>Pigging / Decoking  |  4 Heaters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