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50843" w14:textId="10DE4213" w:rsidR="004E1C3B" w:rsidRDefault="00352918">
      <w:bookmarkStart w:id="0" w:name="_Hlk115102557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40F99F" wp14:editId="39997AE1">
                <wp:simplePos x="0" y="0"/>
                <mc:AlternateContent>
                  <mc:Choice Requires="wp14">
                    <wp:positionH relativeFrom="page">
                      <wp14:pctPosHOffset>45500</wp14:pctPosHOffset>
                    </wp:positionH>
                  </mc:Choice>
                  <mc:Fallback>
                    <wp:positionH relativeFrom="page">
                      <wp:posOffset>3536315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2500</wp14:pctPosVOffset>
                    </wp:positionV>
                  </mc:Choice>
                  <mc:Fallback>
                    <wp:positionV relativeFrom="page">
                      <wp:posOffset>251460</wp:posOffset>
                    </wp:positionV>
                  </mc:Fallback>
                </mc:AlternateContent>
                <wp:extent cx="2875915" cy="2149522"/>
                <wp:effectExtent l="0" t="0" r="635" b="3175"/>
                <wp:wrapNone/>
                <wp:docPr id="467" name="Rectángulo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915" cy="2149522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F85CD" w14:textId="4DE13935" w:rsidR="00352918" w:rsidRPr="00352918" w:rsidRDefault="00352918" w:rsidP="00352918">
                            <w:pPr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52918"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Tecnológico Nacional de México</w:t>
                            </w:r>
                          </w:p>
                          <w:p w14:paraId="545C7634" w14:textId="77777777" w:rsidR="00352918" w:rsidRPr="00352918" w:rsidRDefault="00352918" w:rsidP="00352918">
                            <w:pPr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14:paraId="500BCCC3" w14:textId="7A2F7B75" w:rsidR="00352918" w:rsidRPr="00352918" w:rsidRDefault="00352918" w:rsidP="00352918">
                            <w:pPr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52918"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br/>
                              <w:t>Instituto Tecnológico de Reynosa</w:t>
                            </w:r>
                          </w:p>
                          <w:p w14:paraId="0AA03E27" w14:textId="77777777" w:rsidR="00352918" w:rsidRDefault="00352918" w:rsidP="00352918"/>
                          <w:p w14:paraId="19609FC5" w14:textId="04D4195F" w:rsidR="00AD5123" w:rsidRDefault="00AD5123">
                            <w:pPr>
                              <w:spacing w:before="24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40F99F" id="Rectángulo 467" o:spid="_x0000_s1026" style="position:absolute;margin-left:0;margin-top:0;width:226.45pt;height:169.25pt;z-index:251662336;visibility:visible;mso-wrap-style:square;mso-width-percent:370;mso-height-percent:0;mso-left-percent:455;mso-top-percent:25;mso-wrap-distance-left:9pt;mso-wrap-distance-top:0;mso-wrap-distance-right:9pt;mso-wrap-distance-bottom:0;mso-position-horizontal-relative:page;mso-position-vertical-relative:page;mso-width-percent:370;mso-height-percent: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" fillcolor="#44546a [3215]" stroked="f" strokeweight="1pt">
                <v:textbox inset="14.4pt,14.4pt,14.4pt,28.8pt">
                  <w:txbxContent>
                    <w:p w14:paraId="316F85CD" w14:textId="4DE13935" w:rsidR="00352918" w:rsidRPr="00352918" w:rsidRDefault="00352918" w:rsidP="00352918">
                      <w:pPr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52918"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Tecnológico Nacional de México</w:t>
                      </w:r>
                    </w:p>
                    <w:p w14:paraId="545C7634" w14:textId="77777777" w:rsidR="00352918" w:rsidRPr="00352918" w:rsidRDefault="00352918" w:rsidP="00352918">
                      <w:pPr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14:paraId="500BCCC3" w14:textId="7A2F7B75" w:rsidR="00352918" w:rsidRPr="00352918" w:rsidRDefault="00352918" w:rsidP="00352918">
                      <w:pPr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52918"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br/>
                        <w:t>Instituto Tecnológico de Reynosa</w:t>
                      </w:r>
                    </w:p>
                    <w:p w14:paraId="0AA03E27" w14:textId="77777777" w:rsidR="00352918" w:rsidRDefault="00352918" w:rsidP="00352918"/>
                    <w:p w14:paraId="19609FC5" w14:textId="04D4195F" w:rsidR="00AD5123" w:rsidRDefault="00AD5123">
                      <w:pPr>
                        <w:spacing w:before="240"/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E1C3B">
        <w:rPr>
          <w:noProof/>
        </w:rPr>
        <w:drawing>
          <wp:anchor distT="0" distB="0" distL="114300" distR="114300" simplePos="0" relativeHeight="251659264" behindDoc="1" locked="0" layoutInCell="1" allowOverlap="1" wp14:anchorId="27A0042C" wp14:editId="2760CDE4">
            <wp:simplePos x="0" y="0"/>
            <wp:positionH relativeFrom="margin">
              <wp:posOffset>-340977</wp:posOffset>
            </wp:positionH>
            <wp:positionV relativeFrom="paragraph">
              <wp:posOffset>80010</wp:posOffset>
            </wp:positionV>
            <wp:extent cx="1931035" cy="1190625"/>
            <wp:effectExtent l="0" t="0" r="0" b="9525"/>
            <wp:wrapTight wrapText="bothSides">
              <wp:wrapPolygon edited="0">
                <wp:start x="0" y="0"/>
                <wp:lineTo x="0" y="21427"/>
                <wp:lineTo x="21309" y="21427"/>
                <wp:lineTo x="2130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2E31BF" w14:textId="03A87591" w:rsidR="004E1C3B" w:rsidRDefault="004E1C3B"/>
    <w:sdt>
      <w:sdtPr>
        <w:id w:val="437956593"/>
        <w:docPartObj>
          <w:docPartGallery w:val="Cover Pages"/>
          <w:docPartUnique/>
        </w:docPartObj>
      </w:sdtPr>
      <w:sdtContent>
        <w:p w14:paraId="0076B958" w14:textId="28744DED" w:rsidR="00AD5123" w:rsidRDefault="00AD512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1" locked="0" layoutInCell="1" allowOverlap="1" wp14:anchorId="170297E6" wp14:editId="0E24BB3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1C37CB" w14:textId="56A40A30" w:rsidR="00AD5123" w:rsidRDefault="00AD512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70297E6" id="Rectángulo 466" o:spid="_x0000_s1027" style="position:absolute;margin-left:0;margin-top:0;width:581.4pt;height:752.4pt;z-index:-25165107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241C37CB" w14:textId="56A40A30" w:rsidR="00AD5123" w:rsidRDefault="00AD512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B610E4" wp14:editId="3F5741F8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15240" b="2667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581543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EB72393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408915A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7158946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44502E58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7A470D7B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535C8032" w14:textId="77777777" w:rsidR="00BC6F3E" w:rsidRPr="002E73BF" w:rsidRDefault="00BC6F3E" w:rsidP="00BC6F3E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79E0DA3" w14:textId="77777777" w:rsidR="00BC6F3E" w:rsidRPr="002E73BF" w:rsidRDefault="00BC6F3E" w:rsidP="00BC6F3E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459915E6" w14:textId="327E32D0" w:rsidR="00BC6F3E" w:rsidRPr="002E73BF" w:rsidRDefault="00352918" w:rsidP="00BC6F3E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Materia:</w:t>
                                </w:r>
                                <w:r w:rsidR="008C21D6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="006F473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Modelos de negocio y outsourcing </w:t>
                                </w:r>
                              </w:p>
                              <w:p w14:paraId="161C1454" w14:textId="77777777" w:rsidR="00BC6F3E" w:rsidRPr="002E73BF" w:rsidRDefault="00BC6F3E" w:rsidP="00BC6F3E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225E13EA" w14:textId="01856488" w:rsidR="00352918" w:rsidRPr="002E73BF" w:rsidRDefault="00BC6F3E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Maestro:</w:t>
                                </w:r>
                                <w:r w:rsidR="002E73BF"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Ileana Deyanira Trejo </w:t>
                                </w:r>
                                <w:r w:rsidR="008C21D6"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García</w:t>
                                </w:r>
                              </w:p>
                              <w:p w14:paraId="399D3D33" w14:textId="77777777" w:rsidR="00BC6F3E" w:rsidRPr="002E73BF" w:rsidRDefault="00BC6F3E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402C6EAC" w14:textId="247E9B88" w:rsidR="00352918" w:rsidRPr="002E73BF" w:rsidRDefault="002E73BF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Título</w:t>
                                </w:r>
                                <w:r w:rsidR="00BC6F3E"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:</w:t>
                                </w:r>
                                <w:r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="005448F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Actividad </w:t>
                                </w:r>
                                <w:r w:rsidR="009166F7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individual</w:t>
                                </w:r>
                                <w:r w:rsidR="005448F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Unidad 3 </w:t>
                                </w:r>
                              </w:p>
                              <w:p w14:paraId="30CE7633" w14:textId="77777777" w:rsidR="00352918" w:rsidRPr="002E73BF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2F58459D" w14:textId="28CA4605" w:rsidR="00352918" w:rsidRPr="002E73BF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Fecha de entrega: </w:t>
                                </w:r>
                                <w:r w:rsidR="005448F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13</w:t>
                                </w:r>
                                <w:r w:rsidR="002E73BF"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/</w:t>
                                </w:r>
                                <w:r w:rsidR="0019691D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10</w:t>
                                </w:r>
                                <w:r w:rsidR="002E73BF"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/22</w:t>
                                </w:r>
                              </w:p>
                              <w:p w14:paraId="46090D5B" w14:textId="77777777" w:rsidR="00352918" w:rsidRPr="002E73BF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16BB67F0" w14:textId="530EC9B3" w:rsidR="00352918" w:rsidRPr="002E73BF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Alumno: Castillo Jr. Gregorio</w:t>
                                </w:r>
                              </w:p>
                              <w:p w14:paraId="795CA8CC" w14:textId="77777777" w:rsidR="00352918" w:rsidRPr="002E73BF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577D750F" w14:textId="46014F33" w:rsidR="00352918" w:rsidRPr="002E73BF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Numero de control: 19580589</w:t>
                                </w:r>
                              </w:p>
                              <w:p w14:paraId="78897181" w14:textId="77777777" w:rsidR="00352918" w:rsidRPr="00352918" w:rsidRDefault="00352918" w:rsidP="00352918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674A802B" w14:textId="77777777" w:rsidR="00352918" w:rsidRDefault="00352918" w:rsidP="00352918"/>
                              <w:p w14:paraId="0F6CE736" w14:textId="77777777" w:rsidR="00352918" w:rsidRDefault="00352918" w:rsidP="0035291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FB610E4" id="Rectángulo 468" o:spid="_x0000_s1028" style="position:absolute;margin-left:0;margin-top:0;width:244.8pt;height:554.4pt;z-index:251661312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" fillcolor="white [3212]" strokecolor="#747070 [1614]" strokeweight="1.25pt">
                    <v:textbox>
                      <w:txbxContent>
                        <w:p w14:paraId="5E581543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EB72393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408915A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7158946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44502E58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7A470D7B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535C8032" w14:textId="77777777" w:rsidR="00BC6F3E" w:rsidRPr="002E73BF" w:rsidRDefault="00BC6F3E" w:rsidP="00BC6F3E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79E0DA3" w14:textId="77777777" w:rsidR="00BC6F3E" w:rsidRPr="002E73BF" w:rsidRDefault="00BC6F3E" w:rsidP="00BC6F3E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459915E6" w14:textId="327E32D0" w:rsidR="00BC6F3E" w:rsidRPr="002E73BF" w:rsidRDefault="00352918" w:rsidP="00BC6F3E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Materia:</w:t>
                          </w:r>
                          <w:r w:rsidR="008C21D6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="006F473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Modelos de negocio y outsourcing </w:t>
                          </w:r>
                        </w:p>
                        <w:p w14:paraId="161C1454" w14:textId="77777777" w:rsidR="00BC6F3E" w:rsidRPr="002E73BF" w:rsidRDefault="00BC6F3E" w:rsidP="00BC6F3E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225E13EA" w14:textId="01856488" w:rsidR="00352918" w:rsidRPr="002E73BF" w:rsidRDefault="00BC6F3E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Maestro:</w:t>
                          </w:r>
                          <w:r w:rsidR="002E73BF"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Ileana Deyanira Trejo </w:t>
                          </w:r>
                          <w:r w:rsidR="008C21D6"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García</w:t>
                          </w:r>
                        </w:p>
                        <w:p w14:paraId="399D3D33" w14:textId="77777777" w:rsidR="00BC6F3E" w:rsidRPr="002E73BF" w:rsidRDefault="00BC6F3E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402C6EAC" w14:textId="247E9B88" w:rsidR="00352918" w:rsidRPr="002E73BF" w:rsidRDefault="002E73BF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Título</w:t>
                          </w:r>
                          <w:r w:rsidR="00BC6F3E"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:</w:t>
                          </w:r>
                          <w:r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="005448F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Actividad </w:t>
                          </w:r>
                          <w:r w:rsidR="009166F7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individual</w:t>
                          </w:r>
                          <w:r w:rsidR="005448F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Unidad 3 </w:t>
                          </w:r>
                        </w:p>
                        <w:p w14:paraId="30CE7633" w14:textId="77777777" w:rsidR="00352918" w:rsidRPr="002E73BF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2F58459D" w14:textId="28CA4605" w:rsidR="00352918" w:rsidRPr="002E73BF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Fecha de entrega: </w:t>
                          </w:r>
                          <w:r w:rsidR="005448F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13</w:t>
                          </w:r>
                          <w:r w:rsidR="002E73BF"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/</w:t>
                          </w:r>
                          <w:r w:rsidR="0019691D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10</w:t>
                          </w:r>
                          <w:r w:rsidR="002E73BF"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/22</w:t>
                          </w:r>
                        </w:p>
                        <w:p w14:paraId="46090D5B" w14:textId="77777777" w:rsidR="00352918" w:rsidRPr="002E73BF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16BB67F0" w14:textId="530EC9B3" w:rsidR="00352918" w:rsidRPr="002E73BF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Alumno: Castillo Jr. Gregorio</w:t>
                          </w:r>
                        </w:p>
                        <w:p w14:paraId="795CA8CC" w14:textId="77777777" w:rsidR="00352918" w:rsidRPr="002E73BF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577D750F" w14:textId="46014F33" w:rsidR="00352918" w:rsidRPr="002E73BF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Numero de control: 19580589</w:t>
                          </w:r>
                        </w:p>
                        <w:p w14:paraId="78897181" w14:textId="77777777" w:rsidR="00352918" w:rsidRPr="00352918" w:rsidRDefault="00352918" w:rsidP="00352918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674A802B" w14:textId="77777777" w:rsidR="00352918" w:rsidRDefault="00352918" w:rsidP="00352918"/>
                        <w:p w14:paraId="0F6CE736" w14:textId="77777777" w:rsidR="00352918" w:rsidRDefault="00352918" w:rsidP="0035291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519DB5A" wp14:editId="5C00FCD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96DD062" id="Rectángulo 469" o:spid="_x0000_s1026" style="position:absolute;margin-left:0;margin-top:0;width:226.45pt;height:9.35pt;z-index:251664384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14:paraId="5A883B6F" w14:textId="702AE7C7" w:rsidR="008C21D6" w:rsidRDefault="008C21D6"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3B1FA145" wp14:editId="3F9CA0DF">
                <wp:simplePos x="0" y="0"/>
                <wp:positionH relativeFrom="page">
                  <wp:posOffset>1061085</wp:posOffset>
                </wp:positionH>
                <wp:positionV relativeFrom="paragraph">
                  <wp:posOffset>1114425</wp:posOffset>
                </wp:positionV>
                <wp:extent cx="1332865" cy="1303020"/>
                <wp:effectExtent l="0" t="0" r="635" b="0"/>
                <wp:wrapTight wrapText="bothSides">
                  <wp:wrapPolygon edited="0">
                    <wp:start x="0" y="0"/>
                    <wp:lineTo x="0" y="21158"/>
                    <wp:lineTo x="21302" y="21158"/>
                    <wp:lineTo x="21302" y="0"/>
                    <wp:lineTo x="0" y="0"/>
                  </wp:wrapPolygon>
                </wp:wrapTight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2865" cy="1303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D5123">
            <w:br w:type="page"/>
          </w:r>
        </w:p>
      </w:sdtContent>
    </w:sdt>
    <w:p w14:paraId="1779E397" w14:textId="03A40555" w:rsidR="009166F7" w:rsidRPr="00C605FE" w:rsidRDefault="009166F7" w:rsidP="009166F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--</w:t>
      </w:r>
      <w:r w:rsidRPr="00C605FE">
        <w:rPr>
          <w:rFonts w:ascii="Arial" w:hAnsi="Arial" w:cs="Arial"/>
          <w:b/>
          <w:bCs/>
          <w:sz w:val="24"/>
          <w:szCs w:val="24"/>
        </w:rPr>
        <w:t xml:space="preserve">¿Qué es el </w:t>
      </w:r>
      <w:proofErr w:type="spellStart"/>
      <w:r w:rsidRPr="00C605FE">
        <w:rPr>
          <w:rFonts w:ascii="Arial" w:hAnsi="Arial" w:cs="Arial"/>
          <w:b/>
          <w:bCs/>
          <w:sz w:val="24"/>
          <w:szCs w:val="24"/>
        </w:rPr>
        <w:t>cobit</w:t>
      </w:r>
      <w:proofErr w:type="spellEnd"/>
      <w:r w:rsidRPr="00C605FE">
        <w:rPr>
          <w:rFonts w:ascii="Arial" w:hAnsi="Arial" w:cs="Arial"/>
          <w:b/>
          <w:bCs/>
          <w:sz w:val="24"/>
          <w:szCs w:val="24"/>
        </w:rPr>
        <w:t>?</w:t>
      </w:r>
    </w:p>
    <w:p w14:paraId="3A1CC4BD" w14:textId="77777777" w:rsidR="009166F7" w:rsidRPr="009166F7" w:rsidRDefault="009166F7" w:rsidP="009166F7">
      <w:pPr>
        <w:pStyle w:val="NormalWeb"/>
        <w:shd w:val="clear" w:color="auto" w:fill="FFFFFF"/>
        <w:rPr>
          <w:rFonts w:ascii="Arial" w:hAnsi="Arial" w:cs="Arial"/>
        </w:rPr>
      </w:pPr>
      <w:hyperlink r:id="rId10" w:history="1">
        <w:r w:rsidRPr="009166F7">
          <w:rPr>
            <w:rStyle w:val="Hipervnculo"/>
            <w:rFonts w:ascii="Arial" w:hAnsi="Arial" w:cs="Arial"/>
            <w:color w:val="auto"/>
            <w:u w:val="none"/>
          </w:rPr>
          <w:t>COBIT</w:t>
        </w:r>
      </w:hyperlink>
      <w:r w:rsidRPr="009166F7">
        <w:rPr>
          <w:rFonts w:ascii="Arial" w:hAnsi="Arial" w:cs="Arial"/>
        </w:rPr>
        <w:t> es un marco de trabajo (</w:t>
      </w:r>
      <w:proofErr w:type="spellStart"/>
      <w:r w:rsidRPr="009166F7">
        <w:rPr>
          <w:rFonts w:ascii="Arial" w:hAnsi="Arial" w:cs="Arial"/>
        </w:rPr>
        <w:t>framework</w:t>
      </w:r>
      <w:proofErr w:type="spellEnd"/>
      <w:r w:rsidRPr="009166F7">
        <w:rPr>
          <w:rFonts w:ascii="Arial" w:hAnsi="Arial" w:cs="Arial"/>
        </w:rPr>
        <w:t>) para el gobierno y la gestión de las tecnologías de la información (TI) empresariales y dirigido a toda la empresa.</w:t>
      </w:r>
    </w:p>
    <w:p w14:paraId="4AC51D3D" w14:textId="77777777" w:rsidR="009166F7" w:rsidRDefault="009166F7" w:rsidP="009166F7">
      <w:pPr>
        <w:pStyle w:val="NormalWeb"/>
        <w:shd w:val="clear" w:color="auto" w:fill="FFFFFF"/>
        <w:rPr>
          <w:rFonts w:ascii="Arial" w:hAnsi="Arial" w:cs="Arial"/>
          <w:color w:val="232D3C"/>
        </w:rPr>
      </w:pPr>
      <w:r w:rsidRPr="009166F7">
        <w:rPr>
          <w:rFonts w:ascii="Arial" w:hAnsi="Arial" w:cs="Arial"/>
        </w:rPr>
        <w:t>Ha sido promovido por </w:t>
      </w:r>
      <w:hyperlink r:id="rId11" w:history="1">
        <w:r w:rsidRPr="009166F7">
          <w:rPr>
            <w:rStyle w:val="Hipervnculo"/>
            <w:rFonts w:ascii="Arial" w:hAnsi="Arial" w:cs="Arial"/>
            <w:color w:val="auto"/>
            <w:u w:val="none"/>
          </w:rPr>
          <w:t>ISACA</w:t>
        </w:r>
      </w:hyperlink>
      <w:r w:rsidRPr="009166F7">
        <w:rPr>
          <w:rFonts w:ascii="Arial" w:hAnsi="Arial" w:cs="Arial"/>
        </w:rPr>
        <w:t> desde su primera versión en 1996 y actualmente se encuentra disponible la versión COBIT 2019.</w:t>
      </w:r>
    </w:p>
    <w:p w14:paraId="2DC48D3C" w14:textId="56472D5C" w:rsidR="009166F7" w:rsidRPr="009166F7" w:rsidRDefault="009166F7" w:rsidP="009166F7">
      <w:pPr>
        <w:pStyle w:val="NormalWeb"/>
        <w:shd w:val="clear" w:color="auto" w:fill="FFFFFF"/>
        <w:rPr>
          <w:rFonts w:ascii="Arial" w:hAnsi="Arial" w:cs="Arial"/>
        </w:rPr>
      </w:pPr>
      <w:r w:rsidRPr="009166F7">
        <w:rPr>
          <w:rFonts w:ascii="Arial" w:hAnsi="Arial" w:cs="Arial"/>
          <w:b/>
          <w:bCs/>
          <w:color w:val="232D3C"/>
        </w:rPr>
        <w:t>--</w:t>
      </w:r>
      <w:r w:rsidRPr="00C605FE">
        <w:rPr>
          <w:rFonts w:ascii="Arial" w:hAnsi="Arial" w:cs="Arial"/>
          <w:b/>
          <w:bCs/>
        </w:rPr>
        <w:t>¿Cuál es su aplicación?</w:t>
      </w:r>
    </w:p>
    <w:p w14:paraId="686B0A7D" w14:textId="77777777" w:rsidR="009166F7" w:rsidRPr="00C605FE" w:rsidRDefault="009166F7" w:rsidP="009166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D3C"/>
          <w:sz w:val="24"/>
          <w:szCs w:val="24"/>
          <w:lang w:eastAsia="es-MX"/>
        </w:rPr>
      </w:pPr>
      <w:r w:rsidRPr="00C605FE">
        <w:rPr>
          <w:rFonts w:ascii="Arial" w:eastAsia="Times New Roman" w:hAnsi="Arial" w:cs="Arial"/>
          <w:color w:val="232D3C"/>
          <w:sz w:val="24"/>
          <w:szCs w:val="24"/>
          <w:lang w:eastAsia="es-MX"/>
        </w:rPr>
        <w:t>COBIT sirve para proveer </w:t>
      </w:r>
      <w:r w:rsidRPr="00C605FE">
        <w:rPr>
          <w:rFonts w:ascii="Arial" w:eastAsia="Times New Roman" w:hAnsi="Arial" w:cs="Arial"/>
          <w:b/>
          <w:bCs/>
          <w:color w:val="232D3C"/>
          <w:sz w:val="24"/>
          <w:szCs w:val="24"/>
          <w:lang w:eastAsia="es-MX"/>
        </w:rPr>
        <w:t>gobierno</w:t>
      </w:r>
      <w:r w:rsidRPr="00C605FE">
        <w:rPr>
          <w:rFonts w:ascii="Arial" w:eastAsia="Times New Roman" w:hAnsi="Arial" w:cs="Arial"/>
          <w:color w:val="232D3C"/>
          <w:sz w:val="24"/>
          <w:szCs w:val="24"/>
          <w:lang w:eastAsia="es-MX"/>
        </w:rPr>
        <w:t> y </w:t>
      </w:r>
      <w:r w:rsidRPr="00C605FE">
        <w:rPr>
          <w:rFonts w:ascii="Arial" w:eastAsia="Times New Roman" w:hAnsi="Arial" w:cs="Arial"/>
          <w:b/>
          <w:bCs/>
          <w:color w:val="232D3C"/>
          <w:sz w:val="24"/>
          <w:szCs w:val="24"/>
          <w:lang w:eastAsia="es-MX"/>
        </w:rPr>
        <w:t>gestión </w:t>
      </w:r>
      <w:r w:rsidRPr="00C605FE">
        <w:rPr>
          <w:rFonts w:ascii="Arial" w:eastAsia="Times New Roman" w:hAnsi="Arial" w:cs="Arial"/>
          <w:color w:val="232D3C"/>
          <w:sz w:val="24"/>
          <w:szCs w:val="24"/>
          <w:lang w:eastAsia="es-MX"/>
        </w:rPr>
        <w:t>para la función de TI y hace una clara distinción entre estas dos disciplinas que abarcan distintos tipos de actividades, requieren distintas estructuras organizativas y sirven a diferentes propósitos.</w:t>
      </w:r>
    </w:p>
    <w:p w14:paraId="6D7E597D" w14:textId="77777777" w:rsidR="009166F7" w:rsidRPr="00C605FE" w:rsidRDefault="009166F7" w:rsidP="009166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D3C"/>
          <w:sz w:val="24"/>
          <w:szCs w:val="24"/>
          <w:lang w:eastAsia="es-MX"/>
        </w:rPr>
      </w:pPr>
      <w:r w:rsidRPr="00C605FE">
        <w:rPr>
          <w:rFonts w:ascii="Arial" w:eastAsia="Times New Roman" w:hAnsi="Arial" w:cs="Arial"/>
          <w:color w:val="232D3C"/>
          <w:sz w:val="24"/>
          <w:szCs w:val="24"/>
          <w:lang w:eastAsia="es-MX"/>
        </w:rPr>
        <w:t>El </w:t>
      </w:r>
      <w:r w:rsidRPr="00C605FE">
        <w:rPr>
          <w:rFonts w:ascii="Arial" w:eastAsia="Times New Roman" w:hAnsi="Arial" w:cs="Arial"/>
          <w:b/>
          <w:bCs/>
          <w:color w:val="232D3C"/>
          <w:sz w:val="24"/>
          <w:szCs w:val="24"/>
          <w:lang w:eastAsia="es-MX"/>
        </w:rPr>
        <w:t>gobierno</w:t>
      </w:r>
      <w:r w:rsidRPr="00C605FE">
        <w:rPr>
          <w:rFonts w:ascii="Arial" w:eastAsia="Times New Roman" w:hAnsi="Arial" w:cs="Arial"/>
          <w:color w:val="232D3C"/>
          <w:sz w:val="24"/>
          <w:szCs w:val="24"/>
          <w:lang w:eastAsia="es-MX"/>
        </w:rPr>
        <w:t> asegura que:</w:t>
      </w:r>
    </w:p>
    <w:p w14:paraId="233C08D2" w14:textId="77777777" w:rsidR="009166F7" w:rsidRPr="00C605FE" w:rsidRDefault="009166F7" w:rsidP="009166F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D3C"/>
          <w:sz w:val="24"/>
          <w:szCs w:val="24"/>
          <w:lang w:eastAsia="es-MX"/>
        </w:rPr>
      </w:pPr>
      <w:r w:rsidRPr="00C605FE">
        <w:rPr>
          <w:rFonts w:ascii="Arial" w:eastAsia="Times New Roman" w:hAnsi="Arial" w:cs="Arial"/>
          <w:color w:val="232D3C"/>
          <w:sz w:val="24"/>
          <w:szCs w:val="24"/>
          <w:lang w:eastAsia="es-MX"/>
        </w:rPr>
        <w:t>Las necesidades, condiciones y opciones de las partes interesadas se evalúan para determinar objetivos empresariales equilibrados y acordados.</w:t>
      </w:r>
    </w:p>
    <w:p w14:paraId="512B363B" w14:textId="77777777" w:rsidR="009166F7" w:rsidRPr="00C605FE" w:rsidRDefault="009166F7" w:rsidP="009166F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D3C"/>
          <w:sz w:val="24"/>
          <w:szCs w:val="24"/>
          <w:lang w:eastAsia="es-MX"/>
        </w:rPr>
      </w:pPr>
      <w:r w:rsidRPr="00C605FE">
        <w:rPr>
          <w:rFonts w:ascii="Arial" w:eastAsia="Times New Roman" w:hAnsi="Arial" w:cs="Arial"/>
          <w:color w:val="232D3C"/>
          <w:sz w:val="24"/>
          <w:szCs w:val="24"/>
          <w:lang w:eastAsia="es-MX"/>
        </w:rPr>
        <w:t>La dirección se establece a través de la priorización y la toma de decisiones.</w:t>
      </w:r>
    </w:p>
    <w:p w14:paraId="01CC5C64" w14:textId="77777777" w:rsidR="009166F7" w:rsidRPr="00C605FE" w:rsidRDefault="009166F7" w:rsidP="009166F7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32D3C"/>
          <w:sz w:val="24"/>
          <w:szCs w:val="24"/>
          <w:lang w:eastAsia="es-MX"/>
        </w:rPr>
      </w:pPr>
      <w:r w:rsidRPr="00C605FE">
        <w:rPr>
          <w:rFonts w:ascii="Arial" w:eastAsia="Times New Roman" w:hAnsi="Arial" w:cs="Arial"/>
          <w:color w:val="232D3C"/>
          <w:sz w:val="24"/>
          <w:szCs w:val="24"/>
          <w:lang w:eastAsia="es-MX"/>
        </w:rPr>
        <w:t>El desempeño y el cumplimiento se monitorean en relación con la dirección y los objetivos acordados.</w:t>
      </w:r>
    </w:p>
    <w:p w14:paraId="18010B79" w14:textId="77777777" w:rsidR="009166F7" w:rsidRPr="00C605FE" w:rsidRDefault="009166F7" w:rsidP="009166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D3C"/>
          <w:sz w:val="24"/>
          <w:szCs w:val="24"/>
          <w:lang w:eastAsia="es-MX"/>
        </w:rPr>
      </w:pPr>
      <w:r w:rsidRPr="00C605FE">
        <w:rPr>
          <w:rFonts w:ascii="Arial" w:eastAsia="Times New Roman" w:hAnsi="Arial" w:cs="Arial"/>
          <w:color w:val="232D3C"/>
          <w:sz w:val="24"/>
          <w:szCs w:val="24"/>
          <w:lang w:eastAsia="es-MX"/>
        </w:rPr>
        <w:t>En la mayoría de las empresas, el gobierno en general es responsabilidad de la Junta Directiva o Consejo de Dirección</w:t>
      </w:r>
    </w:p>
    <w:p w14:paraId="7B21DBB3" w14:textId="77777777" w:rsidR="009166F7" w:rsidRPr="00C605FE" w:rsidRDefault="009166F7" w:rsidP="009166F7">
      <w:pPr>
        <w:rPr>
          <w:rFonts w:ascii="Arial" w:hAnsi="Arial" w:cs="Arial"/>
          <w:b/>
          <w:bCs/>
          <w:sz w:val="24"/>
          <w:szCs w:val="24"/>
        </w:rPr>
      </w:pPr>
    </w:p>
    <w:p w14:paraId="5CF66274" w14:textId="6718213F" w:rsidR="009166F7" w:rsidRPr="00C605FE" w:rsidRDefault="009166F7" w:rsidP="009166F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--</w:t>
      </w:r>
      <w:r w:rsidRPr="00C605FE">
        <w:rPr>
          <w:rFonts w:ascii="Arial" w:hAnsi="Arial" w:cs="Arial"/>
          <w:b/>
          <w:bCs/>
          <w:sz w:val="24"/>
          <w:szCs w:val="24"/>
        </w:rPr>
        <w:t>¿Cuáles son sus componentes?</w:t>
      </w:r>
    </w:p>
    <w:p w14:paraId="732BE2DD" w14:textId="77777777" w:rsidR="009166F7" w:rsidRPr="00C605FE" w:rsidRDefault="009166F7" w:rsidP="009166F7">
      <w:pPr>
        <w:shd w:val="clear" w:color="auto" w:fill="FFFFFF"/>
        <w:spacing w:before="480" w:after="480" w:line="240" w:lineRule="auto"/>
        <w:rPr>
          <w:rFonts w:ascii="Arial" w:eastAsia="Times New Roman" w:hAnsi="Arial" w:cs="Arial"/>
          <w:color w:val="121416"/>
          <w:sz w:val="24"/>
          <w:szCs w:val="24"/>
          <w:lang w:eastAsia="es-MX"/>
        </w:rPr>
      </w:pPr>
      <w:r w:rsidRPr="00C605FE">
        <w:rPr>
          <w:rFonts w:ascii="Arial" w:eastAsia="Times New Roman" w:hAnsi="Arial" w:cs="Arial"/>
          <w:color w:val="121416"/>
          <w:sz w:val="24"/>
          <w:szCs w:val="24"/>
          <w:lang w:eastAsia="es-MX"/>
        </w:rPr>
        <w:t>Los cinco componentes principales de COBIT 5 incluyen:</w:t>
      </w:r>
    </w:p>
    <w:p w14:paraId="75AB399C" w14:textId="77777777" w:rsidR="009166F7" w:rsidRPr="00C605FE" w:rsidRDefault="009166F7" w:rsidP="009166F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1416"/>
          <w:sz w:val="24"/>
          <w:szCs w:val="24"/>
          <w:lang w:eastAsia="es-MX"/>
        </w:rPr>
      </w:pPr>
      <w:r w:rsidRPr="00C605FE">
        <w:rPr>
          <w:rFonts w:ascii="Arial" w:eastAsia="Times New Roman" w:hAnsi="Arial" w:cs="Arial"/>
          <w:b/>
          <w:bCs/>
          <w:color w:val="121416"/>
          <w:sz w:val="24"/>
          <w:szCs w:val="24"/>
          <w:lang w:eastAsia="es-MX"/>
        </w:rPr>
        <w:t>Marco</w:t>
      </w:r>
      <w:r w:rsidRPr="00C605FE">
        <w:rPr>
          <w:rFonts w:ascii="Arial" w:eastAsia="Times New Roman" w:hAnsi="Arial" w:cs="Arial"/>
          <w:color w:val="121416"/>
          <w:sz w:val="24"/>
          <w:szCs w:val="24"/>
          <w:lang w:eastAsia="es-MX"/>
        </w:rPr>
        <w:t>: el marco principal de COBIT guía a las organizaciones a través de las mejores prácticas y la estandarización de los procesos de TI y la infraestructura. El objetivo es alinear la TI con los objetivos comerciales generales al poner a TI en la misma página que el resto de la empresa y ayudar a otros ejecutivos y gerentes superiores a comprender mejor los objetivos de TI.</w:t>
      </w:r>
    </w:p>
    <w:p w14:paraId="44CE034B" w14:textId="77777777" w:rsidR="009166F7" w:rsidRPr="00C605FE" w:rsidRDefault="009166F7" w:rsidP="009166F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1416"/>
          <w:sz w:val="24"/>
          <w:szCs w:val="24"/>
          <w:lang w:eastAsia="es-MX"/>
        </w:rPr>
      </w:pPr>
      <w:r w:rsidRPr="00C605FE">
        <w:rPr>
          <w:rFonts w:ascii="Arial" w:eastAsia="Times New Roman" w:hAnsi="Arial" w:cs="Arial"/>
          <w:b/>
          <w:bCs/>
          <w:color w:val="121416"/>
          <w:sz w:val="24"/>
          <w:szCs w:val="24"/>
          <w:lang w:eastAsia="es-MX"/>
        </w:rPr>
        <w:t>Descripciones de los procesos</w:t>
      </w:r>
      <w:r w:rsidRPr="00C605FE">
        <w:rPr>
          <w:rFonts w:ascii="Arial" w:eastAsia="Times New Roman" w:hAnsi="Arial" w:cs="Arial"/>
          <w:color w:val="121416"/>
          <w:sz w:val="24"/>
          <w:szCs w:val="24"/>
          <w:lang w:eastAsia="es-MX"/>
        </w:rPr>
        <w:t>: COBIT incluye un lenguaje que cualquier persona en la organización entenderá, de modo que los CEO, CFO, CIO y otros actores clave comprendan fácilmente la terminología, los procesos y las descripciones. Puede ayudar a establecer un terreno sólido para la comunicación entre TI y departamentos externos.</w:t>
      </w:r>
    </w:p>
    <w:p w14:paraId="2E612432" w14:textId="77777777" w:rsidR="009166F7" w:rsidRPr="00C605FE" w:rsidRDefault="009166F7" w:rsidP="009166F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1416"/>
          <w:sz w:val="24"/>
          <w:szCs w:val="24"/>
          <w:lang w:eastAsia="es-MX"/>
        </w:rPr>
      </w:pPr>
      <w:r w:rsidRPr="00C605FE">
        <w:rPr>
          <w:rFonts w:ascii="Arial" w:eastAsia="Times New Roman" w:hAnsi="Arial" w:cs="Arial"/>
          <w:b/>
          <w:bCs/>
          <w:color w:val="121416"/>
          <w:sz w:val="24"/>
          <w:szCs w:val="24"/>
          <w:lang w:eastAsia="es-MX"/>
        </w:rPr>
        <w:lastRenderedPageBreak/>
        <w:t>Objetivos de control</w:t>
      </w:r>
      <w:r w:rsidRPr="00C605FE">
        <w:rPr>
          <w:rFonts w:ascii="Arial" w:eastAsia="Times New Roman" w:hAnsi="Arial" w:cs="Arial"/>
          <w:color w:val="121416"/>
          <w:sz w:val="24"/>
          <w:szCs w:val="24"/>
          <w:lang w:eastAsia="es-MX"/>
        </w:rPr>
        <w:t>: esta sección ofrece una descripción general de los requisitos de alto nivel que pueden ayudar a desarrollar y mejorar todos los procesos de TI, permitiendo a las empresas adaptarlos a sus propias necesidades y objetivos.</w:t>
      </w:r>
    </w:p>
    <w:p w14:paraId="5FB664BC" w14:textId="77777777" w:rsidR="009166F7" w:rsidRPr="00C605FE" w:rsidRDefault="009166F7" w:rsidP="009166F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1416"/>
          <w:sz w:val="24"/>
          <w:szCs w:val="24"/>
          <w:lang w:eastAsia="es-MX"/>
        </w:rPr>
      </w:pPr>
      <w:r w:rsidRPr="00C605FE">
        <w:rPr>
          <w:rFonts w:ascii="Arial" w:eastAsia="Times New Roman" w:hAnsi="Arial" w:cs="Arial"/>
          <w:b/>
          <w:bCs/>
          <w:color w:val="121416"/>
          <w:sz w:val="24"/>
          <w:szCs w:val="24"/>
          <w:lang w:eastAsia="es-MX"/>
        </w:rPr>
        <w:t>Directrices de gestión</w:t>
      </w:r>
      <w:r w:rsidRPr="00C605FE">
        <w:rPr>
          <w:rFonts w:ascii="Arial" w:eastAsia="Times New Roman" w:hAnsi="Arial" w:cs="Arial"/>
          <w:color w:val="121416"/>
          <w:sz w:val="24"/>
          <w:szCs w:val="24"/>
          <w:lang w:eastAsia="es-MX"/>
        </w:rPr>
        <w:t>: la guía COBIT ofrece mejores prácticas para establecer objetivos, procesar y asignar elementos de tareas o responsabilidades en toda la organización. También proporciona orientación sobre la medición del rendimiento y cómo el marco se puede integrar con otros marcos de gestión de TI.</w:t>
      </w:r>
    </w:p>
    <w:p w14:paraId="73436094" w14:textId="77777777" w:rsidR="009166F7" w:rsidRPr="00C605FE" w:rsidRDefault="009166F7" w:rsidP="009166F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1416"/>
          <w:sz w:val="24"/>
          <w:szCs w:val="24"/>
          <w:lang w:eastAsia="es-MX"/>
        </w:rPr>
      </w:pPr>
      <w:r w:rsidRPr="00C605FE">
        <w:rPr>
          <w:rFonts w:ascii="Arial" w:eastAsia="Times New Roman" w:hAnsi="Arial" w:cs="Arial"/>
          <w:b/>
          <w:bCs/>
          <w:color w:val="121416"/>
          <w:sz w:val="24"/>
          <w:szCs w:val="24"/>
          <w:lang w:eastAsia="es-MX"/>
        </w:rPr>
        <w:t>Modelos de madurez</w:t>
      </w:r>
      <w:r w:rsidRPr="00C605FE">
        <w:rPr>
          <w:rFonts w:ascii="Arial" w:eastAsia="Times New Roman" w:hAnsi="Arial" w:cs="Arial"/>
          <w:color w:val="121416"/>
          <w:sz w:val="24"/>
          <w:szCs w:val="24"/>
          <w:lang w:eastAsia="es-MX"/>
        </w:rPr>
        <w:t>: los modelos de madurez COBIT ayudan a las empresas a evaluar la madurez de su organización, comprender cómo crecerá el proceso con la organización e identificar cualquier problema potencial que pueda surgir en el futuro.</w:t>
      </w:r>
    </w:p>
    <w:p w14:paraId="7ADCF743" w14:textId="77777777" w:rsidR="009166F7" w:rsidRPr="00C605FE" w:rsidRDefault="009166F7" w:rsidP="009166F7">
      <w:pPr>
        <w:rPr>
          <w:rFonts w:ascii="Arial" w:hAnsi="Arial" w:cs="Arial"/>
          <w:sz w:val="24"/>
          <w:szCs w:val="24"/>
        </w:rPr>
      </w:pPr>
    </w:p>
    <w:p w14:paraId="0A06BBF4" w14:textId="279A020C" w:rsidR="009166F7" w:rsidRPr="00C605FE" w:rsidRDefault="009166F7" w:rsidP="009166F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--</w:t>
      </w:r>
      <w:r w:rsidRPr="00C605FE">
        <w:rPr>
          <w:rFonts w:ascii="Arial" w:hAnsi="Arial" w:cs="Arial"/>
          <w:b/>
          <w:bCs/>
          <w:sz w:val="24"/>
          <w:szCs w:val="24"/>
        </w:rPr>
        <w:t>¿Cuáles son sus principios?</w:t>
      </w:r>
    </w:p>
    <w:p w14:paraId="3F6547CC" w14:textId="77777777" w:rsidR="009166F7" w:rsidRPr="00C605FE" w:rsidRDefault="009166F7" w:rsidP="009166F7">
      <w:pPr>
        <w:shd w:val="clear" w:color="auto" w:fill="FFFFFF"/>
        <w:spacing w:before="480" w:after="480" w:line="240" w:lineRule="auto"/>
        <w:rPr>
          <w:rFonts w:ascii="Arial" w:eastAsia="Times New Roman" w:hAnsi="Arial" w:cs="Arial"/>
          <w:color w:val="121416"/>
          <w:sz w:val="24"/>
          <w:szCs w:val="24"/>
          <w:lang w:eastAsia="es-MX"/>
        </w:rPr>
      </w:pPr>
      <w:r w:rsidRPr="00C605FE">
        <w:rPr>
          <w:rFonts w:ascii="Arial" w:eastAsia="Times New Roman" w:hAnsi="Arial" w:cs="Arial"/>
          <w:color w:val="121416"/>
          <w:sz w:val="24"/>
          <w:szCs w:val="24"/>
          <w:lang w:eastAsia="es-MX"/>
        </w:rPr>
        <w:t>Los 5 principios clave de COBIT 5, según el ISACA:</w:t>
      </w:r>
    </w:p>
    <w:p w14:paraId="2B8033E1" w14:textId="77777777" w:rsidR="009166F7" w:rsidRPr="00C605FE" w:rsidRDefault="009166F7" w:rsidP="009166F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1416"/>
          <w:sz w:val="24"/>
          <w:szCs w:val="24"/>
          <w:lang w:eastAsia="es-MX"/>
        </w:rPr>
      </w:pPr>
      <w:r w:rsidRPr="00C605FE">
        <w:rPr>
          <w:rFonts w:ascii="Arial" w:eastAsia="Times New Roman" w:hAnsi="Arial" w:cs="Arial"/>
          <w:color w:val="121416"/>
          <w:sz w:val="24"/>
          <w:szCs w:val="24"/>
          <w:lang w:eastAsia="es-MX"/>
        </w:rPr>
        <w:t>Cumplir con las necesidades clave de los interesados</w:t>
      </w:r>
    </w:p>
    <w:p w14:paraId="7052FF40" w14:textId="77777777" w:rsidR="009166F7" w:rsidRPr="00C605FE" w:rsidRDefault="009166F7" w:rsidP="009166F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1416"/>
          <w:sz w:val="24"/>
          <w:szCs w:val="24"/>
          <w:lang w:eastAsia="es-MX"/>
        </w:rPr>
      </w:pPr>
      <w:r w:rsidRPr="00C605FE">
        <w:rPr>
          <w:rFonts w:ascii="Arial" w:eastAsia="Times New Roman" w:hAnsi="Arial" w:cs="Arial"/>
          <w:color w:val="121416"/>
          <w:sz w:val="24"/>
          <w:szCs w:val="24"/>
          <w:lang w:eastAsia="es-MX"/>
        </w:rPr>
        <w:t>Cubrir la empresa de extremo a extremo</w:t>
      </w:r>
    </w:p>
    <w:p w14:paraId="3B172326" w14:textId="77777777" w:rsidR="009166F7" w:rsidRPr="00C605FE" w:rsidRDefault="009166F7" w:rsidP="009166F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1416"/>
          <w:sz w:val="24"/>
          <w:szCs w:val="24"/>
          <w:lang w:eastAsia="es-MX"/>
        </w:rPr>
      </w:pPr>
      <w:r w:rsidRPr="00C605FE">
        <w:rPr>
          <w:rFonts w:ascii="Arial" w:eastAsia="Times New Roman" w:hAnsi="Arial" w:cs="Arial"/>
          <w:color w:val="121416"/>
          <w:sz w:val="24"/>
          <w:szCs w:val="24"/>
          <w:lang w:eastAsia="es-MX"/>
        </w:rPr>
        <w:t>Integrar múltiples marcos bajo un paraguas</w:t>
      </w:r>
    </w:p>
    <w:p w14:paraId="01AC4E09" w14:textId="77777777" w:rsidR="009166F7" w:rsidRPr="00C605FE" w:rsidRDefault="009166F7" w:rsidP="009166F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1416"/>
          <w:sz w:val="24"/>
          <w:szCs w:val="24"/>
          <w:lang w:eastAsia="es-MX"/>
        </w:rPr>
      </w:pPr>
      <w:r w:rsidRPr="00C605FE">
        <w:rPr>
          <w:rFonts w:ascii="Arial" w:eastAsia="Times New Roman" w:hAnsi="Arial" w:cs="Arial"/>
          <w:color w:val="121416"/>
          <w:sz w:val="24"/>
          <w:szCs w:val="24"/>
          <w:lang w:eastAsia="es-MX"/>
        </w:rPr>
        <w:t>Fomentar un enfoque holístico para los negocios</w:t>
      </w:r>
    </w:p>
    <w:p w14:paraId="4A3A71F5" w14:textId="77777777" w:rsidR="009166F7" w:rsidRPr="00C605FE" w:rsidRDefault="009166F7" w:rsidP="009166F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21416"/>
          <w:sz w:val="24"/>
          <w:szCs w:val="24"/>
          <w:lang w:eastAsia="es-MX"/>
        </w:rPr>
      </w:pPr>
      <w:r w:rsidRPr="00C605FE">
        <w:rPr>
          <w:rFonts w:ascii="Arial" w:eastAsia="Times New Roman" w:hAnsi="Arial" w:cs="Arial"/>
          <w:color w:val="121416"/>
          <w:sz w:val="24"/>
          <w:szCs w:val="24"/>
          <w:lang w:eastAsia="es-MX"/>
        </w:rPr>
        <w:t>Alejar el gobierno de la administración</w:t>
      </w:r>
    </w:p>
    <w:p w14:paraId="3F3290CF" w14:textId="77777777" w:rsidR="009166F7" w:rsidRPr="00C605FE" w:rsidRDefault="009166F7" w:rsidP="009166F7">
      <w:pPr>
        <w:rPr>
          <w:rFonts w:ascii="Arial" w:hAnsi="Arial" w:cs="Arial"/>
          <w:sz w:val="24"/>
          <w:szCs w:val="24"/>
        </w:rPr>
      </w:pPr>
    </w:p>
    <w:p w14:paraId="11EA26A6" w14:textId="636AED7A" w:rsidR="009166F7" w:rsidRPr="00C605FE" w:rsidRDefault="009166F7" w:rsidP="009166F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--</w:t>
      </w:r>
      <w:r w:rsidRPr="00C605FE">
        <w:rPr>
          <w:rFonts w:ascii="Arial" w:hAnsi="Arial" w:cs="Arial"/>
          <w:b/>
          <w:bCs/>
          <w:sz w:val="24"/>
          <w:szCs w:val="24"/>
        </w:rPr>
        <w:t>¿Qué ventajas tiene sobre el modelo COSO?</w:t>
      </w:r>
    </w:p>
    <w:p w14:paraId="5ED972CA" w14:textId="77777777" w:rsidR="009166F7" w:rsidRPr="00C605FE" w:rsidRDefault="009166F7" w:rsidP="009166F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es-MX"/>
        </w:rPr>
      </w:pPr>
      <w:r w:rsidRPr="00C605FE">
        <w:rPr>
          <w:rFonts w:ascii="Arial" w:eastAsia="Times New Roman" w:hAnsi="Arial" w:cs="Arial"/>
          <w:b/>
          <w:bCs/>
          <w:color w:val="090808"/>
          <w:sz w:val="24"/>
          <w:szCs w:val="24"/>
          <w:lang w:eastAsia="es-MX"/>
        </w:rPr>
        <w:t>Ofrece visión clara de TI</w:t>
      </w:r>
      <w:r w:rsidRPr="00C605FE">
        <w:rPr>
          <w:rFonts w:ascii="Arial" w:eastAsia="Times New Roman" w:hAnsi="Arial" w:cs="Arial"/>
          <w:color w:val="404040"/>
          <w:sz w:val="24"/>
          <w:szCs w:val="24"/>
          <w:lang w:eastAsia="es-MX"/>
        </w:rPr>
        <w:t>: Genera una serie de metas de negocio, ofreciendo procesos conforme los requerimientos del negocio.</w:t>
      </w:r>
    </w:p>
    <w:p w14:paraId="571589F8" w14:textId="77777777" w:rsidR="009166F7" w:rsidRPr="00C605FE" w:rsidRDefault="009166F7" w:rsidP="009166F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es-MX"/>
        </w:rPr>
      </w:pPr>
      <w:r w:rsidRPr="00C605FE">
        <w:rPr>
          <w:rFonts w:ascii="Arial" w:eastAsia="Times New Roman" w:hAnsi="Arial" w:cs="Arial"/>
          <w:b/>
          <w:bCs/>
          <w:color w:val="090808"/>
          <w:sz w:val="24"/>
          <w:szCs w:val="24"/>
          <w:lang w:eastAsia="es-MX"/>
        </w:rPr>
        <w:t>Define propiedades y responsabilidades claras</w:t>
      </w:r>
      <w:r w:rsidRPr="00C605FE">
        <w:rPr>
          <w:rFonts w:ascii="Arial" w:eastAsia="Times New Roman" w:hAnsi="Arial" w:cs="Arial"/>
          <w:color w:val="404040"/>
          <w:sz w:val="24"/>
          <w:szCs w:val="24"/>
          <w:lang w:eastAsia="es-MX"/>
        </w:rPr>
        <w:t>: Basa sus procesos en el aprovechamiento de las habilidades de las personas y de la infraestructura, con roles y responsabilidades claras.</w:t>
      </w:r>
    </w:p>
    <w:p w14:paraId="705AE015" w14:textId="77777777" w:rsidR="009166F7" w:rsidRPr="00C605FE" w:rsidRDefault="009166F7" w:rsidP="009166F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es-MX"/>
        </w:rPr>
      </w:pPr>
      <w:r w:rsidRPr="00C605FE">
        <w:rPr>
          <w:rFonts w:ascii="Arial" w:eastAsia="Times New Roman" w:hAnsi="Arial" w:cs="Arial"/>
          <w:b/>
          <w:bCs/>
          <w:color w:val="090808"/>
          <w:sz w:val="24"/>
          <w:szCs w:val="24"/>
          <w:lang w:eastAsia="es-MX"/>
        </w:rPr>
        <w:t>Perfecciona la gestión del desempeño</w:t>
      </w:r>
      <w:r w:rsidRPr="00C605FE">
        <w:rPr>
          <w:rFonts w:ascii="Arial" w:eastAsia="Times New Roman" w:hAnsi="Arial" w:cs="Arial"/>
          <w:color w:val="404040"/>
          <w:sz w:val="24"/>
          <w:szCs w:val="24"/>
          <w:lang w:eastAsia="es-MX"/>
        </w:rPr>
        <w:t>: Permite que se evalúe el rendimiento de cada una de las funciones que comprenden la organización u empresa, para identificar las falencias y poder anular los procesos innecesarios, optimizando recursos y potencializando aquellos que aportan valor al negocio.</w:t>
      </w:r>
    </w:p>
    <w:p w14:paraId="69538288" w14:textId="77777777" w:rsidR="009166F7" w:rsidRPr="00C605FE" w:rsidRDefault="009166F7" w:rsidP="009166F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es-MX"/>
        </w:rPr>
      </w:pPr>
      <w:r w:rsidRPr="00C605FE">
        <w:rPr>
          <w:rFonts w:ascii="Arial" w:eastAsia="Times New Roman" w:hAnsi="Arial" w:cs="Arial"/>
          <w:b/>
          <w:bCs/>
          <w:color w:val="090808"/>
          <w:sz w:val="24"/>
          <w:szCs w:val="24"/>
          <w:lang w:eastAsia="es-MX"/>
        </w:rPr>
        <w:t>Aumenta la confianza en el sistema de información empresarial</w:t>
      </w:r>
      <w:r w:rsidRPr="00C605FE">
        <w:rPr>
          <w:rFonts w:ascii="Arial" w:eastAsia="Times New Roman" w:hAnsi="Arial" w:cs="Arial"/>
          <w:color w:val="404040"/>
          <w:sz w:val="24"/>
          <w:szCs w:val="24"/>
          <w:lang w:eastAsia="es-MX"/>
        </w:rPr>
        <w:t>: Crea y gestiona planes alcanzables y equilibrados, y cada uno de sus principios y procesos mejora la productividad de las redes de información, evitando poner en riesgo la seguridad de la información; esto genera confianza en las empresas.</w:t>
      </w:r>
    </w:p>
    <w:p w14:paraId="43C393D1" w14:textId="77777777" w:rsidR="009166F7" w:rsidRPr="00C605FE" w:rsidRDefault="009166F7" w:rsidP="009166F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es-MX"/>
        </w:rPr>
      </w:pPr>
      <w:r w:rsidRPr="00C605FE">
        <w:rPr>
          <w:rFonts w:ascii="Arial" w:eastAsia="Times New Roman" w:hAnsi="Arial" w:cs="Arial"/>
          <w:b/>
          <w:bCs/>
          <w:color w:val="090808"/>
          <w:sz w:val="24"/>
          <w:szCs w:val="24"/>
          <w:lang w:eastAsia="es-MX"/>
        </w:rPr>
        <w:lastRenderedPageBreak/>
        <w:t>Provee un modelo</w:t>
      </w:r>
      <w:hyperlink r:id="rId12" w:anchor="_msocom_1" w:history="1">
        <w:r w:rsidRPr="00C605FE">
          <w:rPr>
            <w:rFonts w:ascii="Arial" w:eastAsia="Times New Roman" w:hAnsi="Arial" w:cs="Arial"/>
            <w:b/>
            <w:bCs/>
            <w:color w:val="430098"/>
            <w:sz w:val="24"/>
            <w:szCs w:val="24"/>
            <w:u w:val="single"/>
            <w:lang w:eastAsia="es-MX"/>
          </w:rPr>
          <w:t> </w:t>
        </w:r>
      </w:hyperlink>
      <w:r w:rsidRPr="00C605FE">
        <w:rPr>
          <w:rFonts w:ascii="Arial" w:eastAsia="Times New Roman" w:hAnsi="Arial" w:cs="Arial"/>
          <w:b/>
          <w:bCs/>
          <w:color w:val="090808"/>
          <w:sz w:val="24"/>
          <w:szCs w:val="24"/>
          <w:lang w:eastAsia="es-MX"/>
        </w:rPr>
        <w:t>abierto y flexible</w:t>
      </w:r>
      <w:r w:rsidRPr="00C605FE">
        <w:rPr>
          <w:rFonts w:ascii="Arial" w:eastAsia="Times New Roman" w:hAnsi="Arial" w:cs="Arial"/>
          <w:color w:val="404040"/>
          <w:sz w:val="24"/>
          <w:szCs w:val="24"/>
          <w:lang w:eastAsia="es-MX"/>
        </w:rPr>
        <w:t>: Esta es una de sus principales características, por medio del cual se actualiza constantemente y se adapta con facilidad a los cambios y a las preferencias o necesidades de los usuarios.</w:t>
      </w:r>
    </w:p>
    <w:p w14:paraId="410A8ECB" w14:textId="77777777" w:rsidR="009166F7" w:rsidRPr="00C605FE" w:rsidRDefault="009166F7" w:rsidP="009166F7">
      <w:pPr>
        <w:rPr>
          <w:rFonts w:ascii="Arial" w:hAnsi="Arial" w:cs="Arial"/>
          <w:sz w:val="24"/>
          <w:szCs w:val="24"/>
        </w:rPr>
      </w:pPr>
    </w:p>
    <w:p w14:paraId="4D14E1BB" w14:textId="6AFA9A6F" w:rsidR="009166F7" w:rsidRDefault="009166F7" w:rsidP="009166F7">
      <w:pPr>
        <w:rPr>
          <w:rFonts w:ascii="Arial" w:hAnsi="Arial" w:cs="Arial"/>
          <w:b/>
          <w:bCs/>
          <w:sz w:val="24"/>
          <w:szCs w:val="24"/>
        </w:rPr>
      </w:pPr>
      <w:r w:rsidRPr="00C605FE">
        <w:rPr>
          <w:rFonts w:ascii="Arial" w:hAnsi="Arial" w:cs="Arial"/>
          <w:b/>
          <w:bCs/>
          <w:sz w:val="24"/>
          <w:szCs w:val="24"/>
        </w:rPr>
        <w:t xml:space="preserve">Fuentes de información </w:t>
      </w:r>
    </w:p>
    <w:p w14:paraId="2B038D69" w14:textId="77777777" w:rsidR="009166F7" w:rsidRPr="00C605FE" w:rsidRDefault="009166F7" w:rsidP="009166F7">
      <w:pPr>
        <w:rPr>
          <w:rFonts w:ascii="Arial" w:hAnsi="Arial" w:cs="Arial"/>
          <w:b/>
          <w:bCs/>
          <w:sz w:val="24"/>
          <w:szCs w:val="24"/>
        </w:rPr>
      </w:pPr>
    </w:p>
    <w:p w14:paraId="5BDD93CC" w14:textId="0B919480" w:rsidR="009166F7" w:rsidRDefault="009166F7" w:rsidP="009166F7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Junior, A. (2017, 28 diciembre). </w:t>
      </w:r>
      <w:r>
        <w:rPr>
          <w:i/>
          <w:iCs/>
        </w:rPr>
        <w:t>¿Qué es COBIT? Y para qué sirve</w:t>
      </w:r>
      <w:r>
        <w:t xml:space="preserve">. </w:t>
      </w:r>
      <w:proofErr w:type="spellStart"/>
      <w:r>
        <w:t>Adictec</w:t>
      </w:r>
      <w:proofErr w:type="spellEnd"/>
      <w:r>
        <w:t xml:space="preserve"> - Adicción por la tecnología. Recuperado 13 de octubre de 2022, de https://adictec.com/que-es-cobit-y-para-que-sirve/</w:t>
      </w:r>
    </w:p>
    <w:p w14:paraId="5E7BE65A" w14:textId="77777777" w:rsidR="009166F7" w:rsidRDefault="009166F7" w:rsidP="009166F7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Soporte, M. (2022, 28 julio). </w:t>
      </w:r>
      <w:r>
        <w:rPr>
          <w:i/>
          <w:iCs/>
        </w:rPr>
        <w:t>El COBIT 2019 una forma de auditar la gestión e información</w:t>
      </w:r>
      <w:r>
        <w:t xml:space="preserve">. Grupo </w:t>
      </w:r>
      <w:proofErr w:type="spellStart"/>
      <w:r>
        <w:t>Cynthus</w:t>
      </w:r>
      <w:proofErr w:type="spellEnd"/>
      <w:r>
        <w:t>. Recuperado 13 de octubre de 2022, de https://www.cynthus.com.mx/que-es-cobit-beneficios/</w:t>
      </w:r>
    </w:p>
    <w:p w14:paraId="52410474" w14:textId="77777777" w:rsidR="009166F7" w:rsidRDefault="009166F7" w:rsidP="009166F7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Villamizar, C. (2022, 19 mayo). </w:t>
      </w:r>
      <w:r>
        <w:rPr>
          <w:i/>
          <w:iCs/>
        </w:rPr>
        <w:t>¿Qué es COBIT y para qué sirve?</w:t>
      </w:r>
      <w:r>
        <w:t xml:space="preserve"> </w:t>
      </w:r>
      <w:proofErr w:type="spellStart"/>
      <w:r>
        <w:t>GlobalSuite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>. Recuperado 13 de octubre de 2022, de https://www.globalsuitesolutions.com/es/que-es-cobit/</w:t>
      </w:r>
    </w:p>
    <w:p w14:paraId="7B9D8F60" w14:textId="2354B65A" w:rsidR="00533DFC" w:rsidRPr="00533DFC" w:rsidRDefault="00533DFC" w:rsidP="00533DFC">
      <w:pPr>
        <w:pStyle w:val="NormalWeb"/>
        <w:spacing w:line="480" w:lineRule="auto"/>
        <w:ind w:hanging="720"/>
        <w:rPr>
          <w:rFonts w:ascii="Arial" w:hAnsi="Arial" w:cs="Arial"/>
        </w:rPr>
      </w:pPr>
    </w:p>
    <w:sectPr w:rsidR="00533DFC" w:rsidRPr="00533DFC" w:rsidSect="008E2DD7">
      <w:footerReference w:type="default" r:id="rId13"/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352A6" w14:textId="77777777" w:rsidR="00343B1D" w:rsidRDefault="00343B1D" w:rsidP="00CB6DBE">
      <w:pPr>
        <w:spacing w:after="0" w:line="240" w:lineRule="auto"/>
      </w:pPr>
      <w:r>
        <w:separator/>
      </w:r>
    </w:p>
  </w:endnote>
  <w:endnote w:type="continuationSeparator" w:id="0">
    <w:p w14:paraId="5EFD1818" w14:textId="77777777" w:rsidR="00343B1D" w:rsidRDefault="00343B1D" w:rsidP="00CB6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1713745"/>
      <w:docPartObj>
        <w:docPartGallery w:val="Page Numbers (Bottom of Page)"/>
        <w:docPartUnique/>
      </w:docPartObj>
    </w:sdtPr>
    <w:sdtContent>
      <w:p w14:paraId="53EE5894" w14:textId="2FBF90D1" w:rsidR="0004199F" w:rsidRDefault="0004199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FB92999" w14:textId="77777777" w:rsidR="00F00D3E" w:rsidRDefault="00F00D3E" w:rsidP="00F00D3E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D7F63" w14:textId="77777777" w:rsidR="00343B1D" w:rsidRDefault="00343B1D" w:rsidP="00CB6DBE">
      <w:pPr>
        <w:spacing w:after="0" w:line="240" w:lineRule="auto"/>
      </w:pPr>
      <w:r>
        <w:separator/>
      </w:r>
    </w:p>
  </w:footnote>
  <w:footnote w:type="continuationSeparator" w:id="0">
    <w:p w14:paraId="4AE0D23C" w14:textId="77777777" w:rsidR="00343B1D" w:rsidRDefault="00343B1D" w:rsidP="00CB6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87567"/>
    <w:multiLevelType w:val="hybridMultilevel"/>
    <w:tmpl w:val="9BB8619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38D6"/>
    <w:multiLevelType w:val="hybridMultilevel"/>
    <w:tmpl w:val="C2D2878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026EF"/>
    <w:multiLevelType w:val="hybridMultilevel"/>
    <w:tmpl w:val="B27235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06B01"/>
    <w:multiLevelType w:val="multilevel"/>
    <w:tmpl w:val="C578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C32610"/>
    <w:multiLevelType w:val="multilevel"/>
    <w:tmpl w:val="EFAAD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0668B2"/>
    <w:multiLevelType w:val="multilevel"/>
    <w:tmpl w:val="8402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302769"/>
    <w:multiLevelType w:val="multilevel"/>
    <w:tmpl w:val="3510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D739A5"/>
    <w:multiLevelType w:val="hybridMultilevel"/>
    <w:tmpl w:val="9872E16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BA1F59"/>
    <w:multiLevelType w:val="multilevel"/>
    <w:tmpl w:val="956A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652B91"/>
    <w:multiLevelType w:val="multilevel"/>
    <w:tmpl w:val="45D8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5F6100"/>
    <w:multiLevelType w:val="hybridMultilevel"/>
    <w:tmpl w:val="5BC629B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155607"/>
    <w:multiLevelType w:val="multilevel"/>
    <w:tmpl w:val="1788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A92AAA"/>
    <w:multiLevelType w:val="hybridMultilevel"/>
    <w:tmpl w:val="CCCC6D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AD72F5"/>
    <w:multiLevelType w:val="multilevel"/>
    <w:tmpl w:val="EA5E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EC789E"/>
    <w:multiLevelType w:val="multilevel"/>
    <w:tmpl w:val="3E96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7A48AB"/>
    <w:multiLevelType w:val="multilevel"/>
    <w:tmpl w:val="2D70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551588"/>
    <w:multiLevelType w:val="multilevel"/>
    <w:tmpl w:val="58F0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AEA350F"/>
    <w:multiLevelType w:val="multilevel"/>
    <w:tmpl w:val="91B6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3258163">
    <w:abstractNumId w:val="5"/>
  </w:num>
  <w:num w:numId="2" w16cid:durableId="1838497262">
    <w:abstractNumId w:val="3"/>
  </w:num>
  <w:num w:numId="3" w16cid:durableId="1291936079">
    <w:abstractNumId w:val="15"/>
  </w:num>
  <w:num w:numId="4" w16cid:durableId="210849836">
    <w:abstractNumId w:val="17"/>
  </w:num>
  <w:num w:numId="5" w16cid:durableId="551575203">
    <w:abstractNumId w:val="14"/>
  </w:num>
  <w:num w:numId="6" w16cid:durableId="1659964218">
    <w:abstractNumId w:val="11"/>
  </w:num>
  <w:num w:numId="7" w16cid:durableId="1539271876">
    <w:abstractNumId w:val="9"/>
  </w:num>
  <w:num w:numId="8" w16cid:durableId="2091731173">
    <w:abstractNumId w:val="13"/>
  </w:num>
  <w:num w:numId="9" w16cid:durableId="2067794405">
    <w:abstractNumId w:val="12"/>
  </w:num>
  <w:num w:numId="10" w16cid:durableId="2024747464">
    <w:abstractNumId w:val="2"/>
  </w:num>
  <w:num w:numId="11" w16cid:durableId="946036152">
    <w:abstractNumId w:val="10"/>
  </w:num>
  <w:num w:numId="12" w16cid:durableId="1603955337">
    <w:abstractNumId w:val="0"/>
  </w:num>
  <w:num w:numId="13" w16cid:durableId="1853493441">
    <w:abstractNumId w:val="1"/>
  </w:num>
  <w:num w:numId="14" w16cid:durableId="1905526685">
    <w:abstractNumId w:val="7"/>
  </w:num>
  <w:num w:numId="15" w16cid:durableId="1894190989">
    <w:abstractNumId w:val="16"/>
  </w:num>
  <w:num w:numId="16" w16cid:durableId="1485580735">
    <w:abstractNumId w:val="8"/>
  </w:num>
  <w:num w:numId="17" w16cid:durableId="1167087259">
    <w:abstractNumId w:val="4"/>
  </w:num>
  <w:num w:numId="18" w16cid:durableId="10634809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23"/>
    <w:rsid w:val="00002DE2"/>
    <w:rsid w:val="00005577"/>
    <w:rsid w:val="00010A14"/>
    <w:rsid w:val="000173ED"/>
    <w:rsid w:val="00036BC6"/>
    <w:rsid w:val="0003735D"/>
    <w:rsid w:val="00037D5B"/>
    <w:rsid w:val="0004199F"/>
    <w:rsid w:val="00054AE8"/>
    <w:rsid w:val="00056AAB"/>
    <w:rsid w:val="00072E8A"/>
    <w:rsid w:val="000823EE"/>
    <w:rsid w:val="000A0088"/>
    <w:rsid w:val="000B081A"/>
    <w:rsid w:val="000B341B"/>
    <w:rsid w:val="000D60E8"/>
    <w:rsid w:val="000E286F"/>
    <w:rsid w:val="000F4010"/>
    <w:rsid w:val="00100BF0"/>
    <w:rsid w:val="00111789"/>
    <w:rsid w:val="0011354A"/>
    <w:rsid w:val="001150DF"/>
    <w:rsid w:val="00133F9D"/>
    <w:rsid w:val="00153667"/>
    <w:rsid w:val="00187AD9"/>
    <w:rsid w:val="001935F7"/>
    <w:rsid w:val="0019691D"/>
    <w:rsid w:val="001A01DD"/>
    <w:rsid w:val="001A3307"/>
    <w:rsid w:val="001B26A2"/>
    <w:rsid w:val="001E4150"/>
    <w:rsid w:val="00201E12"/>
    <w:rsid w:val="002454EB"/>
    <w:rsid w:val="00250D40"/>
    <w:rsid w:val="00256ED9"/>
    <w:rsid w:val="00263813"/>
    <w:rsid w:val="00287637"/>
    <w:rsid w:val="002A012C"/>
    <w:rsid w:val="002C06C1"/>
    <w:rsid w:val="002D0338"/>
    <w:rsid w:val="002D3725"/>
    <w:rsid w:val="002E3219"/>
    <w:rsid w:val="002E50B9"/>
    <w:rsid w:val="002E50CF"/>
    <w:rsid w:val="002E73BF"/>
    <w:rsid w:val="003059C1"/>
    <w:rsid w:val="00311F04"/>
    <w:rsid w:val="003325F2"/>
    <w:rsid w:val="00343B1D"/>
    <w:rsid w:val="003445BD"/>
    <w:rsid w:val="00345BE5"/>
    <w:rsid w:val="0035036E"/>
    <w:rsid w:val="00352918"/>
    <w:rsid w:val="00354216"/>
    <w:rsid w:val="00365D99"/>
    <w:rsid w:val="003719D6"/>
    <w:rsid w:val="00382A77"/>
    <w:rsid w:val="0038630C"/>
    <w:rsid w:val="00387444"/>
    <w:rsid w:val="003A5D64"/>
    <w:rsid w:val="003B4E6E"/>
    <w:rsid w:val="003D2446"/>
    <w:rsid w:val="003F2554"/>
    <w:rsid w:val="004133B2"/>
    <w:rsid w:val="0041794C"/>
    <w:rsid w:val="0043123A"/>
    <w:rsid w:val="00436BE5"/>
    <w:rsid w:val="00451626"/>
    <w:rsid w:val="004550EE"/>
    <w:rsid w:val="00455FD1"/>
    <w:rsid w:val="00457271"/>
    <w:rsid w:val="00470814"/>
    <w:rsid w:val="00475832"/>
    <w:rsid w:val="004B6409"/>
    <w:rsid w:val="004B7678"/>
    <w:rsid w:val="004C2014"/>
    <w:rsid w:val="004C4E68"/>
    <w:rsid w:val="004E085D"/>
    <w:rsid w:val="004E1C3B"/>
    <w:rsid w:val="005063BF"/>
    <w:rsid w:val="00507660"/>
    <w:rsid w:val="00515887"/>
    <w:rsid w:val="00531D72"/>
    <w:rsid w:val="00533DFC"/>
    <w:rsid w:val="00544570"/>
    <w:rsid w:val="005448F5"/>
    <w:rsid w:val="00550FAE"/>
    <w:rsid w:val="00553309"/>
    <w:rsid w:val="00555EF9"/>
    <w:rsid w:val="00556696"/>
    <w:rsid w:val="00576860"/>
    <w:rsid w:val="00584374"/>
    <w:rsid w:val="00596D50"/>
    <w:rsid w:val="005A2D86"/>
    <w:rsid w:val="005B4D31"/>
    <w:rsid w:val="005C3365"/>
    <w:rsid w:val="005C718D"/>
    <w:rsid w:val="00602A85"/>
    <w:rsid w:val="006105FF"/>
    <w:rsid w:val="00615D18"/>
    <w:rsid w:val="00616637"/>
    <w:rsid w:val="00643396"/>
    <w:rsid w:val="00645789"/>
    <w:rsid w:val="00673013"/>
    <w:rsid w:val="00673D9F"/>
    <w:rsid w:val="00675B7F"/>
    <w:rsid w:val="00691A42"/>
    <w:rsid w:val="006A2893"/>
    <w:rsid w:val="006A6B2A"/>
    <w:rsid w:val="006C0290"/>
    <w:rsid w:val="006C33A7"/>
    <w:rsid w:val="006F171F"/>
    <w:rsid w:val="006F4738"/>
    <w:rsid w:val="006F5AEC"/>
    <w:rsid w:val="00705758"/>
    <w:rsid w:val="0071296D"/>
    <w:rsid w:val="00746724"/>
    <w:rsid w:val="00753F57"/>
    <w:rsid w:val="00756393"/>
    <w:rsid w:val="00765A28"/>
    <w:rsid w:val="00777CB6"/>
    <w:rsid w:val="007928C0"/>
    <w:rsid w:val="007956D3"/>
    <w:rsid w:val="00796254"/>
    <w:rsid w:val="0079644B"/>
    <w:rsid w:val="007B3A22"/>
    <w:rsid w:val="007B6788"/>
    <w:rsid w:val="007B77BA"/>
    <w:rsid w:val="007C61CE"/>
    <w:rsid w:val="008023B7"/>
    <w:rsid w:val="00841BFC"/>
    <w:rsid w:val="0085682C"/>
    <w:rsid w:val="00864FA5"/>
    <w:rsid w:val="008722C3"/>
    <w:rsid w:val="00886693"/>
    <w:rsid w:val="00892B21"/>
    <w:rsid w:val="008A16F2"/>
    <w:rsid w:val="008A7A45"/>
    <w:rsid w:val="008B2E7D"/>
    <w:rsid w:val="008C21D6"/>
    <w:rsid w:val="008C599B"/>
    <w:rsid w:val="008E2816"/>
    <w:rsid w:val="008E2DD7"/>
    <w:rsid w:val="008E7F30"/>
    <w:rsid w:val="0090363E"/>
    <w:rsid w:val="009166F7"/>
    <w:rsid w:val="009277E9"/>
    <w:rsid w:val="00933F99"/>
    <w:rsid w:val="00952149"/>
    <w:rsid w:val="0096057E"/>
    <w:rsid w:val="009B111E"/>
    <w:rsid w:val="009B5056"/>
    <w:rsid w:val="009B7E68"/>
    <w:rsid w:val="009D22A2"/>
    <w:rsid w:val="009E0A6F"/>
    <w:rsid w:val="009E1435"/>
    <w:rsid w:val="00A00F98"/>
    <w:rsid w:val="00A1169D"/>
    <w:rsid w:val="00A15FBF"/>
    <w:rsid w:val="00A5533E"/>
    <w:rsid w:val="00A82487"/>
    <w:rsid w:val="00A87DC9"/>
    <w:rsid w:val="00A95785"/>
    <w:rsid w:val="00AB6CF7"/>
    <w:rsid w:val="00AC0801"/>
    <w:rsid w:val="00AD5123"/>
    <w:rsid w:val="00AE069A"/>
    <w:rsid w:val="00B2706E"/>
    <w:rsid w:val="00B5728E"/>
    <w:rsid w:val="00B57733"/>
    <w:rsid w:val="00B60DB9"/>
    <w:rsid w:val="00B9232F"/>
    <w:rsid w:val="00BB1558"/>
    <w:rsid w:val="00BB38B5"/>
    <w:rsid w:val="00BB3A44"/>
    <w:rsid w:val="00BC6F3E"/>
    <w:rsid w:val="00BD14E7"/>
    <w:rsid w:val="00BD4BDE"/>
    <w:rsid w:val="00BD7525"/>
    <w:rsid w:val="00BE324A"/>
    <w:rsid w:val="00C06730"/>
    <w:rsid w:val="00C4409E"/>
    <w:rsid w:val="00C83B54"/>
    <w:rsid w:val="00C86B53"/>
    <w:rsid w:val="00C9430B"/>
    <w:rsid w:val="00CA0EB3"/>
    <w:rsid w:val="00CB6DBE"/>
    <w:rsid w:val="00CD715B"/>
    <w:rsid w:val="00CD7A29"/>
    <w:rsid w:val="00CE7C22"/>
    <w:rsid w:val="00D0750A"/>
    <w:rsid w:val="00D26301"/>
    <w:rsid w:val="00D42E46"/>
    <w:rsid w:val="00D51DD9"/>
    <w:rsid w:val="00D871AF"/>
    <w:rsid w:val="00DA29E2"/>
    <w:rsid w:val="00DC651F"/>
    <w:rsid w:val="00DD109A"/>
    <w:rsid w:val="00DD2FE3"/>
    <w:rsid w:val="00DF7D46"/>
    <w:rsid w:val="00E00526"/>
    <w:rsid w:val="00E14856"/>
    <w:rsid w:val="00E24AB1"/>
    <w:rsid w:val="00E35726"/>
    <w:rsid w:val="00E37269"/>
    <w:rsid w:val="00E400E4"/>
    <w:rsid w:val="00E45C60"/>
    <w:rsid w:val="00E6416A"/>
    <w:rsid w:val="00E66A89"/>
    <w:rsid w:val="00E82CD5"/>
    <w:rsid w:val="00E91801"/>
    <w:rsid w:val="00E96324"/>
    <w:rsid w:val="00EA3AC4"/>
    <w:rsid w:val="00EB44F8"/>
    <w:rsid w:val="00EE6840"/>
    <w:rsid w:val="00EF13A6"/>
    <w:rsid w:val="00EF1C0B"/>
    <w:rsid w:val="00EF1CA6"/>
    <w:rsid w:val="00F00D3E"/>
    <w:rsid w:val="00F012DB"/>
    <w:rsid w:val="00F12290"/>
    <w:rsid w:val="00F522AD"/>
    <w:rsid w:val="00F67B36"/>
    <w:rsid w:val="00F809E3"/>
    <w:rsid w:val="00F820E0"/>
    <w:rsid w:val="00F90518"/>
    <w:rsid w:val="00F93979"/>
    <w:rsid w:val="00FA3998"/>
    <w:rsid w:val="00FA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9226BB"/>
  <w15:chartTrackingRefBased/>
  <w15:docId w15:val="{BABAA983-B1C2-492C-9779-8AD3453D4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5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7B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DA29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D51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D5123"/>
    <w:rPr>
      <w:rFonts w:eastAsiaTheme="minorEastAsia"/>
      <w:lang w:eastAsia="es-MX"/>
    </w:rPr>
  </w:style>
  <w:style w:type="paragraph" w:styleId="NormalWeb">
    <w:name w:val="Normal (Web)"/>
    <w:basedOn w:val="Normal"/>
    <w:uiPriority w:val="99"/>
    <w:unhideWhenUsed/>
    <w:rsid w:val="00017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0173E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29E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nfasis">
    <w:name w:val="Emphasis"/>
    <w:basedOn w:val="Fuentedeprrafopredeter"/>
    <w:uiPriority w:val="20"/>
    <w:qFormat/>
    <w:rsid w:val="00DA29E2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E82C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2CD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B6D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6DBE"/>
  </w:style>
  <w:style w:type="paragraph" w:styleId="Piedepgina">
    <w:name w:val="footer"/>
    <w:basedOn w:val="Normal"/>
    <w:link w:val="PiedepginaCar"/>
    <w:uiPriority w:val="99"/>
    <w:unhideWhenUsed/>
    <w:rsid w:val="00CB6D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6DBE"/>
  </w:style>
  <w:style w:type="character" w:customStyle="1" w:styleId="Ttulo1Car">
    <w:name w:val="Título 1 Car"/>
    <w:basedOn w:val="Fuentedeprrafopredeter"/>
    <w:link w:val="Ttulo1"/>
    <w:uiPriority w:val="9"/>
    <w:rsid w:val="00455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rtejustify">
    <w:name w:val="rtejustify"/>
    <w:basedOn w:val="Normal"/>
    <w:rsid w:val="00455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F67B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87AD9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0B081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0B081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B081A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0B081A"/>
    <w:pPr>
      <w:spacing w:after="100"/>
      <w:ind w:left="440"/>
    </w:pPr>
    <w:rPr>
      <w:rFonts w:eastAsiaTheme="minorEastAsia" w:cs="Times New Roman"/>
      <w:lang w:eastAsia="es-MX"/>
    </w:rPr>
  </w:style>
  <w:style w:type="character" w:customStyle="1" w:styleId="jsgrdq">
    <w:name w:val="jsgrdq"/>
    <w:basedOn w:val="Fuentedeprrafopredeter"/>
    <w:rsid w:val="00533DFC"/>
  </w:style>
  <w:style w:type="table" w:styleId="Tablaconcuadrcula">
    <w:name w:val="Table Grid"/>
    <w:basedOn w:val="Tablanormal"/>
    <w:uiPriority w:val="39"/>
    <w:rsid w:val="00431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43123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9166F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166F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166F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166F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166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ynthus.com.mx/que-es-cobit-beneficio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saca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isaca.org/resources/cob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3D57C-A191-41AE-A520-0A53C2412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753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Skrapy</dc:creator>
  <cp:keywords/>
  <dc:description/>
  <cp:lastModifiedBy>Gregorio Castillo Jr</cp:lastModifiedBy>
  <cp:revision>3</cp:revision>
  <cp:lastPrinted>2022-10-06T22:59:00Z</cp:lastPrinted>
  <dcterms:created xsi:type="dcterms:W3CDTF">2022-10-13T18:42:00Z</dcterms:created>
  <dcterms:modified xsi:type="dcterms:W3CDTF">2022-10-13T18:46:00Z</dcterms:modified>
</cp:coreProperties>
</file>