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FFFFFF"/>
        <w:spacing w:lineRule="auto" w:line="240" w:beforeAutospacing="1" w:afterAutospacing="1"/>
        <w:jc w:val="both"/>
        <w:outlineLvl w:val="1"/>
        <w:rPr>
          <w:rFonts w:ascii="Arial" w:hAnsi="Arial" w:eastAsia="Times New Roman" w:cs="Arial"/>
          <w:b/>
          <w:b/>
          <w:bCs/>
          <w:sz w:val="32"/>
          <w:szCs w:val="32"/>
          <w:lang w:eastAsia="es-MX"/>
        </w:rPr>
      </w:pPr>
      <w:r>
        <w:rPr>
          <w:rFonts w:eastAsia="Times New Roman" w:cs="Arial" w:ascii="Arial" w:hAnsi="Arial"/>
          <w:b/>
          <w:bCs/>
          <w:sz w:val="32"/>
          <w:szCs w:val="32"/>
          <w:lang w:eastAsia="es-MX"/>
        </w:rPr>
        <w:t>IMPI</w:t>
      </w:r>
    </w:p>
    <w:p>
      <w:pPr>
        <w:pStyle w:val="Normal"/>
        <w:numPr>
          <w:ilvl w:val="0"/>
          <w:numId w:val="0"/>
        </w:numPr>
        <w:shd w:val="clear" w:color="auto" w:fill="FFFFFF"/>
        <w:spacing w:lineRule="auto" w:line="240" w:beforeAutospacing="1" w:afterAutospacing="1"/>
        <w:jc w:val="both"/>
        <w:outlineLvl w:val="1"/>
        <w:rPr>
          <w:rFonts w:ascii="Arial" w:hAnsi="Arial" w:eastAsia="Times New Roman" w:cs="Arial"/>
          <w:b/>
          <w:b/>
          <w:bCs/>
          <w:sz w:val="32"/>
          <w:szCs w:val="32"/>
          <w:lang w:eastAsia="es-MX"/>
        </w:rPr>
      </w:pPr>
      <w:r>
        <w:rPr>
          <w:rFonts w:eastAsia="Times New Roman" w:cs="Arial" w:ascii="Arial" w:hAnsi="Arial"/>
          <w:b/>
          <w:bCs/>
          <w:i w:val="false"/>
          <w:caps w:val="false"/>
          <w:smallCaps w:val="false"/>
          <w:color w:val="3A3A3A"/>
          <w:spacing w:val="0"/>
          <w:sz w:val="32"/>
          <w:szCs w:val="32"/>
          <w:lang w:eastAsia="es-MX"/>
        </w:rPr>
        <w:t>El IMPI registra la propiedad industrial desarrollada en suelo mexicano con la intención tanto de protegerla como de prevenir y combatir las acciones que atenten contra esta. Con ello se ayuda a luchar contra la competencia desleal. Aunado a esto, estimula la cooperación internacional en este mismo sector.</w:t>
      </w:r>
    </w:p>
    <w:p>
      <w:pPr>
        <w:pStyle w:val="TextBody"/>
        <w:numPr>
          <w:ilvl w:val="0"/>
          <w:numId w:val="0"/>
        </w:numPr>
        <w:shd w:val="clear" w:color="auto" w:fill="FFFFFF"/>
        <w:spacing w:lineRule="auto" w:line="240" w:beforeAutospacing="1" w:afterAutospacing="1"/>
        <w:jc w:val="both"/>
        <w:outlineLvl w:val="1"/>
        <w:rPr>
          <w:rFonts w:ascii="Arial" w:hAnsi="Arial" w:eastAsia="Times New Roman" w:cs="Arial"/>
          <w:b/>
          <w:b/>
          <w:bCs/>
          <w:sz w:val="32"/>
          <w:szCs w:val="32"/>
          <w:lang w:eastAsia="es-MX"/>
        </w:rPr>
      </w:pPr>
      <w:r>
        <w:rPr>
          <w:rFonts w:eastAsia="Times New Roman" w:cs="Arial" w:ascii="Arial" w:hAnsi="Arial"/>
          <w:b/>
          <w:bCs/>
          <w:i w:val="false"/>
          <w:caps w:val="false"/>
          <w:smallCaps w:val="false"/>
          <w:color w:val="3A3A3A"/>
          <w:spacing w:val="0"/>
          <w:sz w:val="32"/>
          <w:szCs w:val="32"/>
          <w:lang w:eastAsia="es-MX"/>
        </w:rPr>
        <w:t>El IMPI tiene un amplio rango de acción en materia de protección de la propiedad industrial. Ante esta entidad mexicana se pueden registras variadas clases de invenciones. Entre ellas se encuentran las siguientes:</w:t>
      </w:r>
    </w:p>
    <w:p>
      <w:pPr>
        <w:pStyle w:val="TextBody"/>
        <w:widowControl/>
        <w:numPr>
          <w:ilvl w:val="0"/>
          <w:numId w:val="1"/>
        </w:numPr>
        <w:pBdr/>
        <w:tabs>
          <w:tab w:val="clear" w:pos="708"/>
          <w:tab w:val="left" w:pos="0" w:leader="none"/>
        </w:tabs>
        <w:spacing w:before="0" w:after="0"/>
        <w:ind w:left="0" w:right="0" w:hanging="0"/>
        <w:rPr>
          <w:rFonts w:ascii="Arial" w:hAnsi="Arial" w:eastAsia="Times New Roman" w:cs="Arial"/>
          <w:b/>
          <w:b/>
          <w:bCs/>
          <w:sz w:val="32"/>
          <w:szCs w:val="32"/>
          <w:lang w:eastAsia="es-MX"/>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6"/>
        </w:rPr>
        <w:t>Marcas</w:t>
      </w:r>
    </w:p>
    <w:p>
      <w:pPr>
        <w:pStyle w:val="TextBody"/>
        <w:widowControl/>
        <w:numPr>
          <w:ilvl w:val="0"/>
          <w:numId w:val="1"/>
        </w:numPr>
        <w:pBdr/>
        <w:tabs>
          <w:tab w:val="clear" w:pos="708"/>
          <w:tab w:val="left" w:pos="0" w:leader="none"/>
        </w:tabs>
        <w:spacing w:before="0" w:after="0"/>
        <w:ind w:left="0" w:right="0" w:hanging="0"/>
        <w:rPr>
          <w:rFonts w:ascii="Arial" w:hAnsi="Arial" w:eastAsia="Times New Roman" w:cs="Arial"/>
          <w:b/>
          <w:b/>
          <w:bCs/>
          <w:sz w:val="32"/>
          <w:szCs w:val="32"/>
          <w:lang w:eastAsia="es-MX"/>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6"/>
        </w:rPr>
        <w:t>Patentes</w:t>
      </w:r>
    </w:p>
    <w:p>
      <w:pPr>
        <w:pStyle w:val="TextBody"/>
        <w:widowControl/>
        <w:numPr>
          <w:ilvl w:val="0"/>
          <w:numId w:val="1"/>
        </w:numPr>
        <w:pBdr/>
        <w:tabs>
          <w:tab w:val="clear" w:pos="708"/>
          <w:tab w:val="left" w:pos="0" w:leader="none"/>
        </w:tabs>
        <w:spacing w:before="0" w:after="0"/>
        <w:ind w:left="0" w:right="0" w:hanging="0"/>
        <w:rPr>
          <w:rFonts w:ascii="Arial" w:hAnsi="Arial" w:eastAsia="Times New Roman" w:cs="Arial"/>
          <w:b/>
          <w:b/>
          <w:bCs/>
          <w:sz w:val="32"/>
          <w:szCs w:val="32"/>
          <w:lang w:eastAsia="es-MX"/>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6"/>
        </w:rPr>
        <w:t>Modelos de utilidad</w:t>
      </w:r>
    </w:p>
    <w:p>
      <w:pPr>
        <w:pStyle w:val="TextBody"/>
        <w:widowControl/>
        <w:numPr>
          <w:ilvl w:val="0"/>
          <w:numId w:val="1"/>
        </w:numPr>
        <w:pBdr/>
        <w:tabs>
          <w:tab w:val="clear" w:pos="708"/>
          <w:tab w:val="left" w:pos="0" w:leader="none"/>
        </w:tabs>
        <w:spacing w:before="0" w:after="0"/>
        <w:ind w:left="0" w:right="0" w:hanging="0"/>
        <w:rPr>
          <w:rFonts w:ascii="Arial" w:hAnsi="Arial" w:eastAsia="Times New Roman" w:cs="Arial"/>
          <w:b/>
          <w:b/>
          <w:bCs/>
          <w:sz w:val="32"/>
          <w:szCs w:val="32"/>
          <w:lang w:eastAsia="es-MX"/>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6"/>
        </w:rPr>
        <w:t>Esquema de trazado de circuito integrado</w:t>
      </w:r>
    </w:p>
    <w:p>
      <w:pPr>
        <w:pStyle w:val="TextBody"/>
        <w:widowControl/>
        <w:numPr>
          <w:ilvl w:val="0"/>
          <w:numId w:val="1"/>
        </w:numPr>
        <w:pBdr/>
        <w:tabs>
          <w:tab w:val="clear" w:pos="708"/>
          <w:tab w:val="left" w:pos="0" w:leader="none"/>
        </w:tabs>
        <w:spacing w:before="0" w:after="0"/>
        <w:ind w:left="0" w:right="0" w:hanging="0"/>
        <w:rPr>
          <w:rFonts w:ascii="Arial" w:hAnsi="Arial" w:eastAsia="Times New Roman" w:cs="Arial"/>
          <w:b/>
          <w:b/>
          <w:bCs/>
          <w:sz w:val="32"/>
          <w:szCs w:val="32"/>
          <w:lang w:eastAsia="es-MX"/>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6"/>
        </w:rPr>
        <w:t>Denominación de origen</w:t>
      </w:r>
    </w:p>
    <w:p>
      <w:pPr>
        <w:pStyle w:val="TextBody"/>
        <w:widowControl/>
        <w:numPr>
          <w:ilvl w:val="0"/>
          <w:numId w:val="1"/>
        </w:numPr>
        <w:pBdr/>
        <w:tabs>
          <w:tab w:val="clear" w:pos="708"/>
          <w:tab w:val="left" w:pos="0" w:leader="none"/>
        </w:tabs>
        <w:spacing w:before="0" w:after="0"/>
        <w:ind w:left="0" w:right="0" w:hanging="0"/>
        <w:rPr>
          <w:rFonts w:ascii="Arial" w:hAnsi="Arial" w:eastAsia="Times New Roman" w:cs="Arial"/>
          <w:b/>
          <w:b/>
          <w:bCs/>
          <w:sz w:val="32"/>
          <w:szCs w:val="32"/>
          <w:lang w:eastAsia="es-MX"/>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6"/>
        </w:rPr>
        <w:t>Diseños industriales</w:t>
      </w:r>
    </w:p>
    <w:p>
      <w:pPr>
        <w:pStyle w:val="Normal"/>
        <w:numPr>
          <w:ilvl w:val="0"/>
          <w:numId w:val="0"/>
        </w:numPr>
        <w:shd w:val="clear" w:color="auto" w:fill="FFFFFF"/>
        <w:spacing w:lineRule="auto" w:line="240" w:beforeAutospacing="1" w:afterAutospacing="1"/>
        <w:jc w:val="both"/>
        <w:outlineLvl w:val="1"/>
        <w:rPr>
          <w:rFonts w:ascii="Arial" w:hAnsi="Arial" w:eastAsia="Times New Roman" w:cs="Arial"/>
          <w:b/>
          <w:b/>
          <w:bCs/>
          <w:sz w:val="32"/>
          <w:szCs w:val="32"/>
          <w:lang w:eastAsia="es-MX"/>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6"/>
        </w:rPr>
      </w:r>
    </w:p>
    <w:p>
      <w:pPr>
        <w:pStyle w:val="Normal"/>
        <w:numPr>
          <w:ilvl w:val="0"/>
          <w:numId w:val="0"/>
        </w:numPr>
        <w:shd w:val="clear" w:color="auto" w:fill="FFFFFF"/>
        <w:spacing w:lineRule="auto" w:line="240" w:beforeAutospacing="1" w:afterAutospacing="1"/>
        <w:jc w:val="both"/>
        <w:outlineLvl w:val="1"/>
        <w:rPr>
          <w:rFonts w:ascii="Arial" w:hAnsi="Arial" w:eastAsia="Times New Roman" w:cs="Arial"/>
          <w:b/>
          <w:b/>
          <w:bCs/>
          <w:sz w:val="32"/>
          <w:szCs w:val="32"/>
          <w:lang w:eastAsia="es-MX"/>
        </w:rPr>
      </w:pPr>
      <w:r>
        <w:rPr>
          <w:rFonts w:eastAsia="Times New Roman" w:cs="Arial" w:ascii="Arial" w:hAnsi="Arial"/>
          <w:b/>
          <w:bCs/>
          <w:i w:val="false"/>
          <w:caps w:val="false"/>
          <w:smallCaps w:val="false"/>
          <w:color w:val="3A3A3A"/>
          <w:spacing w:val="0"/>
          <w:sz w:val="32"/>
          <w:szCs w:val="32"/>
          <w:lang w:eastAsia="es-MX"/>
        </w:rPr>
        <w:t>ubicaciones del impi</w:t>
      </w:r>
    </w:p>
    <w:p>
      <w:pPr>
        <w:pStyle w:val="TextBody"/>
        <w:numPr>
          <w:ilvl w:val="0"/>
          <w:numId w:val="0"/>
        </w:numPr>
        <w:shd w:val="clear" w:color="auto" w:fill="FFFFFF"/>
        <w:spacing w:lineRule="auto" w:line="240" w:beforeAutospacing="1" w:afterAutospacing="1"/>
        <w:jc w:val="both"/>
        <w:outlineLvl w:val="1"/>
        <w:rPr>
          <w:rFonts w:ascii="Arial" w:hAnsi="Arial" w:eastAsia="Times New Roman" w:cs="Arial"/>
          <w:b/>
          <w:b/>
          <w:bCs/>
          <w:sz w:val="32"/>
          <w:szCs w:val="32"/>
          <w:lang w:eastAsia="es-MX"/>
        </w:rPr>
      </w:pPr>
      <w:r>
        <w:rPr>
          <w:rStyle w:val="StrongEmphasis"/>
          <w:rFonts w:eastAsia="Times New Roman" w:cs="Arial"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A3A3A"/>
          <w:spacing w:val="0"/>
          <w:sz w:val="26"/>
          <w:szCs w:val="32"/>
          <w:lang w:eastAsia="es-MX"/>
        </w:rPr>
        <w:t>Ciudad de México:</w:t>
      </w:r>
      <w:r>
        <w:rPr>
          <w:rFonts w:eastAsia="Times New Roman" w:cs="Arial" w:ascii="apple-system;system-ui;BlinkMacSystemFont;Segoe UI;Helvetica;Arial;sans-serif;Apple Color Emoji;Segoe UI Emoji;Segoe UI Symbol" w:hAnsi="apple-system;system-ui;BlinkMacSystemFont;Segoe UI;Helvetica;Arial;sans-serif;Apple Color Emoji;Segoe UI Emoji;Segoe UI Symbol"/>
          <w:b w:val="false"/>
          <w:bCs/>
          <w:i w:val="false"/>
          <w:caps w:val="false"/>
          <w:smallCaps w:val="false"/>
          <w:color w:val="3A3A3A"/>
          <w:spacing w:val="0"/>
          <w:sz w:val="26"/>
          <w:szCs w:val="32"/>
          <w:lang w:eastAsia="es-MX"/>
        </w:rPr>
        <w:t> Arenal #550, Edificio Anexo, Pueblo Santa María Tepepan, Xochimilco, C.P. 16020.</w:t>
      </w:r>
    </w:p>
    <w:p>
      <w:pPr>
        <w:pStyle w:val="TextBody"/>
        <w:widowControl/>
        <w:numPr>
          <w:ilvl w:val="0"/>
          <w:numId w:val="2"/>
        </w:numPr>
        <w:pBdr/>
        <w:tabs>
          <w:tab w:val="clear" w:pos="708"/>
          <w:tab w:val="left" w:pos="0" w:leader="none"/>
        </w:tabs>
        <w:spacing w:before="0" w:after="0"/>
        <w:ind w:left="0" w:right="0" w:hanging="0"/>
        <w:rPr>
          <w:rFonts w:ascii="Arial" w:hAnsi="Arial" w:eastAsia="Times New Roman" w:cs="Arial"/>
          <w:b/>
          <w:b/>
          <w:bCs/>
          <w:sz w:val="32"/>
          <w:szCs w:val="32"/>
          <w:lang w:eastAsia="es-MX"/>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A3A3A"/>
          <w:spacing w:val="0"/>
          <w:sz w:val="26"/>
        </w:rPr>
        <w:t>Oficina Regional Centro (ORC):</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6"/>
        </w:rPr>
        <w:t> Torre JV ll, Boulevard Atlixcayotl No. 5208, Piso 25 (PH), Col. Unidad Territorial Atlixcayotl, San Andrés Cholula, Puebla. C.P. 72197</w:t>
      </w:r>
    </w:p>
    <w:p>
      <w:pPr>
        <w:pStyle w:val="TextBody"/>
        <w:widowControl/>
        <w:numPr>
          <w:ilvl w:val="0"/>
          <w:numId w:val="2"/>
        </w:numPr>
        <w:pBdr/>
        <w:tabs>
          <w:tab w:val="clear" w:pos="708"/>
          <w:tab w:val="left" w:pos="0" w:leader="none"/>
        </w:tabs>
        <w:spacing w:before="0" w:after="0"/>
        <w:ind w:left="0" w:right="0" w:hanging="0"/>
        <w:rPr>
          <w:rFonts w:ascii="Arial" w:hAnsi="Arial" w:eastAsia="Times New Roman" w:cs="Arial"/>
          <w:b/>
          <w:b/>
          <w:bCs/>
          <w:sz w:val="32"/>
          <w:szCs w:val="32"/>
          <w:lang w:eastAsia="es-MX"/>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A3A3A"/>
          <w:spacing w:val="0"/>
          <w:sz w:val="26"/>
        </w:rPr>
        <w:t>Oficina Regional del Bajío (ORB):</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6"/>
        </w:rPr>
        <w:t> Paseo del Moral # 106, Piso 3, Col. Jardines del Moral, León, Guanajuato, C.P. 37160</w:t>
      </w:r>
    </w:p>
    <w:p>
      <w:pPr>
        <w:pStyle w:val="TextBody"/>
        <w:widowControl/>
        <w:numPr>
          <w:ilvl w:val="0"/>
          <w:numId w:val="2"/>
        </w:numPr>
        <w:pBdr/>
        <w:tabs>
          <w:tab w:val="clear" w:pos="708"/>
          <w:tab w:val="left" w:pos="0" w:leader="none"/>
        </w:tabs>
        <w:spacing w:before="0" w:after="0"/>
        <w:ind w:left="0" w:right="0" w:hanging="0"/>
        <w:rPr>
          <w:rFonts w:ascii="Arial" w:hAnsi="Arial" w:eastAsia="Times New Roman" w:cs="Arial"/>
          <w:b/>
          <w:b/>
          <w:bCs/>
          <w:sz w:val="32"/>
          <w:szCs w:val="32"/>
          <w:lang w:eastAsia="es-MX"/>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A3A3A"/>
          <w:spacing w:val="0"/>
          <w:sz w:val="26"/>
        </w:rPr>
        <w:t>Oficina Regional del Sureste (ORS):</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6"/>
        </w:rPr>
        <w:t> Calle 33 #501-A, Depto. 3, Col. Gonzalo Guerrero, Mérida, Yucatán, C.P. 97118</w:t>
      </w:r>
    </w:p>
    <w:p>
      <w:pPr>
        <w:pStyle w:val="TextBody"/>
        <w:widowControl/>
        <w:numPr>
          <w:ilvl w:val="0"/>
          <w:numId w:val="2"/>
        </w:numPr>
        <w:pBdr/>
        <w:tabs>
          <w:tab w:val="clear" w:pos="708"/>
          <w:tab w:val="left" w:pos="0" w:leader="none"/>
        </w:tabs>
        <w:spacing w:before="0" w:after="0"/>
        <w:ind w:left="0" w:right="0" w:hanging="0"/>
        <w:rPr>
          <w:rFonts w:ascii="Arial" w:hAnsi="Arial" w:eastAsia="Times New Roman" w:cs="Arial"/>
          <w:b/>
          <w:b/>
          <w:bCs/>
          <w:sz w:val="32"/>
          <w:szCs w:val="32"/>
          <w:lang w:eastAsia="es-MX"/>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A3A3A"/>
          <w:spacing w:val="0"/>
          <w:sz w:val="26"/>
        </w:rPr>
        <w:t>Oficina Regional Norte (ORN):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6"/>
        </w:rPr>
        <w:t>Fundidora #501, Piso 1, Local 66, Edificio Cintermex, Col. Obrera, Monterrey, Nuevo León, C.P. 64010</w:t>
      </w:r>
    </w:p>
    <w:p>
      <w:pPr>
        <w:pStyle w:val="TextBody"/>
        <w:widowControl/>
        <w:numPr>
          <w:ilvl w:val="0"/>
          <w:numId w:val="2"/>
        </w:numPr>
        <w:pBdr/>
        <w:tabs>
          <w:tab w:val="clear" w:pos="708"/>
          <w:tab w:val="left" w:pos="0" w:leader="none"/>
        </w:tabs>
        <w:spacing w:before="0" w:after="0"/>
        <w:ind w:left="0" w:right="0" w:hanging="0"/>
        <w:rPr>
          <w:rFonts w:ascii="Arial" w:hAnsi="Arial" w:eastAsia="Times New Roman" w:cs="Arial"/>
          <w:b/>
          <w:b/>
          <w:bCs/>
          <w:sz w:val="32"/>
          <w:szCs w:val="32"/>
          <w:lang w:eastAsia="es-MX"/>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A3A3A"/>
          <w:spacing w:val="0"/>
          <w:sz w:val="26"/>
        </w:rPr>
        <w:t>Oficina Regional Occidente (ORO):</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6"/>
        </w:rPr>
        <w:t> Boulevard Puerta de Hierro #5200, Piso 1, Fraccionamiento Puerta de Hierro, Zapopan, Jalisco, C.P. 45110</w:t>
      </w:r>
    </w:p>
    <w:p>
      <w:pPr>
        <w:pStyle w:val="Normal"/>
        <w:numPr>
          <w:ilvl w:val="0"/>
          <w:numId w:val="0"/>
        </w:numPr>
        <w:shd w:val="clear" w:color="auto" w:fill="FFFFFF"/>
        <w:spacing w:lineRule="auto" w:line="240" w:beforeAutospacing="1" w:afterAutospacing="1"/>
        <w:jc w:val="both"/>
        <w:outlineLvl w:val="1"/>
        <w:rPr>
          <w:rFonts w:ascii="Arial" w:hAnsi="Arial" w:eastAsia="Times New Roman" w:cs="Arial"/>
          <w:b/>
          <w:b/>
          <w:bCs/>
          <w:sz w:val="32"/>
          <w:szCs w:val="32"/>
          <w:lang w:eastAsia="es-MX"/>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6"/>
        </w:rPr>
      </w:r>
    </w:p>
    <w:p>
      <w:pPr>
        <w:pStyle w:val="Normal"/>
        <w:numPr>
          <w:ilvl w:val="0"/>
          <w:numId w:val="0"/>
        </w:numPr>
        <w:shd w:val="clear" w:color="auto" w:fill="FFFFFF"/>
        <w:spacing w:lineRule="auto" w:line="240" w:beforeAutospacing="1" w:afterAutospacing="1"/>
        <w:jc w:val="both"/>
        <w:outlineLvl w:val="1"/>
        <w:rPr>
          <w:rFonts w:ascii="Arial" w:hAnsi="Arial" w:eastAsia="Times New Roman" w:cs="Arial"/>
          <w:b/>
          <w:b/>
          <w:bCs/>
          <w:sz w:val="32"/>
          <w:szCs w:val="32"/>
          <w:lang w:eastAsia="es-MX"/>
        </w:rPr>
      </w:pPr>
      <w:r>
        <w:rPr>
          <w:rFonts w:eastAsia="Times New Roman" w:cs="Arial" w:ascii="Arial" w:hAnsi="Arial"/>
          <w:b/>
          <w:bCs/>
          <w:i w:val="false"/>
          <w:caps w:val="false"/>
          <w:smallCaps w:val="false"/>
          <w:color w:val="3A3A3A"/>
          <w:spacing w:val="0"/>
          <w:sz w:val="32"/>
          <w:szCs w:val="32"/>
          <w:lang w:eastAsia="es-MX"/>
        </w:rPr>
        <w:t>Tarifa de servicios</w:t>
      </w:r>
    </w:p>
    <w:p>
      <w:pPr>
        <w:pStyle w:val="Normal"/>
        <w:numPr>
          <w:ilvl w:val="0"/>
          <w:numId w:val="0"/>
        </w:numPr>
        <w:shd w:val="clear" w:color="auto" w:fill="FFFFFF"/>
        <w:spacing w:lineRule="auto" w:line="240" w:beforeAutospacing="1" w:afterAutospacing="1"/>
        <w:jc w:val="both"/>
        <w:outlineLvl w:val="1"/>
        <w:rPr>
          <w:rFonts w:ascii="Arial" w:hAnsi="Arial" w:eastAsia="Times New Roman" w:cs="Arial"/>
          <w:b/>
          <w:b/>
          <w:bCs/>
          <w:sz w:val="32"/>
          <w:szCs w:val="32"/>
          <w:lang w:eastAsia="es-MX"/>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6"/>
        </w:rPr>
      </w:r>
    </w:p>
    <w:p>
      <w:pPr>
        <w:pStyle w:val="Normal"/>
        <w:numPr>
          <w:ilvl w:val="0"/>
          <w:numId w:val="0"/>
        </w:numPr>
        <w:shd w:val="clear" w:color="auto" w:fill="FFFFFF"/>
        <w:spacing w:lineRule="auto" w:line="240" w:beforeAutospacing="1" w:afterAutospacing="1"/>
        <w:jc w:val="both"/>
        <w:outlineLvl w:val="1"/>
        <w:rPr>
          <w:rFonts w:ascii="Arial" w:hAnsi="Arial" w:eastAsia="Times New Roman" w:cs="Arial"/>
          <w:b/>
          <w:b/>
          <w:bCs/>
          <w:sz w:val="32"/>
          <w:szCs w:val="32"/>
          <w:lang w:eastAsia="es-MX"/>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6"/>
        </w:rPr>
      </w:r>
    </w:p>
    <w:tbl>
      <w:tblPr>
        <w:tblW w:w="8838" w:type="dxa"/>
        <w:jc w:val="left"/>
        <w:tblInd w:w="0" w:type="dxa"/>
        <w:shd w:fill="FFFFFF" w:val="clear"/>
        <w:tblLayout w:type="fixed"/>
        <w:tblCellMar>
          <w:top w:w="0" w:type="dxa"/>
          <w:left w:w="0" w:type="dxa"/>
          <w:bottom w:w="225" w:type="dxa"/>
          <w:right w:w="225" w:type="dxa"/>
        </w:tblCellMar>
      </w:tblPr>
      <w:tblGrid>
        <w:gridCol w:w="811"/>
        <w:gridCol w:w="6231"/>
        <w:gridCol w:w="1796"/>
      </w:tblGrid>
      <w:tr>
        <w:trPr/>
        <w:tc>
          <w:tcPr>
            <w:tcW w:w="811"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pPr>
            <w:r>
              <w:rPr>
                <w:rStyle w:val="StrongEmphasis"/>
                <w:b/>
                <w:sz w:val="21"/>
              </w:rPr>
              <w:t>Artículo</w:t>
            </w:r>
          </w:p>
        </w:tc>
        <w:tc>
          <w:tcPr>
            <w:tcW w:w="6231"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pPr>
            <w:r>
              <w:rPr>
                <w:rStyle w:val="StrongEmphasis"/>
                <w:b/>
                <w:sz w:val="21"/>
              </w:rPr>
              <w:t>Concepto</w:t>
            </w:r>
          </w:p>
        </w:tc>
        <w:tc>
          <w:tcPr>
            <w:tcW w:w="1796"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pPr>
            <w:r>
              <w:rPr>
                <w:rStyle w:val="StrongEmphasis"/>
                <w:b/>
                <w:sz w:val="21"/>
              </w:rPr>
              <w:t>Tarifas</w:t>
            </w:r>
          </w:p>
        </w:tc>
      </w:tr>
      <w:tr>
        <w:trPr/>
        <w:tc>
          <w:tcPr>
            <w:tcW w:w="811"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pPr>
            <w:r>
              <w:rPr>
                <w:rStyle w:val="StrongEmphasis"/>
                <w:b/>
                <w:sz w:val="21"/>
              </w:rPr>
              <w:t>14</w:t>
            </w:r>
          </w:p>
        </w:tc>
        <w:tc>
          <w:tcPr>
            <w:tcW w:w="6231"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b w:val="false"/>
                <w:sz w:val="21"/>
              </w:rPr>
            </w:pPr>
            <w:r>
              <w:rPr>
                <w:b w:val="false"/>
                <w:sz w:val="21"/>
              </w:rPr>
              <w:t>Por los servicios que presta el Instituto en materia de marcas, avisos y nombres comerciales, se pagarán las siguientes tarifas:</w:t>
            </w:r>
          </w:p>
        </w:tc>
        <w:tc>
          <w:tcPr>
            <w:tcW w:w="1796"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pPr>
            <w:r>
              <w:rPr/>
              <w:t xml:space="preserve">  </w:t>
            </w:r>
            <w:r>
              <w:rPr>
                <w:b w:val="false"/>
                <w:sz w:val="21"/>
              </w:rPr>
              <w:t>N/A</w:t>
            </w:r>
          </w:p>
        </w:tc>
      </w:tr>
      <w:tr>
        <w:trPr/>
        <w:tc>
          <w:tcPr>
            <w:tcW w:w="811"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pPr>
            <w:r>
              <w:rPr>
                <w:rStyle w:val="StrongEmphasis"/>
                <w:b/>
                <w:sz w:val="21"/>
              </w:rPr>
              <w:t>14a</w:t>
            </w:r>
          </w:p>
        </w:tc>
        <w:tc>
          <w:tcPr>
            <w:tcW w:w="6231"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b w:val="false"/>
                <w:sz w:val="21"/>
              </w:rPr>
            </w:pPr>
            <w:r>
              <w:rPr>
                <w:b w:val="false"/>
                <w:sz w:val="21"/>
              </w:rPr>
              <w:t>Por el estudio de una solicitud nacional para el registro de una marca, aviso comercial o nombre comercial hasta la conclusión del trámite o, en su caso, la expedición del título;</w:t>
            </w:r>
          </w:p>
        </w:tc>
        <w:tc>
          <w:tcPr>
            <w:tcW w:w="1796"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pPr>
            <w:r>
              <w:rPr/>
              <w:t xml:space="preserve">      </w:t>
            </w:r>
            <w:r>
              <w:rPr>
                <w:b w:val="false"/>
                <w:sz w:val="21"/>
              </w:rPr>
              <w:t>$2,695.18</w:t>
            </w:r>
          </w:p>
        </w:tc>
      </w:tr>
      <w:tr>
        <w:trPr/>
        <w:tc>
          <w:tcPr>
            <w:tcW w:w="811"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pPr>
            <w:r>
              <w:rPr>
                <w:rStyle w:val="StrongEmphasis"/>
                <w:b/>
                <w:sz w:val="21"/>
              </w:rPr>
              <w:t>14b</w:t>
            </w:r>
          </w:p>
        </w:tc>
        <w:tc>
          <w:tcPr>
            <w:tcW w:w="6231"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b w:val="false"/>
                <w:sz w:val="21"/>
              </w:rPr>
            </w:pPr>
            <w:r>
              <w:rPr>
                <w:b w:val="false"/>
                <w:sz w:val="21"/>
              </w:rPr>
              <w:t>Por el estudio de la oposición a una solicitud de registro de marca, aviso o nombre comercial, por cada uno;</w:t>
            </w:r>
          </w:p>
        </w:tc>
        <w:tc>
          <w:tcPr>
            <w:tcW w:w="1796"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pPr>
            <w:r>
              <w:rPr/>
              <w:t xml:space="preserve">      </w:t>
            </w:r>
            <w:r>
              <w:rPr>
                <w:b w:val="false"/>
                <w:sz w:val="21"/>
              </w:rPr>
              <w:t>$3,704.09</w:t>
            </w:r>
          </w:p>
        </w:tc>
      </w:tr>
      <w:tr>
        <w:trPr/>
        <w:tc>
          <w:tcPr>
            <w:tcW w:w="811"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pPr>
            <w:r>
              <w:rPr>
                <w:rStyle w:val="StrongEmphasis"/>
                <w:b/>
                <w:sz w:val="21"/>
              </w:rPr>
              <w:t>14c</w:t>
            </w:r>
          </w:p>
        </w:tc>
        <w:tc>
          <w:tcPr>
            <w:tcW w:w="6231"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b w:val="false"/>
                <w:sz w:val="21"/>
              </w:rPr>
            </w:pPr>
            <w:r>
              <w:rPr>
                <w:b w:val="false"/>
                <w:sz w:val="21"/>
              </w:rPr>
              <w:t>Por la renovación de un registro de marca, aviso comercial o nombre comercial nacional, por cada clase;</w:t>
            </w:r>
          </w:p>
        </w:tc>
        <w:tc>
          <w:tcPr>
            <w:tcW w:w="1796"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pPr>
            <w:r>
              <w:rPr/>
              <w:t xml:space="preserve">      </w:t>
            </w:r>
            <w:r>
              <w:rPr>
                <w:b w:val="false"/>
                <w:sz w:val="21"/>
              </w:rPr>
              <w:t>$2,597.77</w:t>
            </w:r>
          </w:p>
        </w:tc>
      </w:tr>
      <w:tr>
        <w:trPr/>
        <w:tc>
          <w:tcPr>
            <w:tcW w:w="811"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pPr>
            <w:r>
              <w:rPr>
                <w:rStyle w:val="StrongEmphasis"/>
                <w:b/>
                <w:sz w:val="21"/>
              </w:rPr>
              <w:t>14d</w:t>
            </w:r>
          </w:p>
        </w:tc>
        <w:tc>
          <w:tcPr>
            <w:tcW w:w="6231"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b w:val="false"/>
                <w:sz w:val="21"/>
              </w:rPr>
            </w:pPr>
            <w:r>
              <w:rPr>
                <w:b w:val="false"/>
                <w:sz w:val="21"/>
              </w:rPr>
              <w:t>Por la declaración de uso de marca;</w:t>
            </w:r>
          </w:p>
        </w:tc>
        <w:tc>
          <w:tcPr>
            <w:tcW w:w="1796"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pPr>
            <w:r>
              <w:rPr/>
              <w:t xml:space="preserve">      </w:t>
            </w:r>
            <w:r>
              <w:rPr>
                <w:b w:val="false"/>
                <w:sz w:val="21"/>
              </w:rPr>
              <w:t>$985.67</w:t>
            </w:r>
          </w:p>
        </w:tc>
      </w:tr>
      <w:tr>
        <w:trPr/>
        <w:tc>
          <w:tcPr>
            <w:tcW w:w="811"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pPr>
            <w:r>
              <w:rPr>
                <w:rStyle w:val="StrongEmphasis"/>
                <w:b/>
                <w:sz w:val="21"/>
              </w:rPr>
              <w:t>14e</w:t>
            </w:r>
          </w:p>
        </w:tc>
        <w:tc>
          <w:tcPr>
            <w:tcW w:w="6231"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b w:val="false"/>
                <w:sz w:val="21"/>
              </w:rPr>
            </w:pPr>
            <w:r>
              <w:rPr>
                <w:b w:val="false"/>
                <w:sz w:val="21"/>
              </w:rPr>
              <w:t>Por el estudio de la solicitud de la estimación o declaración de marca notoriamente conocida;</w:t>
            </w:r>
          </w:p>
        </w:tc>
        <w:tc>
          <w:tcPr>
            <w:tcW w:w="1796"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pPr>
            <w:r>
              <w:rPr/>
              <w:t xml:space="preserve">      </w:t>
            </w:r>
            <w:r>
              <w:rPr>
                <w:b w:val="false"/>
                <w:sz w:val="21"/>
              </w:rPr>
              <w:t>$2,599.22</w:t>
            </w:r>
          </w:p>
        </w:tc>
      </w:tr>
      <w:tr>
        <w:trPr/>
        <w:tc>
          <w:tcPr>
            <w:tcW w:w="811"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pPr>
            <w:r>
              <w:rPr>
                <w:rStyle w:val="StrongEmphasis"/>
                <w:b/>
                <w:sz w:val="21"/>
              </w:rPr>
              <w:t>14f</w:t>
            </w:r>
          </w:p>
        </w:tc>
        <w:tc>
          <w:tcPr>
            <w:tcW w:w="6231"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b w:val="false"/>
                <w:sz w:val="21"/>
              </w:rPr>
            </w:pPr>
            <w:r>
              <w:rPr>
                <w:b w:val="false"/>
                <w:sz w:val="21"/>
              </w:rPr>
              <w:t>Por el estudio de la solicitud de la estimación o declaración de marca famosa;</w:t>
            </w:r>
          </w:p>
        </w:tc>
        <w:tc>
          <w:tcPr>
            <w:tcW w:w="1796" w:type="dxa"/>
            <w:tcBorders>
              <w:bottom w:val="single" w:sz="6" w:space="0" w:color="000000"/>
              <w:right w:val="single" w:sz="6" w:space="0" w:color="000000"/>
            </w:tcBorders>
            <w:shd w:fill="FFFFFF" w:val="clear"/>
            <w:vAlign w:val="center"/>
          </w:tcPr>
          <w:p>
            <w:pPr>
              <w:pStyle w:val="TableContents"/>
              <w:spacing w:before="0" w:after="0"/>
              <w:jc w:val="left"/>
              <w:rPr/>
            </w:pPr>
            <w:r>
              <w:rPr/>
              <w:t xml:space="preserve">      </w:t>
            </w:r>
            <w:r>
              <w:rPr>
                <w:b w:val="false"/>
                <w:sz w:val="21"/>
              </w:rPr>
              <w:t>$2,521.09</w:t>
            </w:r>
          </w:p>
        </w:tc>
      </w:tr>
    </w:tbl>
    <w:p>
      <w:pPr>
        <w:pStyle w:val="Normal"/>
        <w:numPr>
          <w:ilvl w:val="0"/>
          <w:numId w:val="0"/>
        </w:numPr>
        <w:shd w:val="clear" w:color="auto" w:fill="FFFFFF"/>
        <w:spacing w:lineRule="auto" w:line="240" w:beforeAutospacing="1" w:afterAutospacing="1"/>
        <w:jc w:val="both"/>
        <w:outlineLvl w:val="1"/>
        <w:rPr>
          <w:rFonts w:ascii="Arial" w:hAnsi="Arial" w:eastAsia="Times New Roman" w:cs="Arial"/>
          <w:b/>
          <w:b/>
          <w:bCs/>
          <w:sz w:val="32"/>
          <w:szCs w:val="32"/>
          <w:lang w:eastAsia="es-MX"/>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6"/>
        </w:rPr>
      </w:r>
    </w:p>
    <w:p>
      <w:pPr>
        <w:pStyle w:val="Normal"/>
        <w:numPr>
          <w:ilvl w:val="0"/>
          <w:numId w:val="0"/>
        </w:numPr>
        <w:shd w:val="clear" w:color="auto" w:fill="FFFFFF"/>
        <w:spacing w:lineRule="auto" w:line="240" w:beforeAutospacing="1" w:afterAutospacing="1"/>
        <w:jc w:val="both"/>
        <w:outlineLvl w:val="1"/>
        <w:rPr>
          <w:rFonts w:ascii="Arial" w:hAnsi="Arial" w:eastAsia="Times New Roman" w:cs="Arial"/>
          <w:b/>
          <w:b/>
          <w:bCs/>
          <w:sz w:val="32"/>
          <w:szCs w:val="32"/>
          <w:lang w:eastAsia="es-MX"/>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6"/>
        </w:rPr>
      </w:r>
    </w:p>
    <w:tbl>
      <w:tblPr>
        <w:tblW w:w="8778" w:type="dxa"/>
        <w:jc w:val="left"/>
        <w:tblInd w:w="0" w:type="dxa"/>
        <w:shd w:fill="FFFFFF" w:val="clear"/>
        <w:tblLayout w:type="fixed"/>
        <w:tblCellMar>
          <w:top w:w="0" w:type="dxa"/>
          <w:left w:w="0" w:type="dxa"/>
          <w:bottom w:w="225" w:type="dxa"/>
          <w:right w:w="225" w:type="dxa"/>
        </w:tblCellMar>
      </w:tblPr>
      <w:tblGrid>
        <w:gridCol w:w="791"/>
        <w:gridCol w:w="6176"/>
        <w:gridCol w:w="1811"/>
      </w:tblGrid>
      <w:tr>
        <w:trPr/>
        <w:tc>
          <w:tcPr>
            <w:tcW w:w="791"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pPr>
            <w:r>
              <w:rPr>
                <w:rStyle w:val="StrongEmphasis"/>
                <w:b/>
                <w:sz w:val="21"/>
              </w:rPr>
              <w:t>14g</w:t>
            </w:r>
          </w:p>
        </w:tc>
        <w:tc>
          <w:tcPr>
            <w:tcW w:w="6176"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b w:val="false"/>
                <w:sz w:val="21"/>
              </w:rPr>
            </w:pPr>
            <w:r>
              <w:rPr>
                <w:b w:val="false"/>
                <w:sz w:val="21"/>
              </w:rPr>
              <w:t>Por la emisión de la declaración de marca notoriamente conocida, por cada clase en la que se reconoce;</w:t>
            </w:r>
          </w:p>
        </w:tc>
        <w:tc>
          <w:tcPr>
            <w:tcW w:w="1811"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pPr>
            <w:r>
              <w:rPr/>
              <w:t xml:space="preserve">      </w:t>
            </w:r>
            <w:r>
              <w:rPr>
                <w:b w:val="false"/>
                <w:sz w:val="21"/>
              </w:rPr>
              <w:t>$975.34</w:t>
            </w:r>
          </w:p>
        </w:tc>
      </w:tr>
      <w:tr>
        <w:trPr/>
        <w:tc>
          <w:tcPr>
            <w:tcW w:w="791"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pPr>
            <w:r>
              <w:rPr>
                <w:rStyle w:val="StrongEmphasis"/>
                <w:b/>
                <w:sz w:val="21"/>
              </w:rPr>
              <w:t>14h</w:t>
            </w:r>
          </w:p>
        </w:tc>
        <w:tc>
          <w:tcPr>
            <w:tcW w:w="6176"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b w:val="false"/>
                <w:sz w:val="21"/>
              </w:rPr>
            </w:pPr>
            <w:r>
              <w:rPr>
                <w:b w:val="false"/>
                <w:sz w:val="21"/>
              </w:rPr>
              <w:t>Por la emisión de la declaración de marca famosa;</w:t>
            </w:r>
          </w:p>
        </w:tc>
        <w:tc>
          <w:tcPr>
            <w:tcW w:w="1811"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pPr>
            <w:r>
              <w:rPr/>
              <w:t xml:space="preserve">      </w:t>
            </w:r>
            <w:r>
              <w:rPr>
                <w:b w:val="false"/>
                <w:sz w:val="21"/>
              </w:rPr>
              <w:t>$45,873.28</w:t>
            </w:r>
          </w:p>
        </w:tc>
      </w:tr>
      <w:tr>
        <w:trPr/>
        <w:tc>
          <w:tcPr>
            <w:tcW w:w="791"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pPr>
            <w:r>
              <w:rPr>
                <w:rStyle w:val="StrongEmphasis"/>
                <w:b/>
                <w:sz w:val="21"/>
              </w:rPr>
              <w:t>14i</w:t>
            </w:r>
          </w:p>
        </w:tc>
        <w:tc>
          <w:tcPr>
            <w:tcW w:w="6176"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b w:val="false"/>
                <w:sz w:val="21"/>
              </w:rPr>
            </w:pPr>
            <w:r>
              <w:rPr>
                <w:b w:val="false"/>
                <w:sz w:val="21"/>
              </w:rPr>
              <w:t>Por la actualización de una declaración de marca notoriamente conocida, por cada clase en la que se reconozca la notoriedad;</w:t>
            </w:r>
          </w:p>
        </w:tc>
        <w:tc>
          <w:tcPr>
            <w:tcW w:w="1811"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pPr>
            <w:r>
              <w:rPr/>
              <w:t xml:space="preserve">      </w:t>
            </w:r>
            <w:r>
              <w:rPr>
                <w:b w:val="false"/>
                <w:sz w:val="21"/>
              </w:rPr>
              <w:t>$1,234.31</w:t>
            </w:r>
          </w:p>
        </w:tc>
      </w:tr>
      <w:tr>
        <w:trPr/>
        <w:tc>
          <w:tcPr>
            <w:tcW w:w="791"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pPr>
            <w:r>
              <w:rPr>
                <w:rStyle w:val="StrongEmphasis"/>
                <w:b/>
                <w:sz w:val="21"/>
              </w:rPr>
              <w:t>14j</w:t>
            </w:r>
          </w:p>
        </w:tc>
        <w:tc>
          <w:tcPr>
            <w:tcW w:w="6176"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b w:val="false"/>
                <w:sz w:val="21"/>
              </w:rPr>
            </w:pPr>
            <w:r>
              <w:rPr>
                <w:b w:val="false"/>
                <w:sz w:val="21"/>
              </w:rPr>
              <w:t>Por la actualización de una declaración de marca famosa;</w:t>
            </w:r>
          </w:p>
        </w:tc>
        <w:tc>
          <w:tcPr>
            <w:tcW w:w="1811" w:type="dxa"/>
            <w:tcBorders>
              <w:bottom w:val="single" w:sz="6" w:space="0" w:color="000000"/>
              <w:right w:val="single" w:sz="6" w:space="0" w:color="000000"/>
            </w:tcBorders>
            <w:shd w:fill="FFFFFF" w:val="clear"/>
            <w:vAlign w:val="center"/>
          </w:tcPr>
          <w:p>
            <w:pPr>
              <w:pStyle w:val="TableContents"/>
              <w:spacing w:before="0" w:after="0"/>
              <w:jc w:val="left"/>
              <w:rPr/>
            </w:pPr>
            <w:r>
              <w:rPr/>
              <w:t>       </w:t>
            </w:r>
            <w:r>
              <w:rPr>
                <w:b w:val="false"/>
                <w:sz w:val="21"/>
              </w:rPr>
              <w:t>$44,567.37</w:t>
            </w:r>
          </w:p>
        </w:tc>
      </w:tr>
    </w:tbl>
    <w:p>
      <w:pPr>
        <w:pStyle w:val="Normal"/>
        <w:numPr>
          <w:ilvl w:val="0"/>
          <w:numId w:val="0"/>
        </w:numPr>
        <w:shd w:val="clear" w:color="auto" w:fill="FFFFFF"/>
        <w:spacing w:lineRule="auto" w:line="240" w:beforeAutospacing="1" w:afterAutospacing="1"/>
        <w:jc w:val="both"/>
        <w:outlineLvl w:val="1"/>
        <w:rPr>
          <w:rFonts w:ascii="Arial" w:hAnsi="Arial" w:eastAsia="Times New Roman" w:cs="Arial"/>
          <w:b/>
          <w:b/>
          <w:bCs/>
          <w:sz w:val="32"/>
          <w:szCs w:val="32"/>
          <w:lang w:eastAsia="es-MX"/>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6"/>
        </w:rPr>
      </w:r>
    </w:p>
    <w:p>
      <w:pPr>
        <w:pStyle w:val="Normal"/>
        <w:numPr>
          <w:ilvl w:val="0"/>
          <w:numId w:val="0"/>
        </w:numPr>
        <w:shd w:val="clear" w:color="auto" w:fill="FFFFFF"/>
        <w:spacing w:lineRule="auto" w:line="240" w:beforeAutospacing="1" w:afterAutospacing="1"/>
        <w:jc w:val="both"/>
        <w:outlineLvl w:val="1"/>
        <w:rPr>
          <w:rFonts w:ascii="Arial" w:hAnsi="Arial" w:eastAsia="Times New Roman" w:cs="Arial"/>
          <w:b/>
          <w:b/>
          <w:bCs/>
          <w:sz w:val="32"/>
          <w:szCs w:val="32"/>
          <w:lang w:eastAsia="es-MX"/>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6"/>
        </w:rPr>
      </w:r>
    </w:p>
    <w:tbl>
      <w:tblPr>
        <w:tblW w:w="8778" w:type="dxa"/>
        <w:jc w:val="left"/>
        <w:tblInd w:w="0" w:type="dxa"/>
        <w:shd w:fill="FFFFFF" w:val="clear"/>
        <w:tblLayout w:type="fixed"/>
        <w:tblCellMar>
          <w:top w:w="0" w:type="dxa"/>
          <w:left w:w="0" w:type="dxa"/>
          <w:bottom w:w="225" w:type="dxa"/>
          <w:right w:w="225" w:type="dxa"/>
        </w:tblCellMar>
      </w:tblPr>
      <w:tblGrid>
        <w:gridCol w:w="791"/>
        <w:gridCol w:w="6176"/>
        <w:gridCol w:w="1811"/>
      </w:tblGrid>
      <w:tr>
        <w:trPr/>
        <w:tc>
          <w:tcPr>
            <w:tcW w:w="791"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pPr>
            <w:r>
              <w:rPr>
                <w:rStyle w:val="StrongEmphasis"/>
                <w:b/>
                <w:sz w:val="21"/>
              </w:rPr>
              <w:t>24 BIS.-</w:t>
            </w:r>
          </w:p>
        </w:tc>
        <w:tc>
          <w:tcPr>
            <w:tcW w:w="6176"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b w:val="false"/>
                <w:sz w:val="21"/>
              </w:rPr>
            </w:pPr>
            <w:r>
              <w:rPr>
                <w:b w:val="false"/>
                <w:sz w:val="21"/>
              </w:rPr>
              <w:t>Derogado</w:t>
            </w:r>
          </w:p>
        </w:tc>
        <w:tc>
          <w:tcPr>
            <w:tcW w:w="1811"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b w:val="false"/>
                <w:sz w:val="21"/>
              </w:rPr>
            </w:pPr>
            <w:r>
              <w:rPr>
                <w:b w:val="false"/>
                <w:sz w:val="21"/>
              </w:rPr>
              <w:t>N/A</w:t>
            </w:r>
          </w:p>
        </w:tc>
      </w:tr>
      <w:tr>
        <w:trPr/>
        <w:tc>
          <w:tcPr>
            <w:tcW w:w="791"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pPr>
            <w:r>
              <w:rPr>
                <w:rStyle w:val="StrongEmphasis"/>
                <w:b/>
                <w:sz w:val="21"/>
              </w:rPr>
              <w:t>25</w:t>
            </w:r>
          </w:p>
        </w:tc>
        <w:tc>
          <w:tcPr>
            <w:tcW w:w="6176"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b w:val="false"/>
                <w:sz w:val="21"/>
              </w:rPr>
            </w:pPr>
            <w:r>
              <w:rPr>
                <w:b w:val="false"/>
                <w:sz w:val="21"/>
              </w:rPr>
              <w:t>Derogado</w:t>
            </w:r>
          </w:p>
        </w:tc>
        <w:tc>
          <w:tcPr>
            <w:tcW w:w="1811" w:type="dxa"/>
            <w:tcBorders>
              <w:bottom w:val="single" w:sz="6" w:space="0" w:color="000000"/>
              <w:right w:val="single" w:sz="6" w:space="0" w:color="000000"/>
            </w:tcBorders>
            <w:shd w:fill="FFFFFF" w:val="clear"/>
            <w:vAlign w:val="center"/>
          </w:tcPr>
          <w:p>
            <w:pPr>
              <w:pStyle w:val="TableContents"/>
              <w:spacing w:before="0" w:after="0"/>
              <w:jc w:val="left"/>
              <w:rPr/>
            </w:pPr>
            <w:r>
              <w:rPr/>
              <w:t> </w:t>
            </w:r>
            <w:r>
              <w:rPr>
                <w:b w:val="false"/>
                <w:sz w:val="21"/>
              </w:rPr>
              <w:t>N/A</w:t>
            </w:r>
          </w:p>
        </w:tc>
      </w:tr>
    </w:tbl>
    <w:p>
      <w:pPr>
        <w:pStyle w:val="Normal"/>
        <w:numPr>
          <w:ilvl w:val="0"/>
          <w:numId w:val="0"/>
        </w:numPr>
        <w:shd w:val="clear" w:color="auto" w:fill="FFFFFF"/>
        <w:spacing w:lineRule="auto" w:line="240" w:beforeAutospacing="1" w:afterAutospacing="1"/>
        <w:jc w:val="both"/>
        <w:outlineLvl w:val="1"/>
        <w:rPr>
          <w:rFonts w:ascii="Arial" w:hAnsi="Arial" w:eastAsia="Times New Roman" w:cs="Arial"/>
          <w:b/>
          <w:b/>
          <w:bCs/>
          <w:sz w:val="32"/>
          <w:szCs w:val="32"/>
          <w:lang w:eastAsia="es-MX"/>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6"/>
        </w:rPr>
        <w:tab/>
      </w:r>
    </w:p>
    <w:p>
      <w:pPr>
        <w:pStyle w:val="Normal"/>
        <w:numPr>
          <w:ilvl w:val="0"/>
          <w:numId w:val="0"/>
        </w:numPr>
        <w:shd w:val="clear" w:color="auto" w:fill="FFFFFF"/>
        <w:spacing w:lineRule="auto" w:line="240" w:beforeAutospacing="1" w:afterAutospacing="1"/>
        <w:jc w:val="both"/>
        <w:outlineLvl w:val="1"/>
        <w:rPr>
          <w:rFonts w:ascii="Arial" w:hAnsi="Arial" w:eastAsia="Times New Roman" w:cs="Arial"/>
          <w:b/>
          <w:b/>
          <w:bCs/>
          <w:sz w:val="32"/>
          <w:szCs w:val="32"/>
          <w:lang w:eastAsia="es-MX"/>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6"/>
        </w:rPr>
      </w:r>
    </w:p>
    <w:tbl>
      <w:tblPr>
        <w:tblW w:w="8838" w:type="dxa"/>
        <w:jc w:val="left"/>
        <w:tblInd w:w="0" w:type="dxa"/>
        <w:shd w:fill="FFFFFF" w:val="clear"/>
        <w:tblLayout w:type="fixed"/>
        <w:tblCellMar>
          <w:top w:w="0" w:type="dxa"/>
          <w:left w:w="0" w:type="dxa"/>
          <w:bottom w:w="225" w:type="dxa"/>
          <w:right w:w="225" w:type="dxa"/>
        </w:tblCellMar>
      </w:tblPr>
      <w:tblGrid>
        <w:gridCol w:w="1525"/>
        <w:gridCol w:w="5578"/>
        <w:gridCol w:w="1735"/>
      </w:tblGrid>
      <w:tr>
        <w:trPr/>
        <w:tc>
          <w:tcPr>
            <w:tcW w:w="1525"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pPr>
            <w:r>
              <w:rPr>
                <w:rStyle w:val="StrongEmphasis"/>
                <w:b/>
                <w:sz w:val="21"/>
              </w:rPr>
              <w:t>36</w:t>
            </w:r>
          </w:p>
          <w:tbl>
            <w:tblPr>
              <w:tblW w:w="1314" w:type="dxa"/>
              <w:jc w:val="left"/>
              <w:tblInd w:w="0" w:type="dxa"/>
              <w:shd w:fill="FFFFFF" w:val="clear"/>
              <w:tblLayout w:type="fixed"/>
              <w:tblCellMar>
                <w:top w:w="0" w:type="dxa"/>
                <w:left w:w="0" w:type="dxa"/>
                <w:bottom w:w="225" w:type="dxa"/>
                <w:right w:w="225" w:type="dxa"/>
              </w:tblCellMar>
            </w:tblPr>
            <w:tblGrid>
              <w:gridCol w:w="1314"/>
            </w:tblGrid>
            <w:tr>
              <w:trPr/>
              <w:tc>
                <w:tcPr>
                  <w:tcW w:w="1314"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b w:val="false"/>
                      <w:sz w:val="21"/>
                    </w:rPr>
                  </w:pPr>
                  <w:r>
                    <w:rPr>
                      <w:b w:val="false"/>
                      <w:sz w:val="21"/>
                    </w:rPr>
                  </w:r>
                </w:p>
              </w:tc>
            </w:tr>
          </w:tbl>
          <w:p>
            <w:pPr>
              <w:pStyle w:val="TableContents"/>
              <w:widowControl w:val="false"/>
              <w:suppressLineNumbers/>
              <w:spacing w:before="0" w:after="160"/>
              <w:rPr/>
            </w:pPr>
            <w:r>
              <w:rPr/>
            </w:r>
          </w:p>
        </w:tc>
        <w:tc>
          <w:tcPr>
            <w:tcW w:w="5578"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b w:val="false"/>
                <w:sz w:val="21"/>
              </w:rPr>
            </w:pPr>
            <w:r>
              <w:rPr>
                <w:b w:val="false"/>
                <w:sz w:val="21"/>
              </w:rPr>
              <w:t>C</w:t>
            </w:r>
            <w:r>
              <w:rPr>
                <w:b w:val="false"/>
                <w:sz w:val="21"/>
              </w:rPr>
              <w:t>uando se presenten solicitudes de registro internacional de marca conforme al Protocolo Concerniente al Arreglo de Madrid Relativo al Registro Internacional de Marcas, se pagarán las siguientes tarifas, sin perjuicio de lo dispuesto en dicho Instrumento y en el Reglamento Común del Arreglo y del Protocolo de Madrid:</w:t>
            </w:r>
          </w:p>
        </w:tc>
        <w:tc>
          <w:tcPr>
            <w:tcW w:w="1735"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b w:val="false"/>
                <w:sz w:val="21"/>
              </w:rPr>
            </w:pPr>
            <w:r>
              <w:rPr>
                <w:b w:val="false"/>
                <w:sz w:val="21"/>
              </w:rPr>
              <w:t>N/A</w:t>
            </w:r>
          </w:p>
        </w:tc>
      </w:tr>
      <w:tr>
        <w:trPr/>
        <w:tc>
          <w:tcPr>
            <w:tcW w:w="1525"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pPr>
            <w:r>
              <w:rPr>
                <w:rStyle w:val="StrongEmphasis"/>
                <w:b/>
                <w:sz w:val="21"/>
              </w:rPr>
              <w:t>a)</w:t>
            </w:r>
          </w:p>
        </w:tc>
        <w:tc>
          <w:tcPr>
            <w:tcW w:w="5578"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b w:val="false"/>
                <w:sz w:val="21"/>
              </w:rPr>
            </w:pPr>
            <w:r>
              <w:rPr>
                <w:b w:val="false"/>
                <w:sz w:val="21"/>
              </w:rPr>
              <w:t>Tarifas Individuales.</w:t>
            </w:r>
          </w:p>
        </w:tc>
        <w:tc>
          <w:tcPr>
            <w:tcW w:w="1735"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b w:val="false"/>
                <w:sz w:val="21"/>
              </w:rPr>
            </w:pPr>
            <w:r>
              <w:rPr>
                <w:b w:val="false"/>
                <w:sz w:val="21"/>
              </w:rPr>
              <w:t>Se pagarán directamente a la Oficina Internacional, en FRANCOS SUIZOS.</w:t>
            </w:r>
          </w:p>
        </w:tc>
      </w:tr>
      <w:tr>
        <w:trPr/>
        <w:tc>
          <w:tcPr>
            <w:tcW w:w="1525"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pPr>
            <w:r>
              <w:rPr>
                <w:rStyle w:val="StrongEmphasis"/>
                <w:b/>
                <w:sz w:val="21"/>
              </w:rPr>
              <w:t>1</w:t>
            </w:r>
          </w:p>
          <w:tbl>
            <w:tblPr>
              <w:tblW w:w="1444" w:type="dxa"/>
              <w:jc w:val="left"/>
              <w:tblInd w:w="0" w:type="dxa"/>
              <w:shd w:fill="FFFFFF" w:val="clear"/>
              <w:tblLayout w:type="fixed"/>
              <w:tblCellMar>
                <w:top w:w="0" w:type="dxa"/>
                <w:left w:w="0" w:type="dxa"/>
                <w:bottom w:w="225" w:type="dxa"/>
                <w:right w:w="225" w:type="dxa"/>
              </w:tblCellMar>
            </w:tblPr>
            <w:tblGrid>
              <w:gridCol w:w="1444"/>
            </w:tblGrid>
            <w:tr>
              <w:trPr>
                <w:trHeight w:val="544" w:hRule="atLeast"/>
              </w:trPr>
              <w:tc>
                <w:tcPr>
                  <w:tcW w:w="1444"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b w:val="false"/>
                      <w:sz w:val="21"/>
                    </w:rPr>
                  </w:pPr>
                  <w:r>
                    <w:rPr>
                      <w:b w:val="false"/>
                      <w:sz w:val="21"/>
                    </w:rPr>
                  </w:r>
                </w:p>
              </w:tc>
            </w:tr>
          </w:tbl>
          <w:p>
            <w:pPr>
              <w:pStyle w:val="TableContents"/>
              <w:widowControl w:val="false"/>
              <w:suppressLineNumbers/>
              <w:spacing w:before="0" w:after="160"/>
              <w:rPr/>
            </w:pPr>
            <w:r>
              <w:rPr/>
            </w:r>
          </w:p>
        </w:tc>
        <w:tc>
          <w:tcPr>
            <w:tcW w:w="5578"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b w:val="false"/>
                <w:sz w:val="21"/>
              </w:rPr>
            </w:pPr>
            <w:r>
              <w:rPr>
                <w:b w:val="false"/>
                <w:sz w:val="21"/>
              </w:rPr>
              <w:t>Por la renovación de un registro de marca internacional,</w:t>
              <w:br/>
              <w:t>cuando México haya sido designado, por cada clase.</w:t>
            </w:r>
          </w:p>
        </w:tc>
        <w:tc>
          <w:tcPr>
            <w:tcW w:w="1735"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pPr>
            <w:r>
              <w:rPr/>
              <w:t xml:space="preserve">  </w:t>
            </w:r>
            <w:r>
              <w:rPr>
                <w:b w:val="false"/>
                <w:sz w:val="21"/>
              </w:rPr>
              <w:t>$149.00 (Incluye IVA)</w:t>
            </w:r>
          </w:p>
        </w:tc>
      </w:tr>
      <w:tr>
        <w:trPr/>
        <w:tc>
          <w:tcPr>
            <w:tcW w:w="1525"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pPr>
            <w:r>
              <w:rPr>
                <w:rStyle w:val="StrongEmphasis"/>
                <w:b/>
                <w:sz w:val="21"/>
              </w:rPr>
              <w:t>2</w:t>
            </w:r>
          </w:p>
        </w:tc>
        <w:tc>
          <w:tcPr>
            <w:tcW w:w="5578"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b w:val="false"/>
                <w:sz w:val="21"/>
              </w:rPr>
            </w:pPr>
            <w:r>
              <w:rPr>
                <w:b w:val="false"/>
                <w:sz w:val="21"/>
              </w:rPr>
              <w:t>Por la renovación de un registro de marca internacional,</w:t>
              <w:br/>
              <w:t>cuando México haya sido designado, por cada clase.</w:t>
            </w:r>
          </w:p>
        </w:tc>
        <w:tc>
          <w:tcPr>
            <w:tcW w:w="1735"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pPr>
            <w:r>
              <w:rPr/>
              <w:t xml:space="preserve">   </w:t>
            </w:r>
            <w:r>
              <w:rPr>
                <w:b w:val="false"/>
                <w:sz w:val="21"/>
              </w:rPr>
              <w:t>$160.00 (Incluye IVA)</w:t>
            </w:r>
          </w:p>
        </w:tc>
      </w:tr>
      <w:tr>
        <w:trPr/>
        <w:tc>
          <w:tcPr>
            <w:tcW w:w="1525"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pPr>
            <w:r>
              <w:rPr>
                <w:rStyle w:val="StrongEmphasis"/>
                <w:b/>
                <w:sz w:val="21"/>
              </w:rPr>
              <w:t>b)</w:t>
            </w:r>
          </w:p>
        </w:tc>
        <w:tc>
          <w:tcPr>
            <w:tcW w:w="5578"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b w:val="false"/>
                <w:sz w:val="21"/>
              </w:rPr>
            </w:pPr>
            <w:r>
              <w:rPr>
                <w:b w:val="false"/>
                <w:sz w:val="21"/>
              </w:rPr>
              <w:t>Tarifas Nacionales.</w:t>
            </w:r>
          </w:p>
        </w:tc>
        <w:tc>
          <w:tcPr>
            <w:tcW w:w="1735"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b w:val="false"/>
                <w:sz w:val="21"/>
              </w:rPr>
            </w:pPr>
            <w:r>
              <w:rPr>
                <w:b w:val="false"/>
                <w:sz w:val="21"/>
              </w:rPr>
              <w:t>Se pagarán directamente al Instituto Mexicano de la Propiedad Industrial, en PESOS MEXICANOS.</w:t>
            </w:r>
          </w:p>
        </w:tc>
      </w:tr>
      <w:tr>
        <w:trPr/>
        <w:tc>
          <w:tcPr>
            <w:tcW w:w="1525"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pPr>
            <w:r>
              <w:rPr>
                <w:rStyle w:val="StrongEmphasis"/>
                <w:b/>
                <w:sz w:val="21"/>
              </w:rPr>
              <w:t>1</w:t>
            </w:r>
          </w:p>
        </w:tc>
        <w:tc>
          <w:tcPr>
            <w:tcW w:w="5578"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b w:val="false"/>
                <w:sz w:val="21"/>
              </w:rPr>
            </w:pPr>
            <w:r>
              <w:rPr>
                <w:b w:val="false"/>
                <w:sz w:val="21"/>
              </w:rPr>
              <w:t>Por el estudio de certificación de la solicitud internacional cuando México sea Oficina de Origen, por cada clase;</w:t>
            </w:r>
          </w:p>
        </w:tc>
        <w:tc>
          <w:tcPr>
            <w:tcW w:w="1735"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pPr>
            <w:r>
              <w:rPr/>
              <w:t>       </w:t>
            </w:r>
            <w:r>
              <w:rPr>
                <w:b w:val="false"/>
                <w:sz w:val="21"/>
              </w:rPr>
              <w:t>$1,195.21</w:t>
            </w:r>
          </w:p>
        </w:tc>
      </w:tr>
      <w:tr>
        <w:trPr/>
        <w:tc>
          <w:tcPr>
            <w:tcW w:w="1525"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pPr>
            <w:r>
              <w:rPr>
                <w:rStyle w:val="StrongEmphasis"/>
                <w:b/>
                <w:sz w:val="21"/>
              </w:rPr>
              <w:t>2</w:t>
            </w:r>
          </w:p>
        </w:tc>
        <w:tc>
          <w:tcPr>
            <w:tcW w:w="5578"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b w:val="false"/>
                <w:sz w:val="21"/>
              </w:rPr>
            </w:pPr>
            <w:r>
              <w:rPr>
                <w:b w:val="false"/>
                <w:sz w:val="21"/>
              </w:rPr>
              <w:t>Por la transmisión o presentación de solicitudes, peticiones u otros documentos correspondientes a trámites internacionales ante la Oficina Internacional</w:t>
            </w:r>
          </w:p>
        </w:tc>
        <w:tc>
          <w:tcPr>
            <w:tcW w:w="1735"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pPr>
            <w:r>
              <w:rPr/>
              <w:t xml:space="preserve">      </w:t>
            </w:r>
            <w:r>
              <w:rPr>
                <w:b w:val="false"/>
                <w:sz w:val="21"/>
              </w:rPr>
              <w:t>$801.24</w:t>
            </w:r>
          </w:p>
        </w:tc>
      </w:tr>
      <w:tr>
        <w:trPr/>
        <w:tc>
          <w:tcPr>
            <w:tcW w:w="1525"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pPr>
            <w:r>
              <w:rPr>
                <w:rStyle w:val="StrongEmphasis"/>
                <w:b/>
                <w:sz w:val="21"/>
              </w:rPr>
              <w:t>3</w:t>
            </w:r>
          </w:p>
        </w:tc>
        <w:tc>
          <w:tcPr>
            <w:tcW w:w="5578"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b w:val="false"/>
                <w:sz w:val="21"/>
              </w:rPr>
            </w:pPr>
            <w:r>
              <w:rPr>
                <w:b w:val="false"/>
                <w:sz w:val="21"/>
              </w:rPr>
              <w:t>Por la transformación de un registro en una solicitud nacional, y</w:t>
            </w:r>
          </w:p>
        </w:tc>
        <w:tc>
          <w:tcPr>
            <w:tcW w:w="1735"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pPr>
            <w:r>
              <w:rPr/>
              <w:t>       </w:t>
            </w:r>
            <w:r>
              <w:rPr>
                <w:b w:val="false"/>
                <w:sz w:val="21"/>
              </w:rPr>
              <w:t>$2,292.24</w:t>
            </w:r>
          </w:p>
        </w:tc>
      </w:tr>
      <w:tr>
        <w:trPr/>
        <w:tc>
          <w:tcPr>
            <w:tcW w:w="1525"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pPr>
            <w:r>
              <w:rPr>
                <w:rStyle w:val="StrongEmphasis"/>
                <w:b/>
                <w:sz w:val="21"/>
              </w:rPr>
              <w:t>4</w:t>
            </w:r>
          </w:p>
        </w:tc>
        <w:tc>
          <w:tcPr>
            <w:tcW w:w="5578" w:type="dxa"/>
            <w:tcBorders>
              <w:bottom w:val="single" w:sz="6" w:space="0" w:color="000000"/>
              <w:right w:val="single" w:sz="6" w:space="0" w:color="000000"/>
            </w:tcBorders>
            <w:shd w:fill="FFFFFF" w:val="clear"/>
            <w:vAlign w:val="center"/>
          </w:tcPr>
          <w:p>
            <w:pPr>
              <w:pStyle w:val="TableContents"/>
              <w:spacing w:before="0" w:after="0"/>
              <w:ind w:left="0" w:right="0" w:hanging="0"/>
              <w:jc w:val="left"/>
              <w:rPr>
                <w:b w:val="false"/>
                <w:sz w:val="21"/>
              </w:rPr>
            </w:pPr>
            <w:r>
              <w:rPr>
                <w:b w:val="false"/>
                <w:sz w:val="21"/>
              </w:rPr>
              <w:t>Por la toma de nota de la sustitución de un registro nacional por un registro internacional.</w:t>
            </w:r>
          </w:p>
        </w:tc>
        <w:tc>
          <w:tcPr>
            <w:tcW w:w="1735" w:type="dxa"/>
            <w:tcBorders>
              <w:bottom w:val="single" w:sz="6" w:space="0" w:color="000000"/>
              <w:right w:val="single" w:sz="6" w:space="0" w:color="000000"/>
            </w:tcBorders>
            <w:shd w:fill="FFFFFF" w:val="clear"/>
            <w:vAlign w:val="center"/>
          </w:tcPr>
          <w:p>
            <w:pPr>
              <w:pStyle w:val="TableContents"/>
              <w:spacing w:before="0" w:after="0"/>
              <w:jc w:val="left"/>
              <w:rPr/>
            </w:pPr>
            <w:r>
              <w:rPr/>
              <w:t>       </w:t>
            </w:r>
            <w:r>
              <w:rPr>
                <w:b w:val="false"/>
                <w:sz w:val="21"/>
              </w:rPr>
              <w:t>$542.81</w:t>
            </w:r>
          </w:p>
        </w:tc>
      </w:tr>
    </w:tbl>
    <w:p>
      <w:pPr>
        <w:pStyle w:val="Normal"/>
        <w:numPr>
          <w:ilvl w:val="0"/>
          <w:numId w:val="0"/>
        </w:numPr>
        <w:shd w:val="clear" w:color="auto" w:fill="FFFFFF"/>
        <w:spacing w:lineRule="auto" w:line="240" w:beforeAutospacing="1" w:afterAutospacing="1"/>
        <w:jc w:val="both"/>
        <w:outlineLvl w:val="1"/>
        <w:rPr>
          <w:rFonts w:ascii="Arial" w:hAnsi="Arial" w:eastAsia="Times New Roman" w:cs="Arial"/>
          <w:b/>
          <w:b/>
          <w:bCs/>
          <w:sz w:val="32"/>
          <w:szCs w:val="32"/>
          <w:lang w:eastAsia="es-MX"/>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6"/>
        </w:rPr>
      </w:r>
    </w:p>
    <w:p>
      <w:pPr>
        <w:pStyle w:val="TextBody"/>
        <w:numPr>
          <w:ilvl w:val="0"/>
          <w:numId w:val="0"/>
        </w:numPr>
        <w:shd w:val="clear" w:color="auto" w:fill="FFFFFF"/>
        <w:spacing w:lineRule="auto" w:line="240" w:beforeAutospacing="1" w:afterAutospacing="1"/>
        <w:jc w:val="both"/>
        <w:outlineLvl w:val="1"/>
        <w:rPr>
          <w:rFonts w:ascii="Arial" w:hAnsi="Arial" w:eastAsia="Times New Roman" w:cs="Arial"/>
          <w:b/>
          <w:b/>
          <w:bCs/>
          <w:sz w:val="32"/>
          <w:szCs w:val="32"/>
          <w:lang w:eastAsia="es-MX"/>
        </w:rPr>
      </w:pPr>
      <w:r>
        <w:rPr>
          <w:rFonts w:ascii="Open Sans;sans-serif" w:hAnsi="Open Sans;sans-serif"/>
          <w:b w:val="false"/>
          <w:i w:val="false"/>
          <w:caps w:val="false"/>
          <w:smallCaps w:val="false"/>
          <w:strike w:val="false"/>
          <w:dstrike w:val="false"/>
          <w:color w:val="333333"/>
          <w:spacing w:val="0"/>
          <w:sz w:val="27"/>
          <w:u w:val="none"/>
          <w:effect w:val="none"/>
        </w:rPr>
        <w:t>ravés de un despacho especializado en registro de marcas.</w:t>
      </w:r>
    </w:p>
    <w:p>
      <w:pPr>
        <w:pStyle w:val="TextBody"/>
        <w:widowControl/>
        <w:pBdr/>
        <w:spacing w:lineRule="atLeast" w:line="465" w:before="0" w:after="375"/>
        <w:ind w:left="0" w:right="0" w:hanging="0"/>
        <w:jc w:val="both"/>
        <w:rPr>
          <w:rFonts w:ascii="Arial" w:hAnsi="Arial" w:eastAsia="Times New Roman" w:cs="Arial"/>
          <w:b/>
          <w:b/>
          <w:bCs/>
          <w:sz w:val="32"/>
          <w:szCs w:val="32"/>
          <w:lang w:eastAsia="es-MX"/>
        </w:rPr>
      </w:pPr>
      <w:r>
        <w:rPr>
          <w:rFonts w:ascii="Open Sans;sans-serif" w:hAnsi="Open Sans;sans-serif"/>
          <w:b w:val="false"/>
          <w:i w:val="false"/>
          <w:caps w:val="false"/>
          <w:smallCaps w:val="false"/>
          <w:strike w:val="false"/>
          <w:dstrike w:val="false"/>
          <w:color w:val="333333"/>
          <w:spacing w:val="0"/>
          <w:sz w:val="27"/>
          <w:u w:val="none"/>
          <w:effect w:val="none"/>
        </w:rPr>
        <w:t>¿Cuáles son los requisitos para registrar una marca?</w:t>
      </w:r>
    </w:p>
    <w:p>
      <w:pPr>
        <w:pStyle w:val="TextBody"/>
        <w:widowControl/>
        <w:pBdr/>
        <w:spacing w:lineRule="atLeast" w:line="465" w:before="0" w:after="375"/>
        <w:ind w:left="0" w:right="0" w:hanging="0"/>
        <w:jc w:val="both"/>
        <w:rPr>
          <w:rFonts w:ascii="Arial" w:hAnsi="Arial" w:eastAsia="Times New Roman" w:cs="Arial"/>
          <w:b/>
          <w:b/>
          <w:bCs/>
          <w:sz w:val="32"/>
          <w:szCs w:val="32"/>
          <w:lang w:eastAsia="es-MX"/>
        </w:rPr>
      </w:pPr>
      <w:r>
        <w:rPr>
          <w:rFonts w:ascii="Open Sans;sans-serif" w:hAnsi="Open Sans;sans-serif"/>
          <w:b w:val="false"/>
          <w:i w:val="false"/>
          <w:caps w:val="false"/>
          <w:smallCaps w:val="false"/>
          <w:strike w:val="false"/>
          <w:dstrike w:val="false"/>
          <w:color w:val="333333"/>
          <w:spacing w:val="0"/>
          <w:sz w:val="27"/>
          <w:u w:val="none"/>
          <w:effect w:val="none"/>
        </w:rPr>
        <w:t>Para registrar tu marca necesitas los siguientes requisitos:</w:t>
      </w:r>
    </w:p>
    <w:p>
      <w:pPr>
        <w:pStyle w:val="TextBody"/>
        <w:widowControl/>
        <w:pBdr/>
        <w:spacing w:lineRule="atLeast" w:line="465" w:before="0" w:after="375"/>
        <w:ind w:left="0" w:right="0" w:hanging="0"/>
        <w:jc w:val="both"/>
        <w:rPr>
          <w:rFonts w:ascii="Arial" w:hAnsi="Arial" w:eastAsia="Times New Roman" w:cs="Arial"/>
          <w:b/>
          <w:b/>
          <w:bCs/>
          <w:sz w:val="32"/>
          <w:szCs w:val="32"/>
          <w:lang w:eastAsia="es-MX"/>
        </w:rPr>
      </w:pPr>
      <w:r>
        <w:rPr>
          <w:rFonts w:ascii="Open Sans;sans-serif" w:hAnsi="Open Sans;sans-serif"/>
          <w:b w:val="false"/>
          <w:i w:val="false"/>
          <w:caps w:val="false"/>
          <w:smallCaps w:val="false"/>
          <w:strike w:val="false"/>
          <w:dstrike w:val="false"/>
          <w:color w:val="333333"/>
          <w:spacing w:val="0"/>
          <w:sz w:val="27"/>
          <w:u w:val="none"/>
          <w:effect w:val="none"/>
        </w:rPr>
        <w:t>-Nombre completo del titular.</w:t>
      </w:r>
    </w:p>
    <w:p>
      <w:pPr>
        <w:pStyle w:val="TextBody"/>
        <w:widowControl/>
        <w:pBdr/>
        <w:spacing w:lineRule="atLeast" w:line="465" w:before="0" w:after="375"/>
        <w:ind w:left="0" w:right="0" w:hanging="0"/>
        <w:jc w:val="both"/>
        <w:rPr>
          <w:rFonts w:ascii="Arial" w:hAnsi="Arial" w:eastAsia="Times New Roman" w:cs="Arial"/>
          <w:b/>
          <w:b/>
          <w:bCs/>
          <w:sz w:val="32"/>
          <w:szCs w:val="32"/>
          <w:lang w:eastAsia="es-MX"/>
        </w:rPr>
      </w:pPr>
      <w:r>
        <w:rPr>
          <w:rFonts w:ascii="Open Sans;sans-serif" w:hAnsi="Open Sans;sans-serif"/>
          <w:b w:val="false"/>
          <w:i w:val="false"/>
          <w:caps w:val="false"/>
          <w:smallCaps w:val="false"/>
          <w:strike w:val="false"/>
          <w:dstrike w:val="false"/>
          <w:color w:val="333333"/>
          <w:spacing w:val="0"/>
          <w:sz w:val="27"/>
          <w:u w:val="none"/>
          <w:effect w:val="none"/>
        </w:rPr>
        <w:t>-Domicilio del titular.</w:t>
      </w:r>
    </w:p>
    <w:p>
      <w:pPr>
        <w:pStyle w:val="TextBody"/>
        <w:widowControl/>
        <w:pBdr/>
        <w:spacing w:lineRule="atLeast" w:line="465" w:before="0" w:after="375"/>
        <w:ind w:left="0" w:right="0" w:hanging="0"/>
        <w:jc w:val="both"/>
        <w:rPr>
          <w:rFonts w:ascii="Arial" w:hAnsi="Arial" w:eastAsia="Times New Roman" w:cs="Arial"/>
          <w:b/>
          <w:b/>
          <w:bCs/>
          <w:sz w:val="32"/>
          <w:szCs w:val="32"/>
          <w:lang w:eastAsia="es-MX"/>
        </w:rPr>
      </w:pPr>
      <w:r>
        <w:rPr>
          <w:rFonts w:ascii="Open Sans;sans-serif" w:hAnsi="Open Sans;sans-serif"/>
          <w:b w:val="false"/>
          <w:i w:val="false"/>
          <w:caps w:val="false"/>
          <w:smallCaps w:val="false"/>
          <w:strike w:val="false"/>
          <w:dstrike w:val="false"/>
          <w:color w:val="333333"/>
          <w:spacing w:val="0"/>
          <w:sz w:val="27"/>
          <w:u w:val="none"/>
          <w:effect w:val="none"/>
        </w:rPr>
        <w:t>-Registro Federal de Contribuyentes.</w:t>
      </w:r>
    </w:p>
    <w:p>
      <w:pPr>
        <w:pStyle w:val="TextBody"/>
        <w:widowControl/>
        <w:pBdr/>
        <w:spacing w:lineRule="atLeast" w:line="465" w:before="0" w:after="375"/>
        <w:ind w:left="0" w:right="0" w:hanging="0"/>
        <w:jc w:val="both"/>
        <w:rPr>
          <w:rFonts w:ascii="Arial" w:hAnsi="Arial" w:eastAsia="Times New Roman" w:cs="Arial"/>
          <w:b/>
          <w:b/>
          <w:bCs/>
          <w:sz w:val="32"/>
          <w:szCs w:val="32"/>
          <w:lang w:eastAsia="es-MX"/>
        </w:rPr>
      </w:pPr>
      <w:r>
        <w:rPr>
          <w:rFonts w:ascii="Open Sans;sans-serif" w:hAnsi="Open Sans;sans-serif"/>
          <w:b w:val="false"/>
          <w:i w:val="false"/>
          <w:caps w:val="false"/>
          <w:smallCaps w:val="false"/>
          <w:strike w:val="false"/>
          <w:dstrike w:val="false"/>
          <w:color w:val="333333"/>
          <w:spacing w:val="0"/>
          <w:sz w:val="27"/>
          <w:u w:val="none"/>
          <w:effect w:val="none"/>
        </w:rPr>
        <w:t>-Nombre de la marca.</w:t>
      </w:r>
    </w:p>
    <w:p>
      <w:pPr>
        <w:pStyle w:val="TextBody"/>
        <w:widowControl/>
        <w:pBdr/>
        <w:spacing w:lineRule="atLeast" w:line="465" w:before="0" w:after="375"/>
        <w:ind w:left="0" w:right="0" w:hanging="0"/>
        <w:jc w:val="both"/>
        <w:rPr>
          <w:rFonts w:ascii="Arial" w:hAnsi="Arial" w:eastAsia="Times New Roman" w:cs="Arial"/>
          <w:b/>
          <w:b/>
          <w:bCs/>
          <w:sz w:val="32"/>
          <w:szCs w:val="32"/>
          <w:lang w:eastAsia="es-MX"/>
        </w:rPr>
      </w:pPr>
      <w:r>
        <w:rPr>
          <w:rFonts w:ascii="Open Sans;sans-serif" w:hAnsi="Open Sans;sans-serif"/>
          <w:b w:val="false"/>
          <w:i w:val="false"/>
          <w:caps w:val="false"/>
          <w:smallCaps w:val="false"/>
          <w:strike w:val="false"/>
          <w:dstrike w:val="false"/>
          <w:color w:val="333333"/>
          <w:spacing w:val="0"/>
          <w:sz w:val="27"/>
          <w:u w:val="none"/>
          <w:effect w:val="none"/>
        </w:rPr>
        <w:t>-Productos o servicios que se desean proteger.</w:t>
      </w:r>
    </w:p>
    <w:p>
      <w:pPr>
        <w:pStyle w:val="TextBody"/>
        <w:widowControl/>
        <w:pBdr/>
        <w:spacing w:lineRule="atLeast" w:line="465" w:before="0" w:after="375"/>
        <w:ind w:left="0" w:right="0" w:hanging="0"/>
        <w:jc w:val="both"/>
        <w:rPr>
          <w:rFonts w:ascii="Arial" w:hAnsi="Arial" w:eastAsia="Times New Roman" w:cs="Arial"/>
          <w:b/>
          <w:b/>
          <w:bCs/>
          <w:sz w:val="32"/>
          <w:szCs w:val="32"/>
          <w:lang w:eastAsia="es-MX"/>
        </w:rPr>
      </w:pPr>
      <w:r>
        <w:rPr>
          <w:rFonts w:ascii="Open Sans;sans-serif" w:hAnsi="Open Sans;sans-serif"/>
          <w:b w:val="false"/>
          <w:i w:val="false"/>
          <w:caps w:val="false"/>
          <w:smallCaps w:val="false"/>
          <w:strike w:val="false"/>
          <w:dstrike w:val="false"/>
          <w:color w:val="333333"/>
          <w:spacing w:val="0"/>
          <w:sz w:val="27"/>
          <w:u w:val="none"/>
          <w:effect w:val="none"/>
        </w:rPr>
        <w:t>Teniendo estos datos, tu abogado podrá realizar el trámite ante el Instituto sin ningún problema, sólo quedará esperar un plazo máximo de 6 meses, para que el IMPI dé una respuesta, que en caso de ser favorable, te extiende un título de registro en el que constan los datos de tu marca y el cual comprueba que eres el único que puede explotar los derechos que se te conceden como titular.</w:t>
      </w:r>
    </w:p>
    <w:p>
      <w:pPr>
        <w:pStyle w:val="Normal"/>
        <w:numPr>
          <w:ilvl w:val="0"/>
          <w:numId w:val="0"/>
        </w:numPr>
        <w:shd w:val="clear" w:color="auto" w:fill="FFFFFF"/>
        <w:spacing w:lineRule="auto" w:line="240" w:beforeAutospacing="1" w:afterAutospacing="1"/>
        <w:jc w:val="both"/>
        <w:outlineLvl w:val="1"/>
        <w:rPr>
          <w:rFonts w:ascii="Arial" w:hAnsi="Arial" w:eastAsia="Times New Roman" w:cs="Arial"/>
          <w:b/>
          <w:b/>
          <w:bCs/>
          <w:sz w:val="32"/>
          <w:szCs w:val="32"/>
          <w:lang w:eastAsia="es-MX"/>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6"/>
        </w:rPr>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apple-system">
    <w:altName w:val="system-ui"/>
    <w:charset w:val="01"/>
    <w:family w:val="auto"/>
    <w:pitch w:val="default"/>
  </w:font>
  <w:font w:name="Open Sans">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paragraph" w:styleId="Heading2">
    <w:name w:val="Heading 2"/>
    <w:basedOn w:val="Normal"/>
    <w:link w:val="Ttulo2Car"/>
    <w:uiPriority w:val="9"/>
    <w:qFormat/>
    <w:rsid w:val="009c5ade"/>
    <w:pPr>
      <w:spacing w:lineRule="auto" w:line="240" w:beforeAutospacing="1" w:afterAutospacing="1"/>
      <w:outlineLvl w:val="1"/>
    </w:pPr>
    <w:rPr>
      <w:rFonts w:ascii="Times New Roman" w:hAnsi="Times New Roman" w:eastAsia="Times New Roman" w:cs="Times New Roman"/>
      <w:b/>
      <w:bCs/>
      <w:sz w:val="36"/>
      <w:szCs w:val="36"/>
      <w:lang w:eastAsia="es-MX"/>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link w:val="Heading2"/>
    <w:uiPriority w:val="9"/>
    <w:qFormat/>
    <w:rsid w:val="009c5ade"/>
    <w:rPr>
      <w:rFonts w:ascii="Times New Roman" w:hAnsi="Times New Roman" w:eastAsia="Times New Roman" w:cs="Times New Roman"/>
      <w:b/>
      <w:bCs/>
      <w:sz w:val="36"/>
      <w:szCs w:val="36"/>
      <w:lang w:eastAsia="es-MX"/>
    </w:rPr>
  </w:style>
  <w:style w:type="character" w:styleId="Strong">
    <w:name w:val="Strong"/>
    <w:basedOn w:val="DefaultParagraphFont"/>
    <w:uiPriority w:val="22"/>
    <w:qFormat/>
    <w:rsid w:val="009c5ade"/>
    <w:rPr>
      <w:b/>
      <w:bCs/>
    </w:rPr>
  </w:style>
  <w:style w:type="character" w:styleId="InternetLink">
    <w:name w:val="Hyperlink"/>
    <w:basedOn w:val="DefaultParagraphFont"/>
    <w:uiPriority w:val="99"/>
    <w:semiHidden/>
    <w:unhideWhenUsed/>
    <w:rsid w:val="004130b9"/>
    <w:rPr>
      <w:color w:val="0000FF"/>
      <w:u w:val="single"/>
    </w:rPr>
  </w:style>
  <w:style w:type="character" w:styleId="Bullets">
    <w:name w:val="Bullets"/>
    <w:qFormat/>
    <w:rPr>
      <w:rFonts w:ascii="OpenSymbol" w:hAnsi="OpenSymbol" w:eastAsia="OpenSymbol" w:cs="OpenSymbol"/>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NormalWeb">
    <w:name w:val="Normal (Web)"/>
    <w:basedOn w:val="Normal"/>
    <w:uiPriority w:val="99"/>
    <w:semiHidden/>
    <w:unhideWhenUsed/>
    <w:qFormat/>
    <w:rsid w:val="009c5ade"/>
    <w:pPr>
      <w:spacing w:lineRule="auto" w:line="240" w:beforeAutospacing="1" w:afterAutospacing="1"/>
    </w:pPr>
    <w:rPr>
      <w:rFonts w:ascii="Times New Roman" w:hAnsi="Times New Roman" w:eastAsia="Times New Roman" w:cs="Times New Roman"/>
      <w:sz w:val="24"/>
      <w:szCs w:val="24"/>
      <w:lang w:eastAsia="es-M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LibreOffice/7.4.2.3$Linux_X86_64 LibreOffice_project/382eef1f22670f7f4118c8c2dd222ec7ad009daf</Application>
  <AppVersion>15.0000</AppVersion>
  <Pages>5</Pages>
  <Words>751</Words>
  <Characters>3998</Characters>
  <CharactersWithSpaces>4740</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2022-09-12T02:37:00Z</dcterms:created>
  <dc:creator>The Skrapy</dc:creator>
  <dc:description/>
  <dc:language>en-US</dc:language>
  <cp:lastModifiedBy/>
  <dcterms:modified xsi:type="dcterms:W3CDTF">2022-11-07T16:13:55Z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