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drawing>
          <wp:anchor behindDoc="0" distT="0" distB="0" distL="114300" distR="114300" simplePos="0" locked="0" layoutInCell="0" allowOverlap="1" relativeHeight="3">
            <wp:simplePos x="0" y="0"/>
            <wp:positionH relativeFrom="margin">
              <wp:posOffset>-340995</wp:posOffset>
            </wp:positionH>
            <wp:positionV relativeFrom="paragraph">
              <wp:posOffset>80010</wp:posOffset>
            </wp:positionV>
            <wp:extent cx="1931035" cy="1190625"/>
            <wp:effectExtent l="0" t="0" r="0" b="0"/>
            <wp:wrapTight wrapText="bothSides">
              <wp:wrapPolygon edited="0">
                <wp:start x="-75" y="0"/>
                <wp:lineTo x="-75" y="21279"/>
                <wp:lineTo x="21295" y="21279"/>
                <wp:lineTo x="21295" y="0"/>
                <wp:lineTo x="-75" y="0"/>
              </wp:wrapPolygon>
            </wp:wrapTight>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2"/>
                    <a:stretch>
                      <a:fillRect/>
                    </a:stretch>
                  </pic:blipFill>
                  <pic:spPr bwMode="auto">
                    <a:xfrm>
                      <a:off x="0" y="0"/>
                      <a:ext cx="1931035" cy="1190625"/>
                    </a:xfrm>
                    <a:prstGeom prst="rect">
                      <a:avLst/>
                    </a:prstGeom>
                  </pic:spPr>
                </pic:pic>
              </a:graphicData>
            </a:graphic>
          </wp:anchor>
        </w:drawing>
        <mc:AlternateContent>
          <mc:Choice Requires="wps">
            <w:drawing>
              <wp:anchor behindDoc="0" distT="0" distB="2540" distL="0" distR="0" simplePos="0" locked="0" layoutInCell="0" allowOverlap="1" relativeHeight="6" wp14:anchorId="2140F99F">
                <wp:simplePos x="0" y="0"/>
                <wp:positionH relativeFrom="page">
                  <wp:posOffset>3536315</wp:posOffset>
                </wp:positionH>
                <wp:positionV relativeFrom="page">
                  <wp:posOffset>251460</wp:posOffset>
                </wp:positionV>
                <wp:extent cx="2921635" cy="2149475"/>
                <wp:effectExtent l="0" t="0" r="635" b="3175"/>
                <wp:wrapNone/>
                <wp:docPr id="2" name="Rectángulo 467"/>
                <a:graphic xmlns:a="http://schemas.openxmlformats.org/drawingml/2006/main">
                  <a:graphicData uri="http://schemas.microsoft.com/office/word/2010/wordprocessingShape">
                    <wps:wsp>
                      <wps:cNvSpPr/>
                      <wps:spPr>
                        <a:xfrm>
                          <a:off x="0" y="0"/>
                          <a:ext cx="2921760" cy="214956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txbx>
                        <w:txbxContent>
                          <w:p>
                            <w:pPr>
                              <w:pStyle w:val="FrameContents"/>
                              <w:rPr>
                                <w:rFonts w:ascii="Arial" w:hAnsi="Arial" w:cs="Arial"/>
                                <w:b/>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rFonts w:cs="Arial" w:ascii="Arial" w:hAnsi="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Tecnológico Nacional de México</w:t>
                            </w:r>
                          </w:p>
                          <w:p>
                            <w:pPr>
                              <w:pStyle w:val="FrameContents"/>
                              <w:rPr>
                                <w:rFonts w:ascii="Arial" w:hAnsi="Arial" w:cs="Arial"/>
                                <w:b/>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rFonts w:cs="Arial" w:ascii="Arial" w:hAnsi="Arial"/>
                                <w:b/>
                                <w:outline/>
                                <w:color w:val="FFFFFF"/>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r>
                          </w:p>
                          <w:p>
                            <w:pPr>
                              <w:pStyle w:val="FrameContents"/>
                              <w:rPr>
                                <w:rFonts w:ascii="Arial" w:hAnsi="Arial" w:cs="Arial"/>
                                <w:b/>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rFonts w:cs="Arial" w:ascii="Arial" w:hAnsi="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br/>
                              <w:t>Instituto Tecnológico de Reynosa</w:t>
                            </w:r>
                          </w:p>
                          <w:p>
                            <w:pPr>
                              <w:pStyle w:val="FrameContents"/>
                              <w:rPr>
                                <w:color w:val="FFFFFF"/>
                              </w:rPr>
                            </w:pPr>
                            <w:r>
                              <w:rPr>
                                <w:color w:val="FFFFFF"/>
                              </w:rPr>
                            </w:r>
                          </w:p>
                          <w:p>
                            <w:pPr>
                              <w:pStyle w:val="FrameContents"/>
                              <w:spacing w:before="240" w:after="160"/>
                              <w:jc w:val="center"/>
                              <w:rPr>
                                <w:color w:val="FFFFFF" w:themeColor="background1"/>
                              </w:rPr>
                            </w:pPr>
                            <w:r>
                              <w:rPr>
                                <w:color w:val="FFFFFF"/>
                              </w:rPr>
                            </w:r>
                          </w:p>
                        </w:txbxContent>
                      </wps:txbx>
                      <wps:bodyPr lIns="182880" rIns="182880" tIns="182880" bIns="365760" anchor="b">
                        <a:prstTxWarp prst="textNoShape"/>
                        <a:noAutofit/>
                      </wps:bodyPr>
                    </wps:wsp>
                  </a:graphicData>
                </a:graphic>
                <wp14:sizeRelH relativeFrom="page">
                  <wp14:pctWidth>37000</wp14:pctWidth>
                </wp14:sizeRelH>
              </wp:anchor>
            </w:drawing>
          </mc:Choice>
          <mc:Fallback>
            <w:pict>
              <v:rect id="shape_0" ID="Rectángulo 467" path="m0,0l-2147483645,0l-2147483645,-2147483646l0,-2147483646xe" fillcolor="#44546a" stroked="f" o:allowincell="f" style="position:absolute;margin-left:278.45pt;margin-top:19.8pt;width:230pt;height:169.2pt;mso-wrap-style:square;v-text-anchor:bottom;mso-position-horizontal-relative:page;mso-position-vertical-relative:page" wp14:anchorId="2140F99F">
                <v:fill o:detectmouseclick="t" type="solid" color2="#bbab95"/>
                <v:stroke color="#3465a4" weight="12600" joinstyle="miter" endcap="flat"/>
                <v:textbox>
                  <w:txbxContent>
                    <w:p>
                      <w:pPr>
                        <w:pStyle w:val="FrameContents"/>
                        <w:rPr>
                          <w:rFonts w:ascii="Arial" w:hAnsi="Arial" w:cs="Arial"/>
                          <w:b/>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rFonts w:cs="Arial" w:ascii="Arial" w:hAnsi="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Tecnológico Nacional de México</w:t>
                      </w:r>
                    </w:p>
                    <w:p>
                      <w:pPr>
                        <w:pStyle w:val="FrameContents"/>
                        <w:rPr>
                          <w:rFonts w:ascii="Arial" w:hAnsi="Arial" w:cs="Arial"/>
                          <w:b/>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rFonts w:cs="Arial" w:ascii="Arial" w:hAnsi="Arial"/>
                          <w:b/>
                          <w:outline/>
                          <w:color w:val="FFFFFF"/>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r>
                    </w:p>
                    <w:p>
                      <w:pPr>
                        <w:pStyle w:val="FrameContents"/>
                        <w:rPr>
                          <w:rFonts w:ascii="Arial" w:hAnsi="Arial" w:cs="Arial"/>
                          <w:b/>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rFonts w:cs="Arial" w:ascii="Arial" w:hAnsi="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br/>
                        <w:t>Instituto Tecnológico de Reynosa</w:t>
                      </w:r>
                    </w:p>
                    <w:p>
                      <w:pPr>
                        <w:pStyle w:val="FrameContents"/>
                        <w:rPr>
                          <w:color w:val="FFFFFF"/>
                        </w:rPr>
                      </w:pPr>
                      <w:r>
                        <w:rPr>
                          <w:color w:val="FFFFFF"/>
                        </w:rPr>
                      </w:r>
                    </w:p>
                    <w:p>
                      <w:pPr>
                        <w:pStyle w:val="FrameContents"/>
                        <w:spacing w:before="240" w:after="160"/>
                        <w:jc w:val="center"/>
                        <w:rPr>
                          <w:color w:val="FFFFFF" w:themeColor="background1"/>
                        </w:rPr>
                      </w:pPr>
                      <w:r>
                        <w:rPr>
                          <w:color w:val="FFFFFF"/>
                        </w:rPr>
                      </w:r>
                    </w:p>
                  </w:txbxContent>
                </v:textbox>
                <w10:wrap type="none"/>
              </v:rect>
            </w:pict>
          </mc:Fallback>
        </mc:AlternateContent>
      </w:r>
      <w:bookmarkStart w:id="0" w:name="_Hlk115102557"/>
      <w:bookmarkStart w:id="1" w:name="_Hlk115102557"/>
      <w:bookmarkEnd w:id="1"/>
    </w:p>
    <w:p>
      <w:pPr>
        <w:pStyle w:val="Normal"/>
        <w:rPr/>
      </w:pPr>
      <w:r>
        <w:rPr/>
      </w:r>
    </w:p>
    <w:p>
      <w:pPr>
        <w:pStyle w:val="Normal"/>
        <w:rPr/>
      </w:pPr>
      <w:r>
        <w:rPr/>
        <mc:AlternateContent>
          <mc:Choice Requires="wps">
            <w:drawing>
              <wp:anchor behindDoc="0" distT="0" distB="26670" distL="0" distR="15240" simplePos="0" locked="0" layoutInCell="0" allowOverlap="1" relativeHeight="4" wp14:anchorId="3FB610E4">
                <wp:simplePos x="0" y="0"/>
                <wp:positionH relativeFrom="page">
                  <wp:posOffset>3419475</wp:posOffset>
                </wp:positionH>
                <wp:positionV relativeFrom="page">
                  <wp:posOffset>251460</wp:posOffset>
                </wp:positionV>
                <wp:extent cx="3142615" cy="7112635"/>
                <wp:effectExtent l="8890" t="8890" r="7620" b="7620"/>
                <wp:wrapNone/>
                <wp:docPr id="4" name="Rectángulo 468"/>
                <a:graphic xmlns:a="http://schemas.openxmlformats.org/drawingml/2006/main">
                  <a:graphicData uri="http://schemas.microsoft.com/office/word/2010/wordprocessingShape">
                    <wps:wsp>
                      <wps:cNvSpPr/>
                      <wps:spPr>
                        <a:xfrm>
                          <a:off x="0" y="0"/>
                          <a:ext cx="3142440" cy="7112520"/>
                        </a:xfrm>
                        <a:prstGeom prst="rect">
                          <a:avLst/>
                        </a:prstGeom>
                        <a:solidFill>
                          <a:schemeClr val="bg1"/>
                        </a:solidFill>
                        <a:ln w="15875">
                          <a:solidFill>
                            <a:srgbClr val="e7e6e6">
                              <a:lumMod val="50000"/>
                            </a:srgbClr>
                          </a:solidFill>
                        </a:ln>
                      </wps:spPr>
                      <wps:style>
                        <a:lnRef idx="2">
                          <a:schemeClr val="accent1">
                            <a:shade val="50000"/>
                          </a:schemeClr>
                        </a:lnRef>
                        <a:fillRef idx="1">
                          <a:schemeClr val="accent1"/>
                        </a:fillRef>
                        <a:effectRef idx="0">
                          <a:schemeClr val="accent1"/>
                        </a:effectRef>
                        <a:fontRef idx="minor"/>
                      </wps:style>
                      <wps:txbx>
                        <w:txbxContent>
                          <w:p>
                            <w:pPr>
                              <w:pStyle w:val="FrameContents"/>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ascii="Arial" w:hAnsi="Arial"/>
                                <w:color w:val="FFFFF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FrameContents"/>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ascii="Arial" w:hAnsi="Arial"/>
                                <w:color w:val="FFFFF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FrameContents"/>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ascii="Arial" w:hAnsi="Arial"/>
                                <w:color w:val="FFFFF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FrameContents"/>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ascii="Arial" w:hAnsi="Arial"/>
                                <w:color w:val="FFFFF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FrameContents"/>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ascii="Arial" w:hAnsi="Arial"/>
                                <w:color w:val="FFFFF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FrameContents"/>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ascii="Arial" w:hAnsi="Arial"/>
                                <w:color w:val="FFFFF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ascii="Arial" w:hAnsi="Arial"/>
                                <w:color w:val="FFFFF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ascii="Arial" w:hAnsi="Arial"/>
                                <w:color w:val="FFFFF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ascii="Arial" w:hAnsi="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Materia: Modelos de negocio y outsourcing </w:t>
                            </w:r>
                          </w:p>
                          <w:p>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ascii="Arial" w:hAnsi="Arial"/>
                                <w:color w:val="FFFFF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ascii="Arial" w:hAnsi="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Maestro: Ileana Deyanira Trejo García</w:t>
                            </w:r>
                          </w:p>
                          <w:p>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ascii="Arial" w:hAnsi="Arial"/>
                                <w:color w:val="FFFFF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ascii="Arial" w:hAnsi="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Título: Portafolio Unidad #4 Legislación de la información y propiedad intelectual </w:t>
                            </w:r>
                          </w:p>
                          <w:p>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ascii="Arial" w:hAnsi="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ascii="Arial" w:hAnsi="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Fecha de entrega: 17/11/22</w:t>
                            </w:r>
                          </w:p>
                          <w:p>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ascii="Arial" w:hAnsi="Arial"/>
                                <w:color w:val="FFFFF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ascii="Arial" w:hAnsi="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Alumno: Castillo Jr. Gregorio</w:t>
                            </w:r>
                          </w:p>
                          <w:p>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ascii="Arial" w:hAnsi="Arial"/>
                                <w:color w:val="FFFFF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ascii="Arial" w:hAnsi="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Numero de control: 19580589</w:t>
                            </w:r>
                          </w:p>
                          <w:p>
                            <w:pPr>
                              <w:pStyle w:val="FrameContents"/>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FrameContents"/>
                              <w:rPr>
                                <w:color w:val="FFFFFF"/>
                              </w:rPr>
                            </w:pPr>
                            <w:r>
                              <w:rPr>
                                <w:color w:val="FFFFFF"/>
                              </w:rPr>
                            </w:r>
                          </w:p>
                          <w:p>
                            <w:pPr>
                              <w:pStyle w:val="FrameContents"/>
                              <w:spacing w:before="0" w:after="160"/>
                              <w:rPr>
                                <w:color w:val="FFFFFF"/>
                              </w:rPr>
                            </w:pPr>
                            <w:r>
                              <w:rPr>
                                <w:color w:val="FFFFFF"/>
                              </w:rPr>
                            </w:r>
                          </w:p>
                        </w:txbxContent>
                      </wps:txbx>
                      <wps:bodyPr anchor="ctr">
                        <a:prstTxWarp prst="textNoShape"/>
                        <a:noAutofit/>
                      </wps:bodyPr>
                    </wps:wsp>
                  </a:graphicData>
                </a:graphic>
                <wp14:sizeRelH relativeFrom="page">
                  <wp14:pctWidth>40000</wp14:pctWidth>
                </wp14:sizeRelH>
                <wp14:sizeRelV relativeFrom="page">
                  <wp14:pctHeight>70000</wp14:pctHeight>
                </wp14:sizeRelV>
              </wp:anchor>
            </w:drawing>
          </mc:Choice>
          <mc:Fallback>
            <w:pict>
              <v:rect id="shape_0" ID="Rectángulo 468" path="m0,0l-2147483645,0l-2147483645,-2147483646l0,-2147483646xe" fillcolor="white" stroked="t" o:allowincell="f" style="position:absolute;margin-left:269.25pt;margin-top:19.8pt;width:247.4pt;height:560pt;mso-wrap-style:square;v-text-anchor:middle;mso-position-horizontal-relative:page;mso-position-vertical-relative:page" wp14:anchorId="3FB610E4">
                <v:fill o:detectmouseclick="t" type="solid" color2="black"/>
                <v:stroke color="#767171" weight="15840" joinstyle="miter" endcap="flat"/>
                <v:textbox>
                  <w:txbxContent>
                    <w:p>
                      <w:pPr>
                        <w:pStyle w:val="FrameContents"/>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ascii="Arial" w:hAnsi="Arial"/>
                          <w:color w:val="FFFFF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FrameContents"/>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ascii="Arial" w:hAnsi="Arial"/>
                          <w:color w:val="FFFFF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FrameContents"/>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ascii="Arial" w:hAnsi="Arial"/>
                          <w:color w:val="FFFFF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FrameContents"/>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ascii="Arial" w:hAnsi="Arial"/>
                          <w:color w:val="FFFFF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FrameContents"/>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ascii="Arial" w:hAnsi="Arial"/>
                          <w:color w:val="FFFFF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FrameContents"/>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ascii="Arial" w:hAnsi="Arial"/>
                          <w:color w:val="FFFFF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ascii="Arial" w:hAnsi="Arial"/>
                          <w:color w:val="FFFFF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ascii="Arial" w:hAnsi="Arial"/>
                          <w:color w:val="FFFFF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ascii="Arial" w:hAnsi="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Materia: Modelos de negocio y outsourcing </w:t>
                      </w:r>
                    </w:p>
                    <w:p>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ascii="Arial" w:hAnsi="Arial"/>
                          <w:color w:val="FFFFF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ascii="Arial" w:hAnsi="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Maestro: Ileana Deyanira Trejo García</w:t>
                      </w:r>
                    </w:p>
                    <w:p>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ascii="Arial" w:hAnsi="Arial"/>
                          <w:color w:val="FFFFF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ascii="Arial" w:hAnsi="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Título: Portafolio Unidad #4 Legislación de la información y propiedad intelectual </w:t>
                      </w:r>
                    </w:p>
                    <w:p>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ascii="Arial" w:hAnsi="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ascii="Arial" w:hAnsi="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Fecha de entrega: 17/11/22</w:t>
                      </w:r>
                    </w:p>
                    <w:p>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ascii="Arial" w:hAnsi="Arial"/>
                          <w:color w:val="FFFFF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ascii="Arial" w:hAnsi="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Alumno: Castillo Jr. Gregorio</w:t>
                      </w:r>
                    </w:p>
                    <w:p>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ascii="Arial" w:hAnsi="Arial"/>
                          <w:color w:val="FFFFF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ascii="Arial" w:hAnsi="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Numero de control: 19580589</w:t>
                      </w:r>
                    </w:p>
                    <w:p>
                      <w:pPr>
                        <w:pStyle w:val="FrameContents"/>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FrameContents"/>
                        <w:rPr>
                          <w:color w:val="FFFFFF"/>
                        </w:rPr>
                      </w:pPr>
                      <w:r>
                        <w:rPr>
                          <w:color w:val="FFFFFF"/>
                        </w:rPr>
                      </w:r>
                    </w:p>
                    <w:p>
                      <w:pPr>
                        <w:pStyle w:val="FrameContents"/>
                        <w:spacing w:before="0" w:after="160"/>
                        <w:rPr>
                          <w:color w:val="FFFFFF"/>
                        </w:rPr>
                      </w:pPr>
                      <w:r>
                        <w:rPr>
                          <w:color w:val="FFFFFF"/>
                        </w:rPr>
                      </w:r>
                    </w:p>
                  </w:txbxContent>
                </v:textbox>
                <w10:wrap type="none"/>
              </v:rect>
            </w:pict>
          </mc:Fallback>
        </mc:AlternateContent>
        <mc:AlternateContent>
          <mc:Choice Requires="wps">
            <w:drawing>
              <wp:anchor behindDoc="0" distT="0" distB="0" distL="0" distR="0" simplePos="0" locked="0" layoutInCell="0" allowOverlap="1" relativeHeight="8" wp14:anchorId="5519DB5A">
                <wp:simplePos x="0" y="0"/>
                <wp:positionH relativeFrom="page">
                  <wp:posOffset>3536315</wp:posOffset>
                </wp:positionH>
                <wp:positionV relativeFrom="page">
                  <wp:posOffset>6939915</wp:posOffset>
                </wp:positionV>
                <wp:extent cx="2921635" cy="118745"/>
                <wp:effectExtent l="0" t="0" r="0" b="0"/>
                <wp:wrapNone/>
                <wp:docPr id="6" name="Rectángulo 469"/>
                <a:graphic xmlns:a="http://schemas.openxmlformats.org/drawingml/2006/main">
                  <a:graphicData uri="http://schemas.microsoft.com/office/word/2010/wordprocessingShape">
                    <wps:wsp>
                      <wps:cNvSpPr/>
                      <wps:spPr>
                        <a:xfrm>
                          <a:off x="0" y="0"/>
                          <a:ext cx="2921760" cy="118800"/>
                        </a:xfrm>
                        <a:prstGeom prst="rect">
                          <a:avLst/>
                        </a:prstGeom>
                        <a:solidFill>
                          <a:srgbClr val="4472c4"/>
                        </a:solidFill>
                        <a:ln>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37000</wp14:pctWidth>
                </wp14:sizeRelH>
              </wp:anchor>
            </w:drawing>
          </mc:Choice>
          <mc:Fallback>
            <w:pict>
              <v:rect id="shape_0" ID="Rectángulo 469" path="m0,0l-2147483645,0l-2147483645,-2147483646l0,-2147483646xe" fillcolor="#4472c4" stroked="f" o:allowincell="f" style="position:absolute;margin-left:278.45pt;margin-top:546.45pt;width:230pt;height:9.3pt;mso-wrap-style:none;v-text-anchor:middle;mso-position-horizontal-relative:page;mso-position-vertical-relative:page" wp14:anchorId="5519DB5A">
                <v:fill o:detectmouseclick="t" type="solid" color2="#bb8d3b"/>
                <v:stroke color="#3465a4" weight="12600" joinstyle="miter" endcap="flat"/>
                <w10:wrap type="none"/>
              </v:rect>
            </w:pict>
          </mc:Fallback>
        </mc:AlternateContent>
        <mc:AlternateContent>
          <mc:Choice Requires="wps">
            <w:drawing>
              <wp:anchor behindDoc="1" distT="0" distB="6985" distL="0" distR="6985" simplePos="0" locked="0" layoutInCell="0" allowOverlap="1" relativeHeight="9" wp14:anchorId="170297E6">
                <wp:simplePos x="0" y="0"/>
                <wp:positionH relativeFrom="page">
                  <wp:align>center</wp:align>
                </wp:positionH>
                <wp:positionV relativeFrom="page">
                  <wp:align>center</wp:align>
                </wp:positionV>
                <wp:extent cx="7503795" cy="9675495"/>
                <wp:effectExtent l="635" t="635" r="0" b="0"/>
                <wp:wrapNone/>
                <wp:docPr id="7" name="Rectángulo 466"/>
                <a:graphic xmlns:a="http://schemas.openxmlformats.org/drawingml/2006/main">
                  <a:graphicData uri="http://schemas.microsoft.com/office/word/2010/wordprocessingShape">
                    <wps:wsp>
                      <wps:cNvSpPr/>
                      <wps:spPr>
                        <a:xfrm>
                          <a:off x="0" y="0"/>
                          <a:ext cx="7503840" cy="9675360"/>
                        </a:xfrm>
                        <a:prstGeom prst="rect">
                          <a:avLst/>
                        </a:prstGeom>
                        <a:gradFill rotWithShape="0">
                          <a:gsLst>
                            <a:gs pos="0">
                              <a:schemeClr val="accent1">
                                <a:lumMod val="20000"/>
                                <a:lumOff val="80000"/>
                              </a:schemeClr>
                            </a:gs>
                            <a:gs pos="100000">
                              <a:schemeClr val="accent1">
                                <a:lumMod val="60000"/>
                                <a:lumOff val="40000"/>
                              </a:schemeClr>
                            </a:gs>
                          </a:gsLst>
                          <a:lin ang="5400000"/>
                        </a:gradFill>
                        <a:ln>
                          <a:noFill/>
                        </a:ln>
                      </wps:spPr>
                      <wps:style>
                        <a:lnRef idx="2">
                          <a:schemeClr val="accent1">
                            <a:shade val="50000"/>
                          </a:schemeClr>
                        </a:lnRef>
                        <a:fillRef idx="1003">
                          <a:schemeClr val="lt2"/>
                        </a:fillRef>
                        <a:effectRef idx="0">
                          <a:schemeClr val="accent1"/>
                        </a:effectRef>
                        <a:fontRef idx="minor"/>
                      </wps:style>
                      <wps:txbx>
                        <w:txbxContent>
                          <w:sdt>
                            <w:sdtPr>
                              <w:docPartObj>
                                <w:docPartGallery w:val="Cover Pages"/>
                                <w:docPartUnique w:val="true"/>
                              </w:docPartObj>
                              <w:id w:val="1291527894"/>
                            </w:sdtPr>
                            <w:sdtContent>
                              <w:p>
                                <w:pPr>
                                  <w:pStyle w:val="FrameContents"/>
                                  <w:spacing w:before="0" w:after="160"/>
                                  <w:rPr>
                                    <w:color w:val="FFFFFF"/>
                                  </w:rPr>
                                </w:pPr>
                                <w:r>
                                  <w:rPr>
                                    <w:color w:val="FFFFFF"/>
                                  </w:rPr>
                                </w:r>
                              </w:p>
                            </w:sdtContent>
                          </w:sdt>
                        </w:txbxContent>
                      </wps:txbx>
                      <wps:bodyPr lIns="274320" rIns="274320" anchor="ctr">
                        <a:prstTxWarp prst="textNoShape"/>
                        <a:noAutofit/>
                      </wps:bodyPr>
                    </wps:wsp>
                  </a:graphicData>
                </a:graphic>
                <wp14:sizeRelH relativeFrom="page">
                  <wp14:pctWidth>95000</wp14:pctWidth>
                </wp14:sizeRelH>
                <wp14:sizeRelV relativeFrom="page">
                  <wp14:pctHeight>95000</wp14:pctHeight>
                </wp14:sizeRelV>
              </wp:anchor>
            </w:drawing>
          </mc:Choice>
          <mc:Fallback>
            <w:pict>
              <v:rect id="shape_0" ID="Rectángulo 466" path="m0,0l-2147483645,0l-2147483645,-2147483646l0,-2147483646xe" fillcolor="#8faadc" stroked="f" o:allowincell="f" style="position:absolute;margin-left:10.55pt;margin-top:15.05pt;width:590.8pt;height:761.8pt;mso-wrap-style:none;v-text-anchor:middle;mso-position-horizontal:center;mso-position-horizontal-relative:page;mso-position-vertical:center;mso-position-vertical-relative:page" wp14:anchorId="170297E6">
                <v:fill o:detectmouseclick="t" color2="#dae3f3"/>
                <v:stroke color="#3465a4" weight="12600" joinstyle="miter" endcap="flat"/>
                <v:textbox>
                  <w:txbxContent>
                    <w:sdt>
                      <w:sdtPr>
                        <w:docPartObj>
                          <w:docPartGallery w:val="Cover Pages"/>
                          <w:docPartUnique w:val="true"/>
                        </w:docPartObj>
                        <w:id w:val="1229608337"/>
                      </w:sdtPr>
                      <w:sdtContent>
                        <w:p>
                          <w:pPr>
                            <w:pStyle w:val="FrameContents"/>
                            <w:spacing w:before="0" w:after="160"/>
                            <w:rPr>
                              <w:color w:val="FFFFFF"/>
                            </w:rPr>
                          </w:pPr>
                          <w:r>
                            <w:rPr>
                              <w:color w:val="FFFFFF"/>
                            </w:rPr>
                          </w:r>
                        </w:p>
                      </w:sdtContent>
                    </w:sdt>
                  </w:txbxContent>
                </v:textbox>
                <w10:wrap type="none"/>
              </v:rect>
            </w:pict>
          </mc:Fallback>
        </mc:AlternateContent>
      </w:r>
    </w:p>
    <w:p>
      <w:pPr>
        <w:pStyle w:val="Normal"/>
        <w:rPr/>
      </w:pPr>
      <w:r>
        <w:rPr/>
        <w:drawing>
          <wp:anchor behindDoc="0" distT="0" distB="0" distL="114300" distR="114300" simplePos="0" locked="0" layoutInCell="0" allowOverlap="1" relativeHeight="2">
            <wp:simplePos x="0" y="0"/>
            <wp:positionH relativeFrom="page">
              <wp:posOffset>1061085</wp:posOffset>
            </wp:positionH>
            <wp:positionV relativeFrom="paragraph">
              <wp:posOffset>1114425</wp:posOffset>
            </wp:positionV>
            <wp:extent cx="1332865" cy="1303020"/>
            <wp:effectExtent l="0" t="0" r="0" b="0"/>
            <wp:wrapTight wrapText="bothSides">
              <wp:wrapPolygon edited="0">
                <wp:start x="-95" y="0"/>
                <wp:lineTo x="-95" y="21020"/>
                <wp:lineTo x="21217" y="21020"/>
                <wp:lineTo x="21217" y="0"/>
                <wp:lineTo x="-95" y="0"/>
              </wp:wrapPolygon>
            </wp:wrapTight>
            <wp:docPr id="9"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2" descr=""/>
                    <pic:cNvPicPr>
                      <a:picLocks noChangeAspect="1" noChangeArrowheads="1"/>
                    </pic:cNvPicPr>
                  </pic:nvPicPr>
                  <pic:blipFill>
                    <a:blip r:embed="rId3"/>
                    <a:stretch>
                      <a:fillRect/>
                    </a:stretch>
                  </pic:blipFill>
                  <pic:spPr bwMode="auto">
                    <a:xfrm>
                      <a:off x="0" y="0"/>
                      <a:ext cx="1332865" cy="1303020"/>
                    </a:xfrm>
                    <a:prstGeom prst="rect">
                      <a:avLst/>
                    </a:prstGeom>
                  </pic:spPr>
                </pic:pic>
              </a:graphicData>
            </a:graphic>
          </wp:anchor>
        </w:drawing>
      </w:r>
      <w:r>
        <w:br w:type="page"/>
      </w:r>
    </w:p>
    <w:p>
      <w:pPr>
        <w:pStyle w:val="Heading1"/>
        <w:pBdr>
          <w:bottom w:val="single" w:sz="6" w:space="1" w:color="000000"/>
        </w:pBdr>
        <w:rPr>
          <w:rFonts w:ascii="Times New Roman" w:hAnsi="Times New Roman" w:cs="Times New Roman"/>
          <w:b/>
          <w:b/>
          <w:bCs/>
          <w:color w:val="auto"/>
          <w:sz w:val="28"/>
          <w:szCs w:val="28"/>
        </w:rPr>
      </w:pPr>
      <w:bookmarkStart w:id="2" w:name="_Toc118924322"/>
      <w:bookmarkStart w:id="3" w:name="_Toc115100403"/>
      <w:r>
        <w:rPr>
          <w:rFonts w:cs="Times New Roman" w:ascii="Times New Roman" w:hAnsi="Times New Roman"/>
          <w:b/>
          <w:bCs/>
          <w:color w:val="auto"/>
          <w:sz w:val="28"/>
          <w:szCs w:val="28"/>
        </w:rPr>
        <w:t>Índice</w:t>
      </w:r>
      <w:bookmarkEnd w:id="2"/>
      <w:bookmarkEnd w:id="3"/>
    </w:p>
    <w:p>
      <w:pPr>
        <w:pStyle w:val="Normal"/>
        <w:rPr/>
      </w:pPr>
      <w:r>
        <w:rPr/>
      </w:r>
    </w:p>
    <w:sdt>
      <w:sdtPr>
        <w:docPartObj>
          <w:docPartGallery w:val="Table of Contents"/>
          <w:docPartUnique w:val="true"/>
        </w:docPartObj>
        <w:id w:val="95607686"/>
      </w:sdtPr>
      <w:sdtContent>
        <w:p>
          <w:pPr>
            <w:pStyle w:val="ContentsHeading"/>
            <w:rPr/>
          </w:pPr>
          <w:r>
            <w:rPr/>
          </w:r>
        </w:p>
        <w:p>
          <w:pPr>
            <w:pStyle w:val="Contents1"/>
            <w:tabs>
              <w:tab w:val="clear" w:pos="708"/>
              <w:tab w:val="right" w:pos="8828" w:leader="dot"/>
            </w:tabs>
            <w:rPr>
              <w:rStyle w:val="InternetLink"/>
            </w:rPr>
          </w:pPr>
          <w:r>
            <w:fldChar w:fldCharType="begin"/>
          </w:r>
          <w:r>
            <w:rPr>
              <w:webHidden/>
              <w:rStyle w:val="IndexLink"/>
              <w:b/>
              <w:bCs/>
              <w:rFonts w:cs="Times New Roman" w:ascii="Times New Roman" w:hAnsi="Times New Roman"/>
            </w:rPr>
            <w:instrText xml:space="preserve"> TOC \z \o "1-3" \u \h</w:instrText>
          </w:r>
          <w:r>
            <w:rPr>
              <w:webHidden/>
              <w:rStyle w:val="IndexLink"/>
              <w:b/>
              <w:bCs/>
              <w:rFonts w:cs="Times New Roman" w:ascii="Times New Roman" w:hAnsi="Times New Roman"/>
            </w:rPr>
            <w:fldChar w:fldCharType="separate"/>
          </w:r>
          <w:hyperlink w:anchor="_Toc118924322">
            <w:r>
              <w:rPr>
                <w:webHidden/>
                <w:rStyle w:val="IndexLink"/>
                <w:rFonts w:cs="Times New Roman" w:ascii="Times New Roman" w:hAnsi="Times New Roman"/>
                <w:b/>
                <w:bCs/>
              </w:rPr>
              <w:t>Índice</w:t>
            </w:r>
            <w:r>
              <w:rPr>
                <w:webHidden/>
              </w:rPr>
              <w:fldChar w:fldCharType="begin"/>
            </w:r>
            <w:r>
              <w:rPr>
                <w:webHidden/>
              </w:rPr>
              <w:instrText xml:space="preserve">PAGEREF _Toc118924322 \h</w:instrText>
            </w:r>
            <w:r>
              <w:rPr>
                <w:webHidden/>
              </w:rPr>
              <w:fldChar w:fldCharType="separate"/>
            </w:r>
            <w:r>
              <w:rPr>
                <w:rStyle w:val="IndexLink"/>
                <w:vanish w:val="false"/>
              </w:rPr>
              <w:tab/>
              <w:t>1</w:t>
            </w:r>
            <w:r>
              <w:rPr>
                <w:webHidden/>
              </w:rPr>
              <w:fldChar w:fldCharType="end"/>
            </w:r>
          </w:hyperlink>
        </w:p>
        <w:p>
          <w:pPr>
            <w:pStyle w:val="Normal"/>
            <w:rPr/>
          </w:pPr>
          <w:r>
            <w:rPr/>
          </w:r>
        </w:p>
        <w:p>
          <w:pPr>
            <w:pStyle w:val="Contents1"/>
            <w:tabs>
              <w:tab w:val="clear" w:pos="708"/>
              <w:tab w:val="right" w:pos="8828" w:leader="dot"/>
            </w:tabs>
            <w:rPr>
              <w:rFonts w:ascii="Arial" w:hAnsi="Arial" w:eastAsia="" w:cs="Arial" w:eastAsiaTheme="minorEastAsia"/>
              <w:sz w:val="24"/>
              <w:szCs w:val="24"/>
              <w:lang w:eastAsia="es-MX"/>
            </w:rPr>
          </w:pPr>
          <w:hyperlink w:anchor="_Toc118924323">
            <w:r>
              <w:rPr>
                <w:webHidden/>
                <w:rStyle w:val="IndexLink"/>
                <w:rFonts w:eastAsia="Times New Roman" w:cs="Arial" w:ascii="Arial" w:hAnsi="Arial"/>
                <w:b/>
                <w:bCs/>
                <w:sz w:val="24"/>
                <w:szCs w:val="24"/>
                <w:lang w:eastAsia="es-MX"/>
              </w:rPr>
              <w:t>Investigación (Leyes de seguridad en la información)</w:t>
            </w:r>
            <w:r>
              <w:rPr>
                <w:webHidden/>
              </w:rPr>
              <w:fldChar w:fldCharType="begin"/>
            </w:r>
            <w:r>
              <w:rPr>
                <w:webHidden/>
              </w:rPr>
              <w:instrText xml:space="preserve">PAGEREF _Toc118924323 \h</w:instrText>
            </w:r>
            <w:r>
              <w:rPr>
                <w:webHidden/>
              </w:rPr>
              <w:fldChar w:fldCharType="separate"/>
            </w:r>
            <w:r>
              <w:rPr>
                <w:rStyle w:val="IndexLink"/>
                <w:rFonts w:cs="Arial" w:ascii="Arial" w:hAnsi="Arial"/>
                <w:vanish w:val="false"/>
                <w:sz w:val="24"/>
                <w:szCs w:val="24"/>
              </w:rPr>
              <w:tab/>
              <w:t>2</w:t>
            </w:r>
            <w:r>
              <w:rPr>
                <w:webHidden/>
              </w:rPr>
              <w:fldChar w:fldCharType="end"/>
            </w:r>
          </w:hyperlink>
        </w:p>
        <w:p>
          <w:pPr>
            <w:pStyle w:val="Contents1"/>
            <w:tabs>
              <w:tab w:val="clear" w:pos="708"/>
              <w:tab w:val="right" w:pos="8828" w:leader="dot"/>
            </w:tabs>
            <w:rPr>
              <w:rFonts w:ascii="Arial" w:hAnsi="Arial" w:eastAsia="" w:cs="Arial" w:eastAsiaTheme="minorEastAsia"/>
              <w:sz w:val="24"/>
              <w:szCs w:val="24"/>
              <w:lang w:eastAsia="es-MX"/>
            </w:rPr>
          </w:pPr>
          <w:hyperlink w:anchor="_Toc118924324">
            <w:r>
              <w:rPr>
                <w:webHidden/>
                <w:rStyle w:val="IndexLink"/>
                <w:rFonts w:eastAsia="Times New Roman" w:cs="Arial" w:ascii="Arial" w:hAnsi="Arial"/>
                <w:b/>
                <w:bCs/>
                <w:sz w:val="24"/>
                <w:szCs w:val="24"/>
                <w:lang w:eastAsia="es-MX"/>
              </w:rPr>
              <w:t>Examen (Elaborar examen con 10 preguntas)</w:t>
            </w:r>
            <w:r>
              <w:rPr>
                <w:webHidden/>
              </w:rPr>
              <w:fldChar w:fldCharType="begin"/>
            </w:r>
            <w:r>
              <w:rPr>
                <w:webHidden/>
              </w:rPr>
              <w:instrText xml:space="preserve">PAGEREF _Toc118924324 \h</w:instrText>
            </w:r>
            <w:r>
              <w:rPr>
                <w:webHidden/>
              </w:rPr>
              <w:fldChar w:fldCharType="separate"/>
            </w:r>
            <w:r>
              <w:rPr>
                <w:rStyle w:val="IndexLink"/>
                <w:rFonts w:cs="Arial" w:ascii="Arial" w:hAnsi="Arial"/>
                <w:vanish w:val="false"/>
                <w:sz w:val="24"/>
                <w:szCs w:val="24"/>
              </w:rPr>
              <w:tab/>
              <w:t>3</w:t>
            </w:r>
            <w:r>
              <w:rPr>
                <w:webHidden/>
              </w:rPr>
              <w:fldChar w:fldCharType="end"/>
            </w:r>
          </w:hyperlink>
        </w:p>
        <w:p>
          <w:pPr>
            <w:pStyle w:val="Contents1"/>
            <w:tabs>
              <w:tab w:val="clear" w:pos="708"/>
              <w:tab w:val="right" w:pos="8828" w:leader="dot"/>
            </w:tabs>
            <w:rPr>
              <w:rFonts w:ascii="Arial" w:hAnsi="Arial" w:eastAsia="" w:cs="Arial" w:eastAsiaTheme="minorEastAsia"/>
              <w:sz w:val="24"/>
              <w:szCs w:val="24"/>
              <w:lang w:eastAsia="es-MX"/>
            </w:rPr>
          </w:pPr>
          <w:hyperlink w:anchor="_Toc118924325">
            <w:r>
              <w:rPr>
                <w:webHidden/>
                <w:rStyle w:val="IndexLink"/>
                <w:rFonts w:eastAsia="Times New Roman" w:cs="Arial" w:ascii="Arial" w:hAnsi="Arial"/>
                <w:b/>
                <w:bCs/>
                <w:sz w:val="24"/>
                <w:szCs w:val="24"/>
                <w:lang w:eastAsia="es-MX"/>
              </w:rPr>
              <w:t>Resumen (Artículos de la LFDA para los programas de computación y bases de datos)</w:t>
            </w:r>
            <w:r>
              <w:rPr>
                <w:webHidden/>
              </w:rPr>
              <w:fldChar w:fldCharType="begin"/>
            </w:r>
            <w:r>
              <w:rPr>
                <w:webHidden/>
              </w:rPr>
              <w:instrText xml:space="preserve">PAGEREF _Toc118924325 \h</w:instrText>
            </w:r>
            <w:r>
              <w:rPr>
                <w:webHidden/>
              </w:rPr>
              <w:fldChar w:fldCharType="separate"/>
            </w:r>
            <w:r>
              <w:rPr>
                <w:rStyle w:val="IndexLink"/>
                <w:rFonts w:cs="Arial" w:ascii="Arial" w:hAnsi="Arial"/>
                <w:vanish w:val="false"/>
                <w:sz w:val="24"/>
                <w:szCs w:val="24"/>
              </w:rPr>
              <w:tab/>
              <w:t>4</w:t>
            </w:r>
            <w:r>
              <w:rPr>
                <w:webHidden/>
              </w:rPr>
              <w:fldChar w:fldCharType="end"/>
            </w:r>
          </w:hyperlink>
        </w:p>
        <w:p>
          <w:pPr>
            <w:pStyle w:val="Contents1"/>
            <w:tabs>
              <w:tab w:val="clear" w:pos="708"/>
              <w:tab w:val="right" w:pos="8828" w:leader="dot"/>
            </w:tabs>
            <w:rPr>
              <w:rFonts w:ascii="Arial" w:hAnsi="Arial" w:cs="Arial"/>
              <w:sz w:val="24"/>
              <w:szCs w:val="24"/>
            </w:rPr>
          </w:pPr>
          <w:hyperlink w:anchor="_Toc118924326">
            <w:r>
              <w:rPr>
                <w:webHidden/>
                <w:rStyle w:val="IndexLink"/>
                <w:rFonts w:eastAsia="Times New Roman" w:cs="Arial" w:ascii="Arial" w:hAnsi="Arial"/>
                <w:b/>
                <w:bCs/>
                <w:sz w:val="24"/>
                <w:szCs w:val="24"/>
                <w:lang w:eastAsia="es-MX"/>
              </w:rPr>
              <w:t>Investigación (Convenio de Berna)</w:t>
            </w:r>
            <w:r>
              <w:rPr>
                <w:webHidden/>
              </w:rPr>
              <w:fldChar w:fldCharType="begin"/>
            </w:r>
            <w:r>
              <w:rPr>
                <w:webHidden/>
              </w:rPr>
              <w:instrText xml:space="preserve">PAGEREF _Toc118924326 \h</w:instrText>
            </w:r>
            <w:r>
              <w:rPr>
                <w:webHidden/>
              </w:rPr>
              <w:fldChar w:fldCharType="separate"/>
            </w:r>
            <w:r>
              <w:rPr>
                <w:rStyle w:val="IndexLink"/>
                <w:rFonts w:cs="Arial" w:ascii="Arial" w:hAnsi="Arial"/>
                <w:vanish w:val="false"/>
                <w:sz w:val="24"/>
                <w:szCs w:val="24"/>
              </w:rPr>
              <w:tab/>
              <w:t>5</w:t>
            </w:r>
            <w:r>
              <w:rPr>
                <w:webHidden/>
              </w:rPr>
              <w:fldChar w:fldCharType="end"/>
            </w:r>
          </w:hyperlink>
        </w:p>
        <w:p>
          <w:pPr>
            <w:pStyle w:val="Normal"/>
            <w:rPr/>
          </w:pPr>
          <w:r>
            <w:rPr/>
          </w:r>
        </w:p>
        <w:p>
          <w:pPr>
            <w:pStyle w:val="Contents1"/>
            <w:tabs>
              <w:tab w:val="clear" w:pos="708"/>
              <w:tab w:val="right" w:pos="8828" w:leader="dot"/>
            </w:tabs>
            <w:rPr>
              <w:rFonts w:ascii="Arial" w:hAnsi="Arial" w:eastAsia="" w:cs="Arial" w:eastAsiaTheme="minorEastAsia"/>
              <w:sz w:val="24"/>
              <w:szCs w:val="24"/>
              <w:lang w:eastAsia="es-MX"/>
            </w:rPr>
          </w:pPr>
          <w:hyperlink w:anchor="_Toc118924327">
            <w:r>
              <w:rPr>
                <w:webHidden/>
                <w:rStyle w:val="IndexLink"/>
                <w:rFonts w:cs="Arial" w:ascii="Arial" w:hAnsi="Arial"/>
                <w:b/>
                <w:bCs/>
                <w:sz w:val="24"/>
                <w:szCs w:val="24"/>
                <w:lang w:eastAsia="es-MX"/>
              </w:rPr>
              <w:t>Conclusiones</w:t>
            </w:r>
            <w:r>
              <w:rPr>
                <w:webHidden/>
              </w:rPr>
              <w:fldChar w:fldCharType="begin"/>
            </w:r>
            <w:r>
              <w:rPr>
                <w:webHidden/>
              </w:rPr>
              <w:instrText xml:space="preserve">PAGEREF _Toc118924327 \h</w:instrText>
            </w:r>
            <w:r>
              <w:rPr>
                <w:webHidden/>
              </w:rPr>
              <w:fldChar w:fldCharType="separate"/>
            </w:r>
            <w:r>
              <w:rPr>
                <w:rStyle w:val="IndexLink"/>
                <w:rFonts w:cs="Arial" w:ascii="Arial" w:hAnsi="Arial"/>
                <w:vanish w:val="false"/>
                <w:sz w:val="24"/>
                <w:szCs w:val="24"/>
              </w:rPr>
              <w:tab/>
              <w:t>6</w:t>
            </w:r>
            <w:r>
              <w:rPr>
                <w:webHidden/>
              </w:rPr>
              <w:fldChar w:fldCharType="end"/>
            </w:r>
          </w:hyperlink>
        </w:p>
        <w:p>
          <w:pPr>
            <w:pStyle w:val="Contents1"/>
            <w:tabs>
              <w:tab w:val="clear" w:pos="708"/>
              <w:tab w:val="right" w:pos="8828" w:leader="dot"/>
            </w:tabs>
            <w:rPr>
              <w:rFonts w:ascii="Arial" w:hAnsi="Arial" w:eastAsia="" w:cs="Arial" w:eastAsiaTheme="minorEastAsia"/>
              <w:sz w:val="24"/>
              <w:szCs w:val="24"/>
              <w:lang w:eastAsia="es-MX"/>
            </w:rPr>
          </w:pPr>
          <w:hyperlink w:anchor="_Toc118924328">
            <w:r>
              <w:rPr>
                <w:webHidden/>
                <w:rStyle w:val="IndexLink"/>
                <w:rFonts w:cs="Arial" w:ascii="Arial" w:hAnsi="Arial"/>
                <w:b/>
                <w:bCs/>
                <w:sz w:val="24"/>
                <w:szCs w:val="24"/>
                <w:lang w:eastAsia="es-MX"/>
              </w:rPr>
              <w:t>Fuentes de información</w:t>
            </w:r>
            <w:r>
              <w:rPr>
                <w:webHidden/>
              </w:rPr>
              <w:fldChar w:fldCharType="begin"/>
            </w:r>
            <w:r>
              <w:rPr>
                <w:webHidden/>
              </w:rPr>
              <w:instrText xml:space="preserve">PAGEREF _Toc118924328 \h</w:instrText>
            </w:r>
            <w:r>
              <w:rPr>
                <w:webHidden/>
              </w:rPr>
              <w:fldChar w:fldCharType="separate"/>
            </w:r>
            <w:r>
              <w:rPr>
                <w:rStyle w:val="IndexLink"/>
                <w:rFonts w:cs="Arial" w:ascii="Arial" w:hAnsi="Arial"/>
                <w:vanish w:val="false"/>
                <w:sz w:val="24"/>
                <w:szCs w:val="24"/>
              </w:rPr>
              <w:tab/>
              <w:t>7</w:t>
            </w:r>
            <w:r>
              <w:rPr>
                <w:webHidden/>
              </w:rPr>
              <w:fldChar w:fldCharType="end"/>
            </w:r>
          </w:hyperlink>
          <w:r>
            <w:rPr>
              <w:rStyle w:val="IndexLink"/>
              <w:sz w:val="24"/>
              <w:szCs w:val="24"/>
              <w:vanish w:val="false"/>
              <w:rFonts w:cs="Arial" w:ascii="Arial" w:hAnsi="Arial"/>
            </w:rPr>
            <w:fldChar w:fldCharType="end"/>
          </w:r>
        </w:p>
      </w:sdtContent>
    </w:sdt>
    <w:p>
      <w:pPr>
        <w:pStyle w:val="Normal"/>
        <w:widowControl/>
        <w:bidi w:val="0"/>
        <w:spacing w:lineRule="auto" w:line="259" w:before="0" w:after="160"/>
        <w:jc w:val="left"/>
        <w:rPr/>
      </w:pPr>
      <w:r>
        <w:rPr/>
      </w:r>
    </w:p>
    <w:p>
      <w:pPr>
        <w:pStyle w:val="Normal"/>
        <w:rPr>
          <w:rFonts w:ascii="Arial" w:hAnsi="Arial" w:eastAsia="Times New Roman" w:cs="Arial"/>
          <w:sz w:val="24"/>
          <w:szCs w:val="24"/>
          <w:lang w:eastAsia="es-MX"/>
        </w:rPr>
      </w:pPr>
      <w:r>
        <w:rPr>
          <w:rFonts w:eastAsia="Times New Roman" w:cs="Arial" w:ascii="Arial" w:hAnsi="Arial"/>
          <w:sz w:val="24"/>
          <w:szCs w:val="24"/>
          <w:lang w:eastAsia="es-MX"/>
        </w:rPr>
      </w:r>
    </w:p>
    <w:p>
      <w:pPr>
        <w:pStyle w:val="Normal"/>
        <w:rPr>
          <w:rFonts w:ascii="Arial" w:hAnsi="Arial" w:eastAsia="Times New Roman" w:cs="Arial"/>
          <w:sz w:val="24"/>
          <w:szCs w:val="24"/>
          <w:lang w:eastAsia="es-MX"/>
        </w:rPr>
      </w:pPr>
      <w:r>
        <w:rPr>
          <w:rFonts w:eastAsia="Times New Roman" w:cs="Arial" w:ascii="Arial" w:hAnsi="Arial"/>
          <w:sz w:val="24"/>
          <w:szCs w:val="24"/>
          <w:lang w:eastAsia="es-MX"/>
        </w:rPr>
      </w:r>
    </w:p>
    <w:p>
      <w:pPr>
        <w:pStyle w:val="Normal"/>
        <w:rPr>
          <w:rFonts w:ascii="Arial" w:hAnsi="Arial" w:eastAsia="Times New Roman" w:cs="Arial"/>
          <w:sz w:val="24"/>
          <w:szCs w:val="24"/>
          <w:lang w:eastAsia="es-MX"/>
        </w:rPr>
      </w:pPr>
      <w:r>
        <w:rPr>
          <w:rFonts w:eastAsia="Times New Roman" w:cs="Arial" w:ascii="Arial" w:hAnsi="Arial"/>
          <w:sz w:val="24"/>
          <w:szCs w:val="24"/>
          <w:lang w:eastAsia="es-MX"/>
        </w:rPr>
      </w:r>
    </w:p>
    <w:p>
      <w:pPr>
        <w:pStyle w:val="Normal"/>
        <w:rPr>
          <w:rFonts w:ascii="Arial" w:hAnsi="Arial" w:eastAsia="Times New Roman" w:cs="Arial"/>
          <w:sz w:val="24"/>
          <w:szCs w:val="24"/>
          <w:lang w:eastAsia="es-MX"/>
        </w:rPr>
      </w:pPr>
      <w:r>
        <w:rPr>
          <w:rFonts w:eastAsia="Times New Roman" w:cs="Arial" w:ascii="Arial" w:hAnsi="Arial"/>
          <w:sz w:val="24"/>
          <w:szCs w:val="24"/>
          <w:lang w:eastAsia="es-MX"/>
        </w:rPr>
      </w:r>
      <w:r>
        <w:br w:type="page"/>
      </w:r>
    </w:p>
    <w:p>
      <w:pPr>
        <w:pStyle w:val="Heading1"/>
        <w:pBdr>
          <w:bottom w:val="single" w:sz="6" w:space="1" w:color="000000"/>
        </w:pBdr>
        <w:rPr>
          <w:rFonts w:ascii="Times New Roman" w:hAnsi="Times New Roman" w:eastAsia="Times New Roman" w:cs="Times New Roman"/>
          <w:b/>
          <w:b/>
          <w:bCs/>
          <w:color w:val="auto"/>
          <w:sz w:val="28"/>
          <w:szCs w:val="28"/>
          <w:lang w:eastAsia="es-MX"/>
        </w:rPr>
      </w:pPr>
      <w:bookmarkStart w:id="4" w:name="_Toc118924323"/>
      <w:r>
        <w:rPr>
          <w:rFonts w:eastAsia="Times New Roman" w:cs="Times New Roman" w:ascii="Times New Roman" w:hAnsi="Times New Roman"/>
          <w:b/>
          <w:bCs/>
          <w:color w:val="auto"/>
          <w:sz w:val="28"/>
          <w:szCs w:val="28"/>
          <w:lang w:eastAsia="es-MX"/>
        </w:rPr>
        <w:t>Investigación (Leyes de seguridad en la información)</w:t>
      </w:r>
      <w:bookmarkEnd w:id="4"/>
    </w:p>
    <w:p>
      <w:pPr>
        <w:pStyle w:val="Normal"/>
        <w:jc w:val="both"/>
        <w:rPr>
          <w:rFonts w:ascii="Arial" w:hAnsi="Arial"/>
          <w:b w:val="false"/>
          <w:i w:val="false"/>
          <w:caps w:val="false"/>
          <w:smallCaps w:val="false"/>
          <w:color w:val="000000"/>
          <w:spacing w:val="0"/>
          <w:sz w:val="24"/>
          <w:szCs w:val="24"/>
          <w:lang w:eastAsia="es-MX"/>
        </w:rPr>
      </w:pPr>
      <w:r>
        <w:rPr>
          <w:rFonts w:ascii="Arial" w:hAnsi="Arial"/>
          <w:b w:val="false"/>
          <w:i w:val="false"/>
          <w:caps w:val="false"/>
          <w:smallCaps w:val="false"/>
          <w:color w:val="000000"/>
          <w:spacing w:val="0"/>
          <w:sz w:val="24"/>
          <w:szCs w:val="24"/>
          <w:lang w:eastAsia="es-MX"/>
        </w:rPr>
        <w:t>Las normas ISO son normas o estándares de seguridad establecidas por la Organización Internacional para la Estandarización (ISO) y la Comisión Electrotécnica Internacional (IEC) que se encargan de establecer estándares y guías relacionados con sistemas de gestión y aplicables a cualquier tipo de organización internacionales y mundiales, con el propósito de facilitar el comercio, facilitar el intercambio de información y contribuir a la transferencia de tecnologías.</w:t>
      </w:r>
    </w:p>
    <w:p>
      <w:pPr>
        <w:pStyle w:val="TextBody"/>
        <w:jc w:val="both"/>
        <w:rPr>
          <w:rFonts w:ascii="Arial" w:hAnsi="Arial"/>
          <w:b w:val="false"/>
          <w:i w:val="false"/>
          <w:caps w:val="false"/>
          <w:smallCaps w:val="false"/>
          <w:color w:val="000000"/>
          <w:spacing w:val="0"/>
          <w:sz w:val="24"/>
          <w:szCs w:val="24"/>
          <w:lang w:eastAsia="es-MX"/>
        </w:rPr>
      </w:pPr>
      <w:r>
        <w:rPr>
          <w:rFonts w:ascii="Arial" w:hAnsi="Arial"/>
          <w:b w:val="false"/>
          <w:i w:val="false"/>
          <w:caps w:val="false"/>
          <w:smallCaps w:val="false"/>
          <w:color w:val="000000"/>
          <w:spacing w:val="0"/>
          <w:sz w:val="24"/>
          <w:szCs w:val="24"/>
          <w:lang w:eastAsia="es-MX"/>
        </w:rPr>
        <w:t>La seguridad de la información, según la ISO 27001, se basa en la preservación de su confidencialidad, integridad y disponibilidad, así como la de los sistemas aplicados para su tratamiento.</w:t>
      </w:r>
    </w:p>
    <w:p>
      <w:pPr>
        <w:pStyle w:val="TextBody"/>
        <w:widowControl/>
        <w:numPr>
          <w:ilvl w:val="0"/>
          <w:numId w:val="1"/>
        </w:numPr>
        <w:tabs>
          <w:tab w:val="clear" w:pos="708"/>
          <w:tab w:val="left" w:pos="0" w:leader="none"/>
        </w:tabs>
        <w:spacing w:before="0" w:after="0"/>
        <w:ind w:left="709" w:hanging="0"/>
        <w:jc w:val="both"/>
        <w:rPr/>
      </w:pPr>
      <w:r>
        <w:rPr>
          <w:rStyle w:val="StrongEmphasis"/>
          <w:rFonts w:ascii="Arial" w:hAnsi="Arial"/>
          <w:b w:val="false"/>
          <w:i w:val="false"/>
          <w:caps w:val="false"/>
          <w:smallCaps w:val="false"/>
          <w:color w:val="000000"/>
          <w:spacing w:val="0"/>
          <w:sz w:val="24"/>
          <w:szCs w:val="24"/>
        </w:rPr>
        <w:t>Confidencialidad</w:t>
      </w:r>
      <w:r>
        <w:rPr>
          <w:rFonts w:ascii="Arial" w:hAnsi="Arial"/>
          <w:b w:val="false"/>
          <w:i w:val="false"/>
          <w:caps w:val="false"/>
          <w:smallCaps w:val="false"/>
          <w:color w:val="000000"/>
          <w:spacing w:val="0"/>
          <w:sz w:val="24"/>
          <w:szCs w:val="24"/>
        </w:rPr>
        <w:t>: la información no se pone a disposición ni se revela a individuos, entidades o procesos no autorizados.</w:t>
      </w:r>
    </w:p>
    <w:p>
      <w:pPr>
        <w:pStyle w:val="TextBody"/>
        <w:widowControl/>
        <w:numPr>
          <w:ilvl w:val="0"/>
          <w:numId w:val="1"/>
        </w:numPr>
        <w:tabs>
          <w:tab w:val="clear" w:pos="708"/>
          <w:tab w:val="left" w:pos="0" w:leader="none"/>
        </w:tabs>
        <w:spacing w:before="0" w:after="0"/>
        <w:ind w:left="709" w:hanging="0"/>
        <w:jc w:val="both"/>
        <w:rPr/>
      </w:pPr>
      <w:r>
        <w:rPr>
          <w:rStyle w:val="StrongEmphasis"/>
          <w:rFonts w:ascii="Arial" w:hAnsi="Arial"/>
          <w:b w:val="false"/>
          <w:i w:val="false"/>
          <w:caps w:val="false"/>
          <w:smallCaps w:val="false"/>
          <w:color w:val="000000"/>
          <w:spacing w:val="0"/>
          <w:sz w:val="24"/>
          <w:szCs w:val="24"/>
        </w:rPr>
        <w:t>Integridad</w:t>
      </w:r>
      <w:r>
        <w:rPr>
          <w:rFonts w:ascii="Arial" w:hAnsi="Arial"/>
          <w:b w:val="false"/>
          <w:i w:val="false"/>
          <w:caps w:val="false"/>
          <w:smallCaps w:val="false"/>
          <w:color w:val="000000"/>
          <w:spacing w:val="0"/>
          <w:sz w:val="24"/>
          <w:szCs w:val="24"/>
        </w:rPr>
        <w:t>: mantenimiento de la exactitud y completitud de la información y sus métodos de proceso.</w:t>
      </w:r>
    </w:p>
    <w:p>
      <w:pPr>
        <w:pStyle w:val="TextBody"/>
        <w:widowControl/>
        <w:numPr>
          <w:ilvl w:val="0"/>
          <w:numId w:val="1"/>
        </w:numPr>
        <w:tabs>
          <w:tab w:val="clear" w:pos="708"/>
          <w:tab w:val="left" w:pos="0" w:leader="none"/>
        </w:tabs>
        <w:ind w:left="709" w:hanging="0"/>
        <w:jc w:val="both"/>
        <w:rPr/>
      </w:pPr>
      <w:r>
        <w:rPr>
          <w:rStyle w:val="StrongEmphasis"/>
          <w:rFonts w:ascii="Arial" w:hAnsi="Arial"/>
          <w:b w:val="false"/>
          <w:i w:val="false"/>
          <w:caps w:val="false"/>
          <w:smallCaps w:val="false"/>
          <w:color w:val="000000"/>
          <w:spacing w:val="0"/>
          <w:sz w:val="24"/>
          <w:szCs w:val="24"/>
        </w:rPr>
        <w:t>Disponibilidad</w:t>
      </w:r>
      <w:r>
        <w:rPr>
          <w:rFonts w:ascii="Arial" w:hAnsi="Arial"/>
          <w:b w:val="false"/>
          <w:i w:val="false"/>
          <w:caps w:val="false"/>
          <w:smallCaps w:val="false"/>
          <w:color w:val="000000"/>
          <w:spacing w:val="0"/>
          <w:sz w:val="24"/>
          <w:szCs w:val="24"/>
        </w:rPr>
        <w:t>: acceso y utilización de la información y los sistemas de tratamiento de la misma por parte de los individuos o procesos autorizados cuando lo requieran.  </w:t>
      </w:r>
    </w:p>
    <w:p>
      <w:pPr>
        <w:pStyle w:val="TextBody"/>
        <w:rPr>
          <w:rFonts w:ascii="Arial" w:hAnsi="Arial"/>
          <w:b w:val="false"/>
          <w:i w:val="false"/>
          <w:caps w:val="false"/>
          <w:smallCaps w:val="false"/>
          <w:color w:val="000000"/>
          <w:spacing w:val="0"/>
          <w:sz w:val="24"/>
          <w:szCs w:val="24"/>
          <w:lang w:eastAsia="es-MX"/>
        </w:rPr>
      </w:pPr>
      <w:r>
        <w:rPr>
          <w:rFonts w:ascii="Arial" w:hAnsi="Arial"/>
          <w:b w:val="false"/>
          <w:i w:val="false"/>
          <w:caps w:val="false"/>
          <w:smallCaps w:val="false"/>
          <w:color w:val="000000"/>
          <w:spacing w:val="0"/>
          <w:sz w:val="24"/>
          <w:szCs w:val="24"/>
          <w:lang w:eastAsia="es-MX"/>
        </w:rPr>
        <w:t>Dentro de este conjunto están:</w:t>
      </w:r>
    </w:p>
    <w:tbl>
      <w:tblPr>
        <w:tblW w:w="8838" w:type="dxa"/>
        <w:jc w:val="left"/>
        <w:tblInd w:w="-15" w:type="dxa"/>
        <w:tblLayout w:type="fixed"/>
        <w:tblCellMar>
          <w:top w:w="28" w:type="dxa"/>
          <w:left w:w="28" w:type="dxa"/>
          <w:bottom w:w="28" w:type="dxa"/>
          <w:right w:w="28" w:type="dxa"/>
        </w:tblCellMar>
      </w:tblPr>
      <w:tblGrid>
        <w:gridCol w:w="1330"/>
        <w:gridCol w:w="7508"/>
      </w:tblGrid>
      <w:tr>
        <w:trPr/>
        <w:tc>
          <w:tcPr>
            <w:tcW w:w="1330" w:type="dxa"/>
            <w:tcBorders>
              <w:top w:val="double" w:sz="4" w:space="0" w:color="808080"/>
              <w:left w:val="double" w:sz="4" w:space="0" w:color="808080"/>
              <w:bottom w:val="double" w:sz="2" w:space="0" w:color="808080"/>
              <w:right w:val="double" w:sz="4" w:space="0" w:color="808080"/>
            </w:tcBorders>
            <w:vAlign w:val="center"/>
          </w:tcPr>
          <w:p>
            <w:pPr>
              <w:pStyle w:val="TableContents"/>
              <w:widowControl w:val="false"/>
              <w:suppressLineNumbers/>
              <w:spacing w:before="0" w:after="160"/>
              <w:rPr/>
            </w:pPr>
            <w:r>
              <w:rPr>
                <w:rFonts w:ascii="Arial" w:hAnsi="Arial"/>
                <w:color w:val="000000"/>
                <w:sz w:val="24"/>
                <w:szCs w:val="24"/>
              </w:rPr>
              <w:t> </w:t>
            </w:r>
            <w:r>
              <w:rPr>
                <w:rStyle w:val="StrongEmphasis"/>
                <w:rFonts w:ascii="Arial" w:hAnsi="Arial"/>
                <w:color w:val="000000"/>
                <w:sz w:val="24"/>
                <w:szCs w:val="24"/>
              </w:rPr>
              <w:t>Norma</w:t>
            </w:r>
          </w:p>
        </w:tc>
        <w:tc>
          <w:tcPr>
            <w:tcW w:w="7508" w:type="dxa"/>
            <w:tcBorders>
              <w:top w:val="double" w:sz="4" w:space="0" w:color="808080"/>
              <w:left w:val="double" w:sz="2" w:space="0" w:color="808080"/>
              <w:bottom w:val="double" w:sz="2" w:space="0" w:color="808080"/>
              <w:right w:val="double" w:sz="4" w:space="0" w:color="808080"/>
            </w:tcBorders>
            <w:vAlign w:val="center"/>
          </w:tcPr>
          <w:p>
            <w:pPr>
              <w:pStyle w:val="TableContents"/>
              <w:widowControl w:val="false"/>
              <w:suppressLineNumbers/>
              <w:spacing w:before="0" w:after="160"/>
              <w:rPr/>
            </w:pPr>
            <w:r>
              <w:rPr>
                <w:rFonts w:ascii="Arial" w:hAnsi="Arial"/>
                <w:color w:val="000000"/>
                <w:sz w:val="24"/>
                <w:szCs w:val="24"/>
              </w:rPr>
              <w:t> </w:t>
            </w:r>
            <w:r>
              <w:rPr>
                <w:rStyle w:val="StrongEmphasis"/>
                <w:rFonts w:ascii="Arial" w:hAnsi="Arial"/>
                <w:color w:val="000000"/>
                <w:sz w:val="24"/>
                <w:szCs w:val="24"/>
              </w:rPr>
              <w:t>Descripción</w:t>
            </w:r>
          </w:p>
        </w:tc>
      </w:tr>
      <w:tr>
        <w:trPr/>
        <w:tc>
          <w:tcPr>
            <w:tcW w:w="1330" w:type="dxa"/>
            <w:tcBorders>
              <w:left w:val="double" w:sz="4" w:space="0" w:color="808080"/>
              <w:bottom w:val="double" w:sz="2" w:space="0" w:color="808080"/>
              <w:right w:val="double" w:sz="4" w:space="0" w:color="808080"/>
            </w:tcBorders>
            <w:vAlign w:val="center"/>
          </w:tcPr>
          <w:p>
            <w:pPr>
              <w:pStyle w:val="TableContents"/>
              <w:widowControl w:val="false"/>
              <w:suppressLineNumbers/>
              <w:spacing w:before="0" w:after="160"/>
              <w:rPr/>
            </w:pPr>
            <w:r>
              <w:rPr>
                <w:rStyle w:val="StrongEmphasis"/>
                <w:rFonts w:ascii="Arial" w:hAnsi="Arial"/>
                <w:color w:val="000000"/>
                <w:sz w:val="24"/>
                <w:szCs w:val="24"/>
              </w:rPr>
              <w:t>ISO/IEC 27000</w:t>
            </w:r>
          </w:p>
        </w:tc>
        <w:tc>
          <w:tcPr>
            <w:tcW w:w="7508" w:type="dxa"/>
            <w:tcBorders>
              <w:left w:val="double" w:sz="2" w:space="0" w:color="808080"/>
              <w:bottom w:val="double" w:sz="2" w:space="0" w:color="808080"/>
              <w:right w:val="double" w:sz="4" w:space="0" w:color="808080"/>
            </w:tcBorders>
            <w:vAlign w:val="center"/>
          </w:tcPr>
          <w:p>
            <w:pPr>
              <w:pStyle w:val="TableContents"/>
              <w:spacing w:before="0" w:after="160"/>
              <w:rPr>
                <w:rFonts w:ascii="Arial" w:hAnsi="Arial"/>
                <w:color w:val="000000"/>
                <w:sz w:val="24"/>
                <w:szCs w:val="24"/>
              </w:rPr>
            </w:pPr>
            <w:r>
              <w:rPr>
                <w:rFonts w:ascii="Arial" w:hAnsi="Arial"/>
                <w:color w:val="000000"/>
                <w:sz w:val="24"/>
                <w:szCs w:val="24"/>
              </w:rPr>
              <w:t>Vocabulario estándar para el SGSI para todas las normas de la familia.. Se encuentra en desarrollo actualmente.</w:t>
            </w:r>
          </w:p>
        </w:tc>
      </w:tr>
      <w:tr>
        <w:trPr/>
        <w:tc>
          <w:tcPr>
            <w:tcW w:w="1330" w:type="dxa"/>
            <w:tcBorders>
              <w:left w:val="double" w:sz="4" w:space="0" w:color="808080"/>
              <w:bottom w:val="double" w:sz="2" w:space="0" w:color="808080"/>
              <w:right w:val="double" w:sz="4" w:space="0" w:color="808080"/>
            </w:tcBorders>
            <w:vAlign w:val="center"/>
          </w:tcPr>
          <w:p>
            <w:pPr>
              <w:pStyle w:val="TableContents"/>
              <w:widowControl w:val="false"/>
              <w:suppressLineNumbers/>
              <w:spacing w:before="0" w:after="160"/>
              <w:rPr/>
            </w:pPr>
            <w:r>
              <w:rPr>
                <w:rStyle w:val="StrongEmphasis"/>
                <w:rFonts w:ascii="Arial" w:hAnsi="Arial"/>
                <w:color w:val="000000"/>
                <w:sz w:val="24"/>
                <w:szCs w:val="24"/>
              </w:rPr>
              <w:t>ISO/IEC 27001</w:t>
            </w:r>
          </w:p>
        </w:tc>
        <w:tc>
          <w:tcPr>
            <w:tcW w:w="7508" w:type="dxa"/>
            <w:tcBorders>
              <w:left w:val="double" w:sz="2" w:space="0" w:color="808080"/>
              <w:bottom w:val="double" w:sz="2" w:space="0" w:color="808080"/>
              <w:right w:val="double" w:sz="4" w:space="0" w:color="808080"/>
            </w:tcBorders>
            <w:vAlign w:val="center"/>
          </w:tcPr>
          <w:p>
            <w:pPr>
              <w:pStyle w:val="TableContents"/>
              <w:spacing w:before="0" w:after="160"/>
              <w:jc w:val="both"/>
              <w:rPr>
                <w:rFonts w:ascii="Arial" w:hAnsi="Arial"/>
                <w:color w:val="000000"/>
                <w:sz w:val="24"/>
                <w:szCs w:val="24"/>
              </w:rPr>
            </w:pPr>
            <w:r>
              <w:rPr>
                <w:rFonts w:ascii="Arial" w:hAnsi="Arial"/>
                <w:color w:val="000000"/>
                <w:sz w:val="24"/>
                <w:szCs w:val="24"/>
              </w:rPr>
              <w:t>Certificación que deben obtener las organizaciones. Norma que especifica los requisitos para la implantación del SGSI. Es la norma más importante de la familia. Adopta un enfoque de gestión de riesgos y promueve la mejora continua de los procesos. Fue publicada como estándar internacional en octubre de 2005.</w:t>
            </w:r>
          </w:p>
        </w:tc>
      </w:tr>
      <w:tr>
        <w:trPr/>
        <w:tc>
          <w:tcPr>
            <w:tcW w:w="1330" w:type="dxa"/>
            <w:tcBorders>
              <w:left w:val="double" w:sz="4" w:space="0" w:color="808080"/>
              <w:bottom w:val="double" w:sz="2" w:space="0" w:color="808080"/>
              <w:right w:val="double" w:sz="4" w:space="0" w:color="808080"/>
            </w:tcBorders>
            <w:vAlign w:val="center"/>
          </w:tcPr>
          <w:p>
            <w:pPr>
              <w:pStyle w:val="TableContents"/>
              <w:widowControl w:val="false"/>
              <w:suppressLineNumbers/>
              <w:spacing w:before="0" w:after="160"/>
              <w:rPr/>
            </w:pPr>
            <w:r>
              <w:rPr>
                <w:rStyle w:val="StrongEmphasis"/>
                <w:rFonts w:ascii="Arial" w:hAnsi="Arial"/>
                <w:color w:val="000000"/>
                <w:sz w:val="24"/>
                <w:szCs w:val="24"/>
              </w:rPr>
              <w:t>ISO/IEC 27002</w:t>
            </w:r>
          </w:p>
        </w:tc>
        <w:tc>
          <w:tcPr>
            <w:tcW w:w="7508" w:type="dxa"/>
            <w:tcBorders>
              <w:left w:val="double" w:sz="2" w:space="0" w:color="808080"/>
              <w:bottom w:val="double" w:sz="2" w:space="0" w:color="808080"/>
              <w:right w:val="double" w:sz="4" w:space="0" w:color="808080"/>
            </w:tcBorders>
            <w:vAlign w:val="center"/>
          </w:tcPr>
          <w:p>
            <w:pPr>
              <w:pStyle w:val="TableContents"/>
              <w:spacing w:before="0" w:after="160"/>
              <w:jc w:val="both"/>
              <w:rPr/>
            </w:pPr>
            <w:r>
              <w:rPr>
                <w:rStyle w:val="Emphasis"/>
                <w:rFonts w:ascii="Arial" w:hAnsi="Arial"/>
                <w:color w:val="000000"/>
                <w:sz w:val="24"/>
                <w:szCs w:val="24"/>
              </w:rPr>
              <w:t>Information technology - Security techniques - Code of practice for information security management</w:t>
            </w:r>
            <w:r>
              <w:rPr>
                <w:rFonts w:ascii="Arial" w:hAnsi="Arial"/>
                <w:color w:val="000000"/>
                <w:sz w:val="24"/>
                <w:szCs w:val="24"/>
              </w:rPr>
              <w:t>. Previamente BS 7799 Parte 1 y la norma ISO/IEC 17799. Es un </w:t>
            </w:r>
            <w:r>
              <w:rPr>
                <w:rStyle w:val="StrongEmphasis"/>
                <w:rFonts w:ascii="Arial" w:hAnsi="Arial"/>
                <w:color w:val="000000"/>
                <w:sz w:val="24"/>
                <w:szCs w:val="24"/>
              </w:rPr>
              <w:t>código de buenas prácticas</w:t>
            </w:r>
            <w:r>
              <w:rPr>
                <w:rFonts w:ascii="Arial" w:hAnsi="Arial"/>
                <w:color w:val="000000"/>
                <w:sz w:val="24"/>
                <w:szCs w:val="24"/>
              </w:rPr>
              <w:t> para la gestión de seguridad de la información. Fue publicada en julio de 2005 como ISO 17799:2005 y recibió su nombre oficial ISO/IEC 27002:2005 el 1 de julio de 2007.</w:t>
            </w:r>
          </w:p>
        </w:tc>
      </w:tr>
      <w:tr>
        <w:trPr/>
        <w:tc>
          <w:tcPr>
            <w:tcW w:w="1330" w:type="dxa"/>
            <w:tcBorders>
              <w:left w:val="double" w:sz="4" w:space="0" w:color="808080"/>
              <w:bottom w:val="double" w:sz="2" w:space="0" w:color="808080"/>
              <w:right w:val="double" w:sz="4" w:space="0" w:color="808080"/>
            </w:tcBorders>
            <w:vAlign w:val="center"/>
          </w:tcPr>
          <w:p>
            <w:pPr>
              <w:pStyle w:val="TableContents"/>
              <w:widowControl w:val="false"/>
              <w:suppressLineNumbers/>
              <w:spacing w:before="0" w:after="160"/>
              <w:rPr/>
            </w:pPr>
            <w:r>
              <w:rPr>
                <w:rStyle w:val="StrongEmphasis"/>
                <w:rFonts w:ascii="Arial" w:hAnsi="Arial"/>
                <w:color w:val="000000"/>
                <w:sz w:val="24"/>
                <w:szCs w:val="24"/>
              </w:rPr>
              <w:t>ISO/IEC 27003</w:t>
            </w:r>
          </w:p>
        </w:tc>
        <w:tc>
          <w:tcPr>
            <w:tcW w:w="7508" w:type="dxa"/>
            <w:tcBorders>
              <w:left w:val="double" w:sz="2" w:space="0" w:color="808080"/>
              <w:bottom w:val="double" w:sz="2" w:space="0" w:color="808080"/>
              <w:right w:val="double" w:sz="4" w:space="0" w:color="808080"/>
            </w:tcBorders>
            <w:vAlign w:val="center"/>
          </w:tcPr>
          <w:p>
            <w:pPr>
              <w:pStyle w:val="TableContents"/>
              <w:spacing w:before="0" w:after="160"/>
              <w:jc w:val="both"/>
              <w:rPr>
                <w:rFonts w:ascii="Arial" w:hAnsi="Arial"/>
                <w:color w:val="000000"/>
                <w:sz w:val="24"/>
                <w:szCs w:val="24"/>
              </w:rPr>
            </w:pPr>
            <w:r>
              <w:rPr>
                <w:rFonts w:ascii="Arial" w:hAnsi="Arial"/>
                <w:color w:val="000000"/>
                <w:sz w:val="24"/>
                <w:szCs w:val="24"/>
              </w:rPr>
              <w:t>Directrices para la implementación de un SGSI. Es el soporte de la norma ISO/IEC 27001. Publicada el 1 de febrero del 2010, No está certificada actualmente.</w:t>
            </w:r>
          </w:p>
        </w:tc>
      </w:tr>
      <w:tr>
        <w:trPr/>
        <w:tc>
          <w:tcPr>
            <w:tcW w:w="1330" w:type="dxa"/>
            <w:tcBorders>
              <w:left w:val="double" w:sz="4" w:space="0" w:color="808080"/>
              <w:bottom w:val="double" w:sz="2" w:space="0" w:color="808080"/>
              <w:right w:val="double" w:sz="4" w:space="0" w:color="808080"/>
            </w:tcBorders>
            <w:vAlign w:val="center"/>
          </w:tcPr>
          <w:p>
            <w:pPr>
              <w:pStyle w:val="TableContents"/>
              <w:widowControl w:val="false"/>
              <w:suppressLineNumbers/>
              <w:spacing w:before="0" w:after="160"/>
              <w:rPr/>
            </w:pPr>
            <w:r>
              <w:rPr>
                <w:rStyle w:val="StrongEmphasis"/>
                <w:rFonts w:ascii="Arial" w:hAnsi="Arial"/>
                <w:color w:val="000000"/>
                <w:sz w:val="24"/>
                <w:szCs w:val="24"/>
              </w:rPr>
              <w:t>ISO/IEC 27004</w:t>
            </w:r>
          </w:p>
        </w:tc>
        <w:tc>
          <w:tcPr>
            <w:tcW w:w="7508" w:type="dxa"/>
            <w:tcBorders>
              <w:left w:val="double" w:sz="2" w:space="0" w:color="808080"/>
              <w:bottom w:val="double" w:sz="2" w:space="0" w:color="808080"/>
              <w:right w:val="double" w:sz="4" w:space="0" w:color="808080"/>
            </w:tcBorders>
            <w:vAlign w:val="center"/>
          </w:tcPr>
          <w:p>
            <w:pPr>
              <w:pStyle w:val="TableContents"/>
              <w:spacing w:before="0" w:after="160"/>
              <w:jc w:val="both"/>
              <w:rPr>
                <w:rFonts w:ascii="Arial" w:hAnsi="Arial"/>
                <w:color w:val="000000"/>
                <w:sz w:val="24"/>
                <w:szCs w:val="24"/>
              </w:rPr>
            </w:pPr>
            <w:r>
              <w:rPr>
                <w:rFonts w:ascii="Arial" w:hAnsi="Arial"/>
                <w:color w:val="000000"/>
                <w:sz w:val="24"/>
                <w:szCs w:val="24"/>
              </w:rPr>
              <w:t>Métricas para la gestión de seguridad de la información. Es la que proporciona recomendaciones de quién, cuándo y cómo realizar mediciones de seguridad de la información. Publicada el 7 de diciembre del 2009, no se encuentra traducida al español actualmente.</w:t>
            </w:r>
          </w:p>
        </w:tc>
      </w:tr>
      <w:tr>
        <w:trPr/>
        <w:tc>
          <w:tcPr>
            <w:tcW w:w="1330" w:type="dxa"/>
            <w:tcBorders>
              <w:left w:val="double" w:sz="4" w:space="0" w:color="808080"/>
              <w:bottom w:val="double" w:sz="2" w:space="0" w:color="808080"/>
              <w:right w:val="double" w:sz="4" w:space="0" w:color="808080"/>
            </w:tcBorders>
            <w:vAlign w:val="center"/>
          </w:tcPr>
          <w:p>
            <w:pPr>
              <w:pStyle w:val="TableContents"/>
              <w:widowControl w:val="false"/>
              <w:suppressLineNumbers/>
              <w:spacing w:before="0" w:after="160"/>
              <w:rPr/>
            </w:pPr>
            <w:r>
              <w:rPr>
                <w:rStyle w:val="StrongEmphasis"/>
                <w:rFonts w:ascii="Arial" w:hAnsi="Arial"/>
                <w:color w:val="000000"/>
                <w:sz w:val="24"/>
                <w:szCs w:val="24"/>
              </w:rPr>
              <w:t>ISO/IEC 27005</w:t>
            </w:r>
          </w:p>
        </w:tc>
        <w:tc>
          <w:tcPr>
            <w:tcW w:w="7508" w:type="dxa"/>
            <w:tcBorders>
              <w:left w:val="double" w:sz="2" w:space="0" w:color="808080"/>
              <w:bottom w:val="double" w:sz="2" w:space="0" w:color="808080"/>
              <w:right w:val="double" w:sz="4" w:space="0" w:color="808080"/>
            </w:tcBorders>
            <w:vAlign w:val="center"/>
          </w:tcPr>
          <w:p>
            <w:pPr>
              <w:pStyle w:val="TableContents"/>
              <w:spacing w:before="0" w:after="160"/>
              <w:jc w:val="both"/>
              <w:rPr>
                <w:rFonts w:ascii="Arial" w:hAnsi="Arial"/>
                <w:color w:val="000000"/>
                <w:sz w:val="24"/>
                <w:szCs w:val="24"/>
              </w:rPr>
            </w:pPr>
            <w:r>
              <w:rPr>
                <w:rFonts w:ascii="Arial" w:hAnsi="Arial"/>
                <w:color w:val="000000"/>
                <w:sz w:val="24"/>
                <w:szCs w:val="24"/>
              </w:rPr>
              <w:t>Normativa dedicada exclusivamente a la gestión de riesgos en seguridad de la información. Proporciona recomendaciones y lineamientos de métodos y técnicas de evaluación de riesgos de Seguridad en la Información, en soporte del proceso de gestión de riesgos de la norma ISO/IEC 27001. Es la más relacionada a la actual British Standar BS 7799 parte 3. Publicada en junio de 2008.</w:t>
            </w:r>
          </w:p>
        </w:tc>
      </w:tr>
      <w:tr>
        <w:trPr/>
        <w:tc>
          <w:tcPr>
            <w:tcW w:w="1330" w:type="dxa"/>
            <w:tcBorders>
              <w:left w:val="double" w:sz="4" w:space="0" w:color="808080"/>
              <w:bottom w:val="double" w:sz="2" w:space="0" w:color="808080"/>
              <w:right w:val="double" w:sz="4" w:space="0" w:color="808080"/>
            </w:tcBorders>
            <w:vAlign w:val="center"/>
          </w:tcPr>
          <w:p>
            <w:pPr>
              <w:pStyle w:val="TableContents"/>
              <w:widowControl w:val="false"/>
              <w:suppressLineNumbers/>
              <w:spacing w:before="0" w:after="160"/>
              <w:rPr/>
            </w:pPr>
            <w:r>
              <w:rPr>
                <w:rStyle w:val="StrongEmphasis"/>
                <w:rFonts w:ascii="Arial" w:hAnsi="Arial"/>
                <w:color w:val="000000"/>
                <w:sz w:val="24"/>
                <w:szCs w:val="24"/>
              </w:rPr>
              <w:t>ISO/IEC 27006</w:t>
            </w:r>
          </w:p>
        </w:tc>
        <w:tc>
          <w:tcPr>
            <w:tcW w:w="7508" w:type="dxa"/>
            <w:tcBorders>
              <w:left w:val="double" w:sz="2" w:space="0" w:color="808080"/>
              <w:bottom w:val="double" w:sz="2" w:space="0" w:color="808080"/>
              <w:right w:val="double" w:sz="4" w:space="0" w:color="808080"/>
            </w:tcBorders>
            <w:vAlign w:val="center"/>
          </w:tcPr>
          <w:p>
            <w:pPr>
              <w:pStyle w:val="TableContents"/>
              <w:spacing w:before="0" w:after="160"/>
              <w:jc w:val="both"/>
              <w:rPr>
                <w:rFonts w:ascii="Arial" w:hAnsi="Arial"/>
                <w:color w:val="000000"/>
                <w:sz w:val="24"/>
                <w:szCs w:val="24"/>
              </w:rPr>
            </w:pPr>
            <w:r>
              <w:rPr>
                <w:rFonts w:ascii="Arial" w:hAnsi="Arial"/>
                <w:color w:val="000000"/>
                <w:sz w:val="24"/>
                <w:szCs w:val="24"/>
              </w:rPr>
              <w:t>Requisitos para la acreditación de las organizaciones que proporcionan la certificación de los sistemas de gestión de la seguridad de la información. Esta norma especifica requisitos para la certificación de SGSI y es usada en conjunto con la norma 17021-1, la norma genérica de acreditación.</w:t>
            </w:r>
          </w:p>
        </w:tc>
      </w:tr>
      <w:tr>
        <w:trPr/>
        <w:tc>
          <w:tcPr>
            <w:tcW w:w="1330" w:type="dxa"/>
            <w:tcBorders>
              <w:left w:val="double" w:sz="4" w:space="0" w:color="808080"/>
              <w:bottom w:val="double" w:sz="2" w:space="0" w:color="808080"/>
              <w:right w:val="double" w:sz="4" w:space="0" w:color="808080"/>
            </w:tcBorders>
            <w:vAlign w:val="center"/>
          </w:tcPr>
          <w:p>
            <w:pPr>
              <w:pStyle w:val="TableContents"/>
              <w:widowControl w:val="false"/>
              <w:suppressLineNumbers/>
              <w:spacing w:before="0" w:after="160"/>
              <w:rPr/>
            </w:pPr>
            <w:r>
              <w:rPr>
                <w:rStyle w:val="StrongEmphasis"/>
                <w:rFonts w:ascii="Arial" w:hAnsi="Arial"/>
                <w:color w:val="000000"/>
                <w:sz w:val="24"/>
                <w:szCs w:val="24"/>
              </w:rPr>
              <w:t>ISO/IEC 27007</w:t>
            </w:r>
          </w:p>
        </w:tc>
        <w:tc>
          <w:tcPr>
            <w:tcW w:w="7508" w:type="dxa"/>
            <w:tcBorders>
              <w:left w:val="double" w:sz="2" w:space="0" w:color="808080"/>
              <w:bottom w:val="double" w:sz="2" w:space="0" w:color="808080"/>
              <w:right w:val="double" w:sz="4" w:space="0" w:color="808080"/>
            </w:tcBorders>
            <w:vAlign w:val="center"/>
          </w:tcPr>
          <w:p>
            <w:pPr>
              <w:pStyle w:val="TableContents"/>
              <w:spacing w:before="0" w:after="160"/>
              <w:rPr>
                <w:rFonts w:ascii="Arial" w:hAnsi="Arial"/>
                <w:color w:val="000000"/>
                <w:sz w:val="24"/>
                <w:szCs w:val="24"/>
              </w:rPr>
            </w:pPr>
            <w:r>
              <w:rPr>
                <w:rFonts w:ascii="Arial" w:hAnsi="Arial"/>
                <w:color w:val="000000"/>
                <w:sz w:val="24"/>
                <w:szCs w:val="24"/>
              </w:rPr>
              <w:t>Guía para auditar al SGSI. Se encuentra en preparación.</w:t>
            </w:r>
          </w:p>
        </w:tc>
      </w:tr>
      <w:tr>
        <w:trPr/>
        <w:tc>
          <w:tcPr>
            <w:tcW w:w="1330" w:type="dxa"/>
            <w:tcBorders>
              <w:left w:val="double" w:sz="4" w:space="0" w:color="808080"/>
              <w:bottom w:val="double" w:sz="4" w:space="0" w:color="808080"/>
              <w:right w:val="double" w:sz="4" w:space="0" w:color="808080"/>
            </w:tcBorders>
            <w:vAlign w:val="center"/>
          </w:tcPr>
          <w:p>
            <w:pPr>
              <w:pStyle w:val="TableContents"/>
              <w:widowControl w:val="false"/>
              <w:suppressLineNumbers/>
              <w:spacing w:before="0" w:after="160"/>
              <w:rPr/>
            </w:pPr>
            <w:r>
              <w:rPr>
                <w:rStyle w:val="StrongEmphasis"/>
                <w:rFonts w:ascii="Arial" w:hAnsi="Arial"/>
                <w:color w:val="000000"/>
                <w:sz w:val="24"/>
                <w:szCs w:val="24"/>
              </w:rPr>
              <w:t>ISO/IEC 27799:2008</w:t>
            </w:r>
          </w:p>
        </w:tc>
        <w:tc>
          <w:tcPr>
            <w:tcW w:w="7508" w:type="dxa"/>
            <w:tcBorders>
              <w:left w:val="double" w:sz="2" w:space="0" w:color="808080"/>
              <w:bottom w:val="double" w:sz="4" w:space="0" w:color="808080"/>
              <w:right w:val="double" w:sz="4" w:space="0" w:color="808080"/>
            </w:tcBorders>
            <w:vAlign w:val="center"/>
          </w:tcPr>
          <w:p>
            <w:pPr>
              <w:pStyle w:val="TableContents"/>
              <w:spacing w:before="0" w:after="160"/>
              <w:rPr>
                <w:rFonts w:ascii="Arial" w:hAnsi="Arial"/>
                <w:color w:val="000000"/>
                <w:sz w:val="24"/>
                <w:szCs w:val="24"/>
              </w:rPr>
            </w:pPr>
            <w:r>
              <w:rPr>
                <w:rFonts w:ascii="Arial" w:hAnsi="Arial"/>
                <w:color w:val="000000"/>
                <w:sz w:val="24"/>
                <w:szCs w:val="24"/>
              </w:rPr>
              <w:t>Guía para implementar ISO/IEC 27002 en la industria de la salud.</w:t>
            </w:r>
          </w:p>
        </w:tc>
      </w:tr>
    </w:tbl>
    <w:p>
      <w:pPr>
        <w:pStyle w:val="Normal"/>
        <w:spacing w:lineRule="auto" w:line="360"/>
        <w:jc w:val="both"/>
        <w:rPr>
          <w:rFonts w:ascii="Arial" w:hAnsi="Arial"/>
          <w:sz w:val="24"/>
          <w:szCs w:val="24"/>
          <w:lang w:eastAsia="es-MX"/>
        </w:rPr>
      </w:pPr>
      <w:r>
        <w:rPr>
          <w:rFonts w:eastAsia="Times New Roman" w:cs="Arial" w:ascii="Arial" w:hAnsi="Arial"/>
          <w:b/>
          <w:bCs/>
          <w:i/>
          <w:iCs/>
          <w:sz w:val="24"/>
          <w:szCs w:val="24"/>
          <w:lang w:eastAsia="es-MX"/>
        </w:rPr>
        <w:t xml:space="preserve">Artículo 6.- </w:t>
      </w:r>
      <w:r>
        <w:rPr>
          <w:rFonts w:eastAsia="Times New Roman" w:cs="Arial" w:ascii="Arial" w:hAnsi="Arial"/>
          <w:b w:val="false"/>
          <w:bCs w:val="false"/>
          <w:i w:val="false"/>
          <w:iCs w:val="false"/>
          <w:sz w:val="24"/>
          <w:szCs w:val="24"/>
          <w:lang w:eastAsia="es-MX"/>
        </w:rPr>
        <w:t xml:space="preserve">Los responsables en el tratamiento de datos personales, deberán observar los principios de licitud, consentimiento, información, calidad, finalidad, lealtad, proporcionalidad y responsabilidad, previstos en la Ley. </w:t>
      </w:r>
    </w:p>
    <w:p>
      <w:pPr>
        <w:pStyle w:val="Normal"/>
        <w:spacing w:lineRule="auto" w:line="360"/>
        <w:jc w:val="both"/>
        <w:rPr>
          <w:rFonts w:ascii="Arial" w:hAnsi="Arial" w:eastAsia="Times New Roman" w:cs="Arial"/>
          <w:b/>
          <w:b/>
          <w:bCs/>
          <w:i/>
          <w:i/>
          <w:iCs/>
          <w:sz w:val="24"/>
          <w:szCs w:val="24"/>
          <w:lang w:eastAsia="es-MX"/>
        </w:rPr>
      </w:pPr>
      <w:r>
        <w:rPr>
          <w:rFonts w:eastAsia="Times New Roman" w:cs="Arial" w:ascii="Arial" w:hAnsi="Arial"/>
          <w:b/>
          <w:bCs/>
          <w:i/>
          <w:iCs/>
          <w:sz w:val="24"/>
          <w:szCs w:val="24"/>
          <w:lang w:eastAsia="es-MX"/>
        </w:rPr>
        <w:t xml:space="preserve">Artículo 7.- </w:t>
      </w:r>
      <w:r>
        <w:rPr>
          <w:rFonts w:eastAsia="Times New Roman" w:cs="Arial" w:ascii="Arial" w:hAnsi="Arial"/>
          <w:b w:val="false"/>
          <w:bCs w:val="false"/>
          <w:i w:val="false"/>
          <w:iCs w:val="false"/>
          <w:sz w:val="24"/>
          <w:szCs w:val="24"/>
          <w:lang w:eastAsia="es-MX"/>
        </w:rPr>
        <w:t>Los datos personales deberán recabarse y tratarse de manera lícita conforme a las disposiciones establecidas por esta Ley y demás normatividad aplicable.</w:t>
      </w:r>
    </w:p>
    <w:p>
      <w:pPr>
        <w:pStyle w:val="Normal"/>
        <w:spacing w:lineRule="auto" w:line="360"/>
        <w:jc w:val="both"/>
        <w:rPr>
          <w:rFonts w:ascii="Arial" w:hAnsi="Arial" w:eastAsia="Times New Roman" w:cs="Arial"/>
          <w:b/>
          <w:b/>
          <w:bCs/>
          <w:i/>
          <w:i/>
          <w:iCs/>
          <w:sz w:val="24"/>
          <w:szCs w:val="24"/>
          <w:lang w:eastAsia="es-MX"/>
        </w:rPr>
      </w:pPr>
      <w:r>
        <w:rPr>
          <w:rFonts w:eastAsia="Times New Roman" w:cs="Arial" w:ascii="Arial" w:hAnsi="Arial"/>
          <w:b/>
          <w:bCs/>
          <w:i/>
          <w:iCs/>
          <w:sz w:val="24"/>
          <w:szCs w:val="24"/>
          <w:lang w:eastAsia="es-MX"/>
        </w:rPr>
        <w:t xml:space="preserve">Artículo 8.- </w:t>
      </w:r>
      <w:r>
        <w:rPr>
          <w:rFonts w:eastAsia="Times New Roman" w:cs="Arial" w:ascii="Arial" w:hAnsi="Arial"/>
          <w:b w:val="false"/>
          <w:bCs w:val="false"/>
          <w:i w:val="false"/>
          <w:iCs w:val="false"/>
          <w:sz w:val="24"/>
          <w:szCs w:val="24"/>
          <w:lang w:eastAsia="es-MX"/>
        </w:rPr>
        <w:t>To</w:t>
      </w:r>
      <w:r>
        <w:rPr>
          <w:rFonts w:eastAsia="Times New Roman" w:cs="Arial" w:ascii="Arial" w:hAnsi="Arial"/>
          <w:b w:val="false"/>
          <w:bCs w:val="false"/>
          <w:i w:val="false"/>
          <w:iCs w:val="false"/>
          <w:sz w:val="24"/>
          <w:szCs w:val="24"/>
          <w:lang w:eastAsia="es-MX"/>
        </w:rPr>
        <w:t>do tratamiento de datos personales estará sujeto al consentimiento de su titular, salvo las excepciones previstas por la presente Ley.</w:t>
      </w:r>
    </w:p>
    <w:p>
      <w:pPr>
        <w:pStyle w:val="Normal"/>
        <w:spacing w:lineRule="auto" w:line="360"/>
        <w:jc w:val="both"/>
        <w:rPr>
          <w:rFonts w:ascii="Arial" w:hAnsi="Arial" w:eastAsia="Times New Roman" w:cs="Arial"/>
          <w:b/>
          <w:b/>
          <w:bCs/>
          <w:i/>
          <w:i/>
          <w:iCs/>
          <w:sz w:val="24"/>
          <w:szCs w:val="24"/>
          <w:lang w:eastAsia="es-MX"/>
        </w:rPr>
      </w:pPr>
      <w:r>
        <w:rPr>
          <w:rFonts w:eastAsia="Times New Roman" w:cs="Arial" w:ascii="Arial" w:hAnsi="Arial"/>
          <w:b/>
          <w:bCs/>
          <w:i/>
          <w:iCs/>
          <w:sz w:val="24"/>
          <w:szCs w:val="24"/>
          <w:lang w:eastAsia="es-MX"/>
        </w:rPr>
        <w:t xml:space="preserve">Artículo 9.- </w:t>
      </w:r>
      <w:r>
        <w:rPr>
          <w:rFonts w:eastAsia="Times New Roman" w:cs="Arial" w:ascii="Arial" w:hAnsi="Arial"/>
          <w:b w:val="false"/>
          <w:bCs w:val="false"/>
          <w:i w:val="false"/>
          <w:iCs w:val="false"/>
          <w:sz w:val="24"/>
          <w:szCs w:val="24"/>
          <w:lang w:eastAsia="es-MX"/>
        </w:rPr>
        <w:t>Tratándose de datos personales sensibles, el responsable deberá obtener el consentimiento expreso y por escrito del titular para su tratamiento, a través de su firma autógrafa, firma electrónica, o cualquier mecanismo de autenticación que al efecto se establezca.</w:t>
      </w:r>
      <w:r>
        <w:br w:type="page"/>
      </w:r>
    </w:p>
    <w:p>
      <w:pPr>
        <w:pStyle w:val="Heading1"/>
        <w:pBdr>
          <w:bottom w:val="single" w:sz="6" w:space="1" w:color="000000"/>
        </w:pBdr>
        <w:rPr>
          <w:rFonts w:ascii="Times New Roman" w:hAnsi="Times New Roman" w:eastAsia="Times New Roman" w:cs="Times New Roman"/>
          <w:b/>
          <w:b/>
          <w:bCs/>
          <w:color w:val="auto"/>
          <w:sz w:val="28"/>
          <w:szCs w:val="28"/>
          <w:lang w:eastAsia="es-MX"/>
        </w:rPr>
      </w:pPr>
      <w:bookmarkStart w:id="5" w:name="_Toc118924324"/>
      <w:r>
        <w:rPr>
          <w:rFonts w:eastAsia="Times New Roman" w:cs="Times New Roman" w:ascii="Times New Roman" w:hAnsi="Times New Roman"/>
          <w:b/>
          <w:bCs/>
          <w:color w:val="auto"/>
          <w:sz w:val="28"/>
          <w:szCs w:val="28"/>
          <w:lang w:eastAsia="es-MX"/>
        </w:rPr>
        <w:t>Examen (Elaborar examen con 10 preguntas)</w:t>
      </w:r>
      <w:bookmarkEnd w:id="5"/>
    </w:p>
    <w:p>
      <w:pPr>
        <w:pStyle w:val="Normal"/>
        <w:spacing w:lineRule="auto" w:line="360"/>
        <w:jc w:val="both"/>
        <w:rPr>
          <w:rFonts w:ascii="Arial" w:hAnsi="Arial" w:cs="Arial"/>
          <w:sz w:val="24"/>
          <w:szCs w:val="24"/>
          <w:lang w:eastAsia="es-MX"/>
        </w:rPr>
      </w:pPr>
      <w:r>
        <w:rPr>
          <w:rFonts w:cs="Arial" w:ascii="Arial" w:hAnsi="Arial"/>
          <w:sz w:val="24"/>
          <w:szCs w:val="24"/>
          <w:lang w:eastAsia="es-MX"/>
        </w:rPr>
      </w:r>
    </w:p>
    <w:p>
      <w:pPr>
        <w:pStyle w:val="Normal"/>
        <w:spacing w:lineRule="auto" w:line="360"/>
        <w:rPr>
          <w:lang w:eastAsia="es-MX"/>
        </w:rPr>
      </w:pPr>
      <w:r>
        <w:rPr>
          <w:lang w:eastAsia="es-MX"/>
        </w:rPr>
      </w:r>
      <w:r>
        <w:br w:type="page"/>
      </w:r>
    </w:p>
    <w:p>
      <w:pPr>
        <w:pStyle w:val="Heading1"/>
        <w:pBdr>
          <w:bottom w:val="single" w:sz="6" w:space="1" w:color="000000"/>
        </w:pBdr>
        <w:rPr>
          <w:rFonts w:ascii="Times New Roman" w:hAnsi="Times New Roman" w:eastAsia="Times New Roman" w:cs="Times New Roman"/>
          <w:b/>
          <w:b/>
          <w:bCs/>
          <w:color w:val="auto"/>
          <w:sz w:val="28"/>
          <w:szCs w:val="28"/>
          <w:lang w:eastAsia="es-MX"/>
        </w:rPr>
      </w:pPr>
      <w:bookmarkStart w:id="6" w:name="_Toc118924325"/>
      <w:r>
        <w:rPr>
          <w:rFonts w:eastAsia="Times New Roman" w:cs="Times New Roman" w:ascii="Times New Roman" w:hAnsi="Times New Roman"/>
          <w:b/>
          <w:bCs/>
          <w:color w:val="auto"/>
          <w:sz w:val="28"/>
          <w:szCs w:val="28"/>
          <w:lang w:eastAsia="es-MX"/>
        </w:rPr>
        <w:t>Resumen (Artículos de la LFDA para los programas de computación y bases de datos)</w:t>
      </w:r>
      <w:bookmarkEnd w:id="6"/>
    </w:p>
    <w:p>
      <w:pPr>
        <w:pStyle w:val="Normal"/>
        <w:rPr>
          <w:lang w:eastAsia="es-MX"/>
        </w:rPr>
      </w:pPr>
      <w:r>
        <w:rPr>
          <w:lang w:eastAsia="es-MX"/>
        </w:rPr>
      </w:r>
    </w:p>
    <w:p>
      <w:pPr>
        <w:pStyle w:val="Normal"/>
        <w:rPr>
          <w:lang w:eastAsia="es-MX"/>
        </w:rPr>
      </w:pPr>
      <w:r>
        <w:rPr>
          <w:lang w:eastAsia="es-MX"/>
        </w:rPr>
      </w:r>
    </w:p>
    <w:p>
      <w:pPr>
        <w:pStyle w:val="Normal"/>
        <w:rPr>
          <w:lang w:eastAsia="es-MX"/>
        </w:rPr>
      </w:pPr>
      <w:r>
        <w:rPr>
          <w:lang w:eastAsia="es-MX"/>
        </w:rPr>
      </w:r>
      <w:r>
        <w:br w:type="page"/>
      </w:r>
    </w:p>
    <w:p>
      <w:pPr>
        <w:pStyle w:val="Heading1"/>
        <w:pBdr>
          <w:bottom w:val="single" w:sz="6" w:space="1" w:color="000000"/>
        </w:pBdr>
        <w:rPr>
          <w:rFonts w:ascii="Times New Roman" w:hAnsi="Times New Roman" w:eastAsia="Times New Roman" w:cs="Times New Roman"/>
          <w:b/>
          <w:b/>
          <w:bCs/>
          <w:color w:val="auto"/>
          <w:sz w:val="28"/>
          <w:szCs w:val="28"/>
          <w:lang w:eastAsia="es-MX"/>
        </w:rPr>
      </w:pPr>
      <w:bookmarkStart w:id="7" w:name="_Toc118924326"/>
      <w:r>
        <w:rPr>
          <w:rFonts w:eastAsia="Times New Roman" w:cs="Times New Roman" w:ascii="Times New Roman" w:hAnsi="Times New Roman"/>
          <w:b/>
          <w:bCs/>
          <w:color w:val="auto"/>
          <w:sz w:val="28"/>
          <w:szCs w:val="28"/>
          <w:lang w:eastAsia="es-MX"/>
        </w:rPr>
        <w:t>Investigación (Convenio de Berna)</w:t>
      </w:r>
      <w:bookmarkEnd w:id="7"/>
    </w:p>
    <w:p>
      <w:pPr>
        <w:pStyle w:val="Normal"/>
        <w:shd w:val="clear" w:color="auto" w:fill="FFFFFF"/>
        <w:spacing w:lineRule="auto" w:line="360" w:before="150" w:after="150"/>
        <w:jc w:val="both"/>
        <w:rPr>
          <w:rFonts w:ascii="Arial" w:hAnsi="Arial" w:cs="Arial"/>
          <w:b w:val="false"/>
          <w:b/>
          <w:bCs/>
          <w:i w:val="false"/>
          <w:caps w:val="false"/>
          <w:smallCaps w:val="false"/>
          <w:color w:val="3B3B3B"/>
          <w:spacing w:val="0"/>
          <w:sz w:val="24"/>
          <w:szCs w:val="24"/>
        </w:rPr>
      </w:pPr>
      <w:r>
        <w:rPr>
          <w:rFonts w:cs="Arial" w:ascii="Arial" w:hAnsi="Arial"/>
          <w:b w:val="false"/>
          <w:bCs/>
          <w:i w:val="false"/>
          <w:caps w:val="false"/>
          <w:smallCaps w:val="false"/>
          <w:color w:val="3B3B3B"/>
          <w:spacing w:val="0"/>
          <w:sz w:val="24"/>
          <w:szCs w:val="24"/>
        </w:rPr>
        <w:t>El Convenio de Berna, que fue adoptado en 1886, trata de la protección de las obras y los derechos de los autores. Ofrece a los creadores como los autores, músicos, poetas, pintores, etc., los medios para controlar quién usa sus obras, cómo y en qué condiciones. </w:t>
      </w:r>
    </w:p>
    <w:p>
      <w:pPr>
        <w:pStyle w:val="TextBody"/>
        <w:shd w:val="clear" w:color="auto" w:fill="FFFFFF"/>
        <w:spacing w:lineRule="auto" w:line="360" w:before="150" w:after="150"/>
        <w:jc w:val="both"/>
        <w:rPr>
          <w:rFonts w:ascii="Arial" w:hAnsi="Arial" w:cs="Arial"/>
          <w:b w:val="false"/>
          <w:b/>
          <w:bCs/>
          <w:i w:val="false"/>
          <w:caps w:val="false"/>
          <w:smallCaps w:val="false"/>
          <w:color w:val="3B3B3B"/>
          <w:spacing w:val="0"/>
          <w:sz w:val="24"/>
          <w:szCs w:val="24"/>
        </w:rPr>
      </w:pPr>
      <w:r>
        <w:rPr>
          <w:rFonts w:cs="Arial" w:ascii="Arial" w:hAnsi="Arial"/>
          <w:b w:val="false"/>
          <w:bCs/>
          <w:i w:val="false"/>
          <w:caps w:val="false"/>
          <w:smallCaps w:val="false"/>
          <w:color w:val="3B3B3B"/>
          <w:spacing w:val="0"/>
          <w:sz w:val="24"/>
          <w:szCs w:val="24"/>
        </w:rPr>
        <w:t>Los </w:t>
      </w:r>
      <w:r>
        <w:rPr>
          <w:rStyle w:val="StrongEmphasis"/>
          <w:rFonts w:cs="Arial" w:ascii="Arial" w:hAnsi="Arial"/>
          <w:b/>
          <w:i w:val="false"/>
          <w:caps w:val="false"/>
          <w:smallCaps w:val="false"/>
          <w:color w:val="3B3B3B"/>
          <w:spacing w:val="0"/>
          <w:sz w:val="24"/>
          <w:szCs w:val="24"/>
        </w:rPr>
        <w:t>tres principios básicos</w:t>
      </w:r>
      <w:r>
        <w:rPr>
          <w:rFonts w:cs="Arial" w:ascii="Arial" w:hAnsi="Arial"/>
          <w:b w:val="false"/>
          <w:bCs/>
          <w:i w:val="false"/>
          <w:caps w:val="false"/>
          <w:smallCaps w:val="false"/>
          <w:color w:val="3B3B3B"/>
          <w:spacing w:val="0"/>
          <w:sz w:val="24"/>
          <w:szCs w:val="24"/>
        </w:rPr>
        <w:t> son los siguientes:</w:t>
      </w:r>
    </w:p>
    <w:p>
      <w:pPr>
        <w:pStyle w:val="TextBody"/>
        <w:widowControl/>
        <w:pBdr/>
        <w:spacing w:before="0" w:after="240"/>
        <w:ind w:left="0" w:right="0" w:hanging="0"/>
        <w:jc w:val="both"/>
        <w:rPr>
          <w:rFonts w:ascii="Arial" w:hAnsi="Arial"/>
          <w:b w:val="false"/>
          <w:i w:val="false"/>
          <w:caps w:val="false"/>
          <w:smallCaps w:val="false"/>
          <w:color w:val="3B3B3B"/>
          <w:spacing w:val="0"/>
          <w:sz w:val="24"/>
          <w:szCs w:val="24"/>
        </w:rPr>
      </w:pPr>
      <w:r>
        <w:rPr>
          <w:rFonts w:ascii="Arial" w:hAnsi="Arial"/>
          <w:b w:val="false"/>
          <w:i w:val="false"/>
          <w:caps w:val="false"/>
          <w:smallCaps w:val="false"/>
          <w:color w:val="3B3B3B"/>
          <w:spacing w:val="0"/>
          <w:sz w:val="24"/>
          <w:szCs w:val="24"/>
        </w:rPr>
        <w:t>a) Las obras originarias de uno de los Estados Contratantes deberán ser objeto, en todos y cada uno de los demás Estados Contratantes, de la misma protección que conceden a las obras de sus propios nacionales</w:t>
      </w:r>
    </w:p>
    <w:p>
      <w:pPr>
        <w:pStyle w:val="TextBody"/>
        <w:widowControl/>
        <w:pBdr/>
        <w:spacing w:before="0" w:after="240"/>
        <w:ind w:left="0" w:right="0" w:hanging="0"/>
        <w:jc w:val="both"/>
        <w:rPr>
          <w:rFonts w:ascii="Arial" w:hAnsi="Arial"/>
          <w:b w:val="false"/>
          <w:i w:val="false"/>
          <w:caps w:val="false"/>
          <w:smallCaps w:val="false"/>
          <w:color w:val="3B3B3B"/>
          <w:spacing w:val="0"/>
          <w:sz w:val="24"/>
          <w:szCs w:val="24"/>
        </w:rPr>
      </w:pPr>
      <w:r>
        <w:rPr>
          <w:rFonts w:ascii="Arial" w:hAnsi="Arial"/>
          <w:b w:val="false"/>
          <w:i w:val="false"/>
          <w:caps w:val="false"/>
          <w:smallCaps w:val="false"/>
          <w:color w:val="3B3B3B"/>
          <w:spacing w:val="0"/>
          <w:sz w:val="24"/>
          <w:szCs w:val="24"/>
        </w:rPr>
        <w:t>b) La protección no deberá estar subordinada al cumplimiento de formalidad alguna</w:t>
      </w:r>
    </w:p>
    <w:p>
      <w:pPr>
        <w:pStyle w:val="TextBody"/>
        <w:widowControl/>
        <w:pBdr/>
        <w:spacing w:before="0" w:after="240"/>
        <w:ind w:left="0" w:right="0" w:hanging="0"/>
        <w:jc w:val="both"/>
        <w:rPr>
          <w:rFonts w:ascii="Arial" w:hAnsi="Arial"/>
          <w:b w:val="false"/>
          <w:i w:val="false"/>
          <w:caps w:val="false"/>
          <w:smallCaps w:val="false"/>
          <w:color w:val="3B3B3B"/>
          <w:spacing w:val="0"/>
          <w:sz w:val="24"/>
          <w:szCs w:val="24"/>
        </w:rPr>
      </w:pPr>
      <w:r>
        <w:rPr>
          <w:rFonts w:ascii="Arial" w:hAnsi="Arial"/>
          <w:b w:val="false"/>
          <w:i w:val="false"/>
          <w:caps w:val="false"/>
          <w:smallCaps w:val="false"/>
          <w:color w:val="3B3B3B"/>
          <w:spacing w:val="0"/>
          <w:sz w:val="24"/>
          <w:szCs w:val="24"/>
        </w:rPr>
        <w:t>c) La protección es independiente de la existencia de protección en el país de origen de la obra. Empero, si en un Estado Contratante se prevé un plazo más largo de protección que el mínimo prescrito por el Convenio, y cesa la protección de la obra en el país de origen, la protección podrá negarse en cuanto haya cesado en el país de origen</w:t>
      </w:r>
    </w:p>
    <w:p>
      <w:pPr>
        <w:pStyle w:val="Normal"/>
        <w:shd w:val="clear" w:color="auto" w:fill="FFFFFF"/>
        <w:spacing w:lineRule="auto" w:line="360" w:before="150" w:after="150"/>
        <w:jc w:val="both"/>
        <w:rPr/>
      </w:pPr>
      <w:r>
        <w:rPr>
          <w:rFonts w:cs="Arial" w:ascii="Arial" w:hAnsi="Arial"/>
          <w:b w:val="false"/>
          <w:bCs/>
          <w:i w:val="false"/>
          <w:caps w:val="false"/>
          <w:smallCaps w:val="false"/>
          <w:color w:val="3B3B3B"/>
          <w:spacing w:val="0"/>
          <w:sz w:val="24"/>
          <w:szCs w:val="24"/>
        </w:rPr>
        <w:t>Las </w:t>
      </w:r>
      <w:r>
        <w:rPr>
          <w:rStyle w:val="StrongEmphasis"/>
          <w:rFonts w:cs="Arial" w:ascii="Arial" w:hAnsi="Arial"/>
          <w:b w:val="false"/>
          <w:i w:val="false"/>
          <w:caps w:val="false"/>
          <w:smallCaps w:val="false"/>
          <w:color w:val="3B3B3B"/>
          <w:spacing w:val="0"/>
          <w:sz w:val="24"/>
          <w:szCs w:val="24"/>
        </w:rPr>
        <w:t>condiciones mínimas</w:t>
      </w:r>
      <w:r>
        <w:rPr>
          <w:rFonts w:cs="Arial" w:ascii="Arial" w:hAnsi="Arial"/>
          <w:b w:val="false"/>
          <w:bCs/>
          <w:i w:val="false"/>
          <w:caps w:val="false"/>
          <w:smallCaps w:val="false"/>
          <w:color w:val="3B3B3B"/>
          <w:spacing w:val="0"/>
          <w:sz w:val="24"/>
          <w:szCs w:val="24"/>
        </w:rPr>
        <w:t> de protección se refieren a las obras y los derechos que han de protegerse, y a la duración de la protección:</w:t>
      </w:r>
    </w:p>
    <w:p>
      <w:pPr>
        <w:pStyle w:val="TextBody"/>
        <w:widowControl/>
        <w:numPr>
          <w:ilvl w:val="0"/>
          <w:numId w:val="2"/>
        </w:numPr>
        <w:pBdr/>
        <w:tabs>
          <w:tab w:val="clear" w:pos="708"/>
          <w:tab w:val="left" w:pos="0" w:leader="none"/>
        </w:tabs>
        <w:spacing w:before="0" w:after="0"/>
        <w:ind w:left="240" w:right="0" w:hanging="0"/>
        <w:jc w:val="both"/>
        <w:rPr>
          <w:rFonts w:ascii="Arial" w:hAnsi="Arial"/>
          <w:b/>
          <w:b/>
          <w:bCs/>
          <w:sz w:val="24"/>
          <w:szCs w:val="24"/>
        </w:rPr>
      </w:pPr>
      <w:r>
        <w:rPr>
          <w:rFonts w:ascii="Arial" w:hAnsi="Arial"/>
          <w:b/>
          <w:bCs/>
          <w:i w:val="false"/>
          <w:caps w:val="false"/>
          <w:smallCaps w:val="false"/>
          <w:color w:val="3B3B3B"/>
          <w:spacing w:val="0"/>
          <w:sz w:val="24"/>
          <w:szCs w:val="24"/>
        </w:rPr>
        <w:t>el derecho a traducir.</w:t>
      </w:r>
    </w:p>
    <w:p>
      <w:pPr>
        <w:pStyle w:val="TextBody"/>
        <w:widowControl/>
        <w:numPr>
          <w:ilvl w:val="0"/>
          <w:numId w:val="2"/>
        </w:numPr>
        <w:pBdr/>
        <w:tabs>
          <w:tab w:val="clear" w:pos="708"/>
          <w:tab w:val="left" w:pos="0" w:leader="none"/>
        </w:tabs>
        <w:spacing w:before="0" w:after="0"/>
        <w:ind w:left="240" w:right="0" w:hanging="0"/>
        <w:jc w:val="both"/>
        <w:rPr/>
      </w:pPr>
      <w:r>
        <w:rPr>
          <w:rStyle w:val="StrongEmphasis"/>
          <w:rFonts w:ascii="Arial" w:hAnsi="Arial"/>
          <w:b/>
          <w:i w:val="false"/>
          <w:caps w:val="false"/>
          <w:smallCaps w:val="false"/>
          <w:color w:val="3B3B3B"/>
          <w:spacing w:val="0"/>
          <w:sz w:val="24"/>
          <w:szCs w:val="24"/>
        </w:rPr>
        <w:t>el derecho de realizar adaptaciones y arreglos</w:t>
      </w:r>
      <w:r>
        <w:rPr>
          <w:rFonts w:ascii="Arial" w:hAnsi="Arial"/>
          <w:b w:val="false"/>
          <w:i w:val="false"/>
          <w:caps w:val="false"/>
          <w:smallCaps w:val="false"/>
          <w:color w:val="3B3B3B"/>
          <w:spacing w:val="0"/>
          <w:sz w:val="24"/>
          <w:szCs w:val="24"/>
        </w:rPr>
        <w:t> de la obra,</w:t>
      </w:r>
    </w:p>
    <w:p>
      <w:pPr>
        <w:pStyle w:val="TextBody"/>
        <w:widowControl/>
        <w:numPr>
          <w:ilvl w:val="0"/>
          <w:numId w:val="2"/>
        </w:numPr>
        <w:pBdr/>
        <w:tabs>
          <w:tab w:val="clear" w:pos="708"/>
          <w:tab w:val="left" w:pos="0" w:leader="none"/>
        </w:tabs>
        <w:spacing w:before="0" w:after="0"/>
        <w:ind w:left="240" w:right="0" w:hanging="0"/>
        <w:jc w:val="both"/>
        <w:rPr/>
      </w:pPr>
      <w:r>
        <w:rPr>
          <w:rStyle w:val="StrongEmphasis"/>
          <w:rFonts w:ascii="Arial" w:hAnsi="Arial"/>
          <w:b/>
          <w:i w:val="false"/>
          <w:caps w:val="false"/>
          <w:smallCaps w:val="false"/>
          <w:color w:val="3B3B3B"/>
          <w:spacing w:val="0"/>
          <w:sz w:val="24"/>
          <w:szCs w:val="24"/>
        </w:rPr>
        <w:t>el derecho de representar y ejecutar en público</w:t>
      </w:r>
      <w:r>
        <w:rPr>
          <w:rFonts w:ascii="Arial" w:hAnsi="Arial"/>
          <w:b w:val="false"/>
          <w:i w:val="false"/>
          <w:caps w:val="false"/>
          <w:smallCaps w:val="false"/>
          <w:color w:val="3B3B3B"/>
          <w:spacing w:val="0"/>
          <w:sz w:val="24"/>
          <w:szCs w:val="24"/>
        </w:rPr>
        <w:t> las obras dramáticas, dramático–musicales y musicales,</w:t>
      </w:r>
    </w:p>
    <w:p>
      <w:pPr>
        <w:pStyle w:val="TextBody"/>
        <w:widowControl/>
        <w:numPr>
          <w:ilvl w:val="0"/>
          <w:numId w:val="2"/>
        </w:numPr>
        <w:pBdr/>
        <w:tabs>
          <w:tab w:val="clear" w:pos="708"/>
          <w:tab w:val="left" w:pos="0" w:leader="none"/>
        </w:tabs>
        <w:spacing w:before="0" w:after="0"/>
        <w:ind w:left="240" w:right="0" w:hanging="0"/>
        <w:jc w:val="both"/>
        <w:rPr/>
      </w:pPr>
      <w:r>
        <w:rPr>
          <w:rStyle w:val="StrongEmphasis"/>
          <w:rFonts w:ascii="Arial" w:hAnsi="Arial"/>
          <w:b/>
          <w:i w:val="false"/>
          <w:caps w:val="false"/>
          <w:smallCaps w:val="false"/>
          <w:color w:val="3B3B3B"/>
          <w:spacing w:val="0"/>
          <w:sz w:val="24"/>
          <w:szCs w:val="24"/>
        </w:rPr>
        <w:t>el derecho de recitar en público</w:t>
      </w:r>
      <w:r>
        <w:rPr>
          <w:rFonts w:ascii="Arial" w:hAnsi="Arial"/>
          <w:b w:val="false"/>
          <w:i w:val="false"/>
          <w:caps w:val="false"/>
          <w:smallCaps w:val="false"/>
          <w:color w:val="3B3B3B"/>
          <w:spacing w:val="0"/>
          <w:sz w:val="24"/>
          <w:szCs w:val="24"/>
        </w:rPr>
        <w:t> las obras literarias,</w:t>
      </w:r>
    </w:p>
    <w:p>
      <w:pPr>
        <w:pStyle w:val="TextBody"/>
        <w:widowControl/>
        <w:numPr>
          <w:ilvl w:val="0"/>
          <w:numId w:val="2"/>
        </w:numPr>
        <w:pBdr/>
        <w:tabs>
          <w:tab w:val="clear" w:pos="708"/>
          <w:tab w:val="left" w:pos="0" w:leader="none"/>
        </w:tabs>
        <w:spacing w:before="0" w:after="0"/>
        <w:ind w:left="240" w:right="0" w:hanging="0"/>
        <w:jc w:val="both"/>
        <w:rPr/>
      </w:pPr>
      <w:r>
        <w:rPr>
          <w:rStyle w:val="StrongEmphasis"/>
          <w:rFonts w:ascii="Arial" w:hAnsi="Arial"/>
          <w:b/>
          <w:i w:val="false"/>
          <w:caps w:val="false"/>
          <w:smallCaps w:val="false"/>
          <w:color w:val="3B3B3B"/>
          <w:spacing w:val="0"/>
          <w:sz w:val="24"/>
          <w:szCs w:val="24"/>
        </w:rPr>
        <w:t>el derecho de transmitir al público</w:t>
      </w:r>
      <w:r>
        <w:rPr>
          <w:rFonts w:ascii="Arial" w:hAnsi="Arial"/>
          <w:b w:val="false"/>
          <w:i w:val="false"/>
          <w:caps w:val="false"/>
          <w:smallCaps w:val="false"/>
          <w:color w:val="3B3B3B"/>
          <w:spacing w:val="0"/>
          <w:sz w:val="24"/>
          <w:szCs w:val="24"/>
        </w:rPr>
        <w:t> la representación o ejecución de dichas obras,</w:t>
      </w:r>
    </w:p>
    <w:p>
      <w:pPr>
        <w:pStyle w:val="TextBody"/>
        <w:widowControl/>
        <w:numPr>
          <w:ilvl w:val="0"/>
          <w:numId w:val="2"/>
        </w:numPr>
        <w:pBdr/>
        <w:tabs>
          <w:tab w:val="clear" w:pos="708"/>
          <w:tab w:val="left" w:pos="0" w:leader="none"/>
        </w:tabs>
        <w:spacing w:before="0" w:after="0"/>
        <w:ind w:left="240" w:right="0" w:hanging="0"/>
        <w:jc w:val="both"/>
        <w:rPr/>
      </w:pPr>
      <w:r>
        <w:rPr>
          <w:rStyle w:val="StrongEmphasis"/>
          <w:rFonts w:ascii="Arial" w:hAnsi="Arial"/>
          <w:b/>
          <w:i w:val="false"/>
          <w:caps w:val="false"/>
          <w:smallCaps w:val="false"/>
          <w:color w:val="3B3B3B"/>
          <w:spacing w:val="0"/>
          <w:sz w:val="24"/>
          <w:szCs w:val="24"/>
        </w:rPr>
        <w:t>el derecho de radiodifundir</w:t>
      </w:r>
      <w:r>
        <w:rPr>
          <w:rFonts w:ascii="Arial" w:hAnsi="Arial"/>
          <w:b w:val="false"/>
          <w:i w:val="false"/>
          <w:caps w:val="false"/>
          <w:smallCaps w:val="false"/>
          <w:color w:val="3B3B3B"/>
          <w:spacing w:val="0"/>
          <w:sz w:val="24"/>
          <w:szCs w:val="24"/>
        </w:rPr>
        <w:t> (los Estados Contratantes cuentan con la posibilidad de prever un simple derecho a una remuneración equitativa, en lugar de un derecho de autorización),</w:t>
      </w:r>
    </w:p>
    <w:p>
      <w:pPr>
        <w:pStyle w:val="TextBody"/>
        <w:widowControl/>
        <w:numPr>
          <w:ilvl w:val="0"/>
          <w:numId w:val="2"/>
        </w:numPr>
        <w:pBdr/>
        <w:tabs>
          <w:tab w:val="clear" w:pos="708"/>
          <w:tab w:val="left" w:pos="0" w:leader="none"/>
        </w:tabs>
        <w:spacing w:before="0" w:after="0"/>
        <w:ind w:left="240" w:right="0" w:hanging="0"/>
        <w:jc w:val="both"/>
        <w:rPr/>
      </w:pPr>
      <w:r>
        <w:rPr>
          <w:rStyle w:val="StrongEmphasis"/>
          <w:rFonts w:ascii="Arial" w:hAnsi="Arial"/>
          <w:b/>
          <w:i w:val="false"/>
          <w:caps w:val="false"/>
          <w:smallCaps w:val="false"/>
          <w:color w:val="3B3B3B"/>
          <w:spacing w:val="0"/>
          <w:sz w:val="24"/>
          <w:szCs w:val="24"/>
        </w:rPr>
        <w:t>el derecho de realizar una reproducción</w:t>
      </w:r>
      <w:r>
        <w:rPr>
          <w:rFonts w:ascii="Arial" w:hAnsi="Arial"/>
          <w:b w:val="false"/>
          <w:i w:val="false"/>
          <w:caps w:val="false"/>
          <w:smallCaps w:val="false"/>
          <w:color w:val="3B3B3B"/>
          <w:spacing w:val="0"/>
          <w:sz w:val="24"/>
          <w:szCs w:val="24"/>
        </w:rPr>
        <w:t> por cualquier procedimiento y bajo cualquier forma</w:t>
      </w:r>
    </w:p>
    <w:p>
      <w:pPr>
        <w:pStyle w:val="Normal"/>
        <w:shd w:val="clear" w:color="auto" w:fill="FFFFFF"/>
        <w:spacing w:lineRule="auto" w:line="360" w:before="150" w:after="150"/>
        <w:jc w:val="both"/>
        <w:rPr>
          <w:rFonts w:ascii="Arial" w:hAnsi="Arial" w:cs="Arial"/>
          <w:b w:val="false"/>
          <w:b/>
          <w:bCs/>
          <w:i w:val="false"/>
          <w:caps w:val="false"/>
          <w:smallCaps w:val="false"/>
          <w:color w:val="3B3B3B"/>
          <w:spacing w:val="0"/>
          <w:sz w:val="24"/>
          <w:szCs w:val="24"/>
        </w:rPr>
      </w:pPr>
      <w:r>
        <w:rPr>
          <w:rFonts w:cs="Arial" w:ascii="Arial" w:hAnsi="Arial"/>
          <w:b w:val="false"/>
          <w:bCs/>
          <w:i w:val="false"/>
          <w:caps w:val="false"/>
          <w:smallCaps w:val="false"/>
          <w:color w:val="3B3B3B"/>
          <w:spacing w:val="0"/>
          <w:sz w:val="24"/>
          <w:szCs w:val="24"/>
        </w:rPr>
      </w:r>
    </w:p>
    <w:p>
      <w:pPr>
        <w:pStyle w:val="Normal"/>
        <w:spacing w:lineRule="auto" w:line="360"/>
        <w:jc w:val="both"/>
        <w:rPr>
          <w:rFonts w:ascii="Arial" w:hAnsi="Arial" w:eastAsia="Times New Roman" w:cs="Arial"/>
          <w:b/>
          <w:b/>
          <w:bCs/>
          <w:i/>
          <w:i/>
          <w:iCs/>
          <w:sz w:val="24"/>
          <w:szCs w:val="24"/>
          <w:lang w:eastAsia="es-MX"/>
        </w:rPr>
      </w:pPr>
      <w:r>
        <w:rPr>
          <w:rFonts w:eastAsia="Times New Roman" w:cs="Arial" w:ascii="Arial" w:hAnsi="Arial"/>
          <w:b w:val="false"/>
          <w:bCs/>
          <w:i w:val="false"/>
          <w:iCs/>
          <w:caps w:val="false"/>
          <w:smallCaps w:val="false"/>
          <w:color w:val="3B3B3B"/>
          <w:spacing w:val="0"/>
          <w:sz w:val="24"/>
          <w:szCs w:val="24"/>
          <w:lang w:eastAsia="es-MX"/>
        </w:rPr>
        <w:t>El Convenio de Berna permite ciertas limitaciones y excepciones en materia de derechos económicos, es decir, los casos en que las obras protegidas podrán utilizarse sin autorización del propietario del derecho de autor y sin abonar una compensación. Generalmente se utiliza el término "libre utilización" de obras protegidas para referirse a esas limitaciones, y figuran en el párrafo 2) del artículo 9 (reproducción en determinados casos especiales), el artículo 10 (citas y uso de obras a título de ilustración de la enseñanza), el artículo 10</w:t>
      </w:r>
      <w:r>
        <w:rPr>
          <w:rStyle w:val="Emphasis"/>
          <w:rFonts w:eastAsia="Times New Roman" w:cs="Arial" w:ascii="Arial" w:hAnsi="Arial"/>
          <w:b w:val="false"/>
          <w:bCs/>
          <w:color w:val="3B3B3B"/>
          <w:spacing w:val="0"/>
          <w:sz w:val="24"/>
          <w:szCs w:val="24"/>
          <w:lang w:eastAsia="es-MX"/>
        </w:rPr>
        <w:t>bis </w:t>
      </w:r>
      <w:r>
        <w:rPr>
          <w:rFonts w:eastAsia="Times New Roman" w:cs="Arial" w:ascii="Arial" w:hAnsi="Arial"/>
          <w:b w:val="false"/>
          <w:bCs/>
          <w:i w:val="false"/>
          <w:iCs/>
          <w:caps w:val="false"/>
          <w:smallCaps w:val="false"/>
          <w:color w:val="3B3B3B"/>
          <w:spacing w:val="0"/>
          <w:sz w:val="24"/>
          <w:szCs w:val="24"/>
          <w:lang w:eastAsia="es-MX"/>
        </w:rPr>
        <w:t>(reproducción de artículos de periódicos o artículos similares y el uso de obras con fines de información sobre acontecimientos actuales) y el párrafo 3) del artículo 11</w:t>
      </w:r>
      <w:r>
        <w:rPr>
          <w:rStyle w:val="Emphasis"/>
          <w:rFonts w:eastAsia="Times New Roman" w:cs="Arial" w:ascii="Arial" w:hAnsi="Arial"/>
          <w:b w:val="false"/>
          <w:bCs/>
          <w:color w:val="3B3B3B"/>
          <w:spacing w:val="0"/>
          <w:sz w:val="24"/>
          <w:szCs w:val="24"/>
          <w:lang w:eastAsia="es-MX"/>
        </w:rPr>
        <w:t>bis </w:t>
      </w:r>
      <w:r>
        <w:rPr>
          <w:rFonts w:eastAsia="Times New Roman" w:cs="Arial" w:ascii="Arial" w:hAnsi="Arial"/>
          <w:b w:val="false"/>
          <w:bCs/>
          <w:i w:val="false"/>
          <w:iCs/>
          <w:caps w:val="false"/>
          <w:smallCaps w:val="false"/>
          <w:color w:val="3B3B3B"/>
          <w:spacing w:val="0"/>
          <w:sz w:val="24"/>
          <w:szCs w:val="24"/>
          <w:lang w:eastAsia="es-MX"/>
        </w:rPr>
        <w:t>(grabaciones efímeras con fines de radiodifusión).</w:t>
      </w:r>
      <w:r>
        <w:br w:type="page"/>
      </w:r>
    </w:p>
    <w:p>
      <w:pPr>
        <w:pStyle w:val="Heading1"/>
        <w:pBdr>
          <w:bottom w:val="single" w:sz="6" w:space="1" w:color="000000"/>
        </w:pBdr>
        <w:rPr>
          <w:rFonts w:ascii="Times New Roman" w:hAnsi="Times New Roman" w:cs="Times New Roman"/>
          <w:b/>
          <w:b/>
          <w:bCs/>
          <w:color w:val="auto"/>
          <w:sz w:val="28"/>
          <w:szCs w:val="28"/>
          <w:lang w:eastAsia="es-MX"/>
        </w:rPr>
      </w:pPr>
      <w:bookmarkStart w:id="8" w:name="_Toc118924327"/>
      <w:r>
        <w:rPr>
          <w:rFonts w:cs="Times New Roman" w:ascii="Times New Roman" w:hAnsi="Times New Roman"/>
          <w:b/>
          <w:bCs/>
          <w:color w:val="auto"/>
          <w:sz w:val="28"/>
          <w:szCs w:val="28"/>
          <w:lang w:eastAsia="es-MX"/>
        </w:rPr>
        <w:t>Conclusiones</w:t>
      </w:r>
      <w:bookmarkEnd w:id="8"/>
      <w:r>
        <w:rPr>
          <w:rFonts w:cs="Times New Roman" w:ascii="Times New Roman" w:hAnsi="Times New Roman"/>
          <w:b/>
          <w:bCs/>
          <w:color w:val="auto"/>
          <w:sz w:val="28"/>
          <w:szCs w:val="28"/>
          <w:lang w:eastAsia="es-MX"/>
        </w:rPr>
        <w:t xml:space="preserve"> </w:t>
      </w:r>
    </w:p>
    <w:p>
      <w:pPr>
        <w:pStyle w:val="Normal"/>
        <w:rPr>
          <w:lang w:eastAsia="es-MX"/>
        </w:rPr>
      </w:pPr>
      <w:r>
        <w:rPr>
          <w:lang w:eastAsia="es-MX"/>
        </w:rPr>
      </w:r>
    </w:p>
    <w:p>
      <w:pPr>
        <w:pStyle w:val="Normal"/>
        <w:spacing w:lineRule="auto" w:line="480"/>
        <w:jc w:val="both"/>
        <w:rPr>
          <w:rFonts w:ascii="Arial" w:hAnsi="Arial"/>
          <w:sz w:val="24"/>
          <w:szCs w:val="24"/>
          <w:lang w:eastAsia="es-MX"/>
        </w:rPr>
      </w:pPr>
      <w:r>
        <w:rPr>
          <w:rFonts w:ascii="Arial" w:hAnsi="Arial"/>
          <w:sz w:val="24"/>
          <w:szCs w:val="24"/>
          <w:lang w:eastAsia="es-MX"/>
        </w:rPr>
        <w:t>Dentro de esta unidad nos encargamos de revisar cuales son las leyes con las cuales nos podemos apoyar a la hora de tener que trabajar en el area de tecnologias, todo esto debido a rozamiento de carácter legal ya sea por incumplimiento o cualquir otro aspecto que nos pueda perjudicar, nos sirven para protegernos a nosotros y poder proteger a los clientes, haciendo que</w:t>
      </w:r>
      <w:r>
        <w:br w:type="page"/>
      </w:r>
    </w:p>
    <w:p>
      <w:pPr>
        <w:pStyle w:val="Heading1"/>
        <w:pBdr>
          <w:bottom w:val="single" w:sz="6" w:space="1" w:color="000000"/>
        </w:pBdr>
        <w:rPr>
          <w:rFonts w:ascii="Times New Roman" w:hAnsi="Times New Roman" w:cs="Times New Roman"/>
          <w:b/>
          <w:b/>
          <w:bCs/>
          <w:color w:val="auto"/>
          <w:sz w:val="28"/>
          <w:szCs w:val="28"/>
          <w:lang w:eastAsia="es-MX"/>
        </w:rPr>
      </w:pPr>
      <w:bookmarkStart w:id="9" w:name="_Toc118924328"/>
      <w:bookmarkStart w:id="10" w:name="_Toc115100412"/>
      <w:r>
        <w:rPr>
          <w:rFonts w:cs="Times New Roman" w:ascii="Times New Roman" w:hAnsi="Times New Roman"/>
          <w:b/>
          <w:bCs/>
          <w:color w:val="auto"/>
          <w:sz w:val="28"/>
          <w:szCs w:val="28"/>
          <w:lang w:eastAsia="es-MX"/>
        </w:rPr>
        <w:t>Fuentes de información</w:t>
      </w:r>
      <w:bookmarkEnd w:id="9"/>
      <w:bookmarkEnd w:id="10"/>
      <w:r>
        <w:rPr>
          <w:rFonts w:cs="Times New Roman" w:ascii="Times New Roman" w:hAnsi="Times New Roman"/>
          <w:b/>
          <w:bCs/>
          <w:color w:val="auto"/>
          <w:sz w:val="28"/>
          <w:szCs w:val="28"/>
          <w:lang w:eastAsia="es-MX"/>
        </w:rPr>
        <w:t xml:space="preserve"> </w:t>
      </w:r>
    </w:p>
    <w:p>
      <w:pPr>
        <w:pStyle w:val="Normal"/>
        <w:rPr>
          <w:lang w:eastAsia="es-MX"/>
        </w:rPr>
      </w:pPr>
      <w:r>
        <w:rPr>
          <w:lang w:eastAsia="es-MX"/>
        </w:rPr>
      </w:r>
    </w:p>
    <w:p>
      <w:pPr>
        <w:pStyle w:val="NormalWeb"/>
        <w:spacing w:lineRule="auto" w:line="480" w:before="280" w:after="280"/>
        <w:ind w:hanging="720"/>
        <w:rPr>
          <w:rFonts w:ascii="Arial" w:hAnsi="Arial" w:cs="Arial"/>
        </w:rPr>
      </w:pPr>
      <w:r>
        <w:rPr/>
        <w:tab/>
      </w:r>
      <w:r>
        <w:rPr>
          <w:rFonts w:ascii="Times New Roman" w:hAnsi="Times New Roman"/>
          <w:i/>
          <w:sz w:val="24"/>
        </w:rPr>
        <w:t>Normas ISO sobre gestión de seguridad de la información | Seguridad Informática</w:t>
      </w:r>
      <w:r>
        <w:rPr>
          <w:rFonts w:ascii="Times New Roman" w:hAnsi="Times New Roman"/>
          <w:sz w:val="24"/>
        </w:rPr>
        <w:t>. (s. f.). http://descargas.pntic.mec.es/mentor/visitas/demoSeguridadInformatica/normas_iso_sobre_gestin_de_seguridad_de_la_informacin.html</w:t>
      </w:r>
    </w:p>
    <w:p>
      <w:pPr>
        <w:pStyle w:val="NormalWeb"/>
        <w:spacing w:lineRule="auto" w:line="480" w:before="280" w:after="280"/>
        <w:ind w:hanging="720"/>
        <w:rPr>
          <w:rFonts w:ascii="Arial" w:hAnsi="Arial" w:cs="Arial"/>
        </w:rPr>
      </w:pPr>
      <w:r>
        <w:rPr/>
      </w:r>
    </w:p>
    <w:sectPr>
      <w:footerReference w:type="default" r:id="rId4"/>
      <w:type w:val="nextPage"/>
      <w:pgSz w:w="12240" w:h="15840"/>
      <w:pgMar w:left="1701" w:right="1701" w:gutter="0" w:header="0" w:top="1417" w:footer="708" w:bottom="1417"/>
      <w:pgBorders w:display="allPages" w:offsetFrom="page">
        <w:top w:val="double" w:sz="4" w:space="24" w:color="000000"/>
        <w:left w:val="double" w:sz="4" w:space="24" w:color="000000"/>
        <w:bottom w:val="double" w:sz="4" w:space="24" w:color="000000"/>
        <w:right w:val="double" w:sz="4" w:space="24" w:color="000000"/>
      </w:pgBorders>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roman"/>
    <w:pitch w:val="variable"/>
  </w:font>
  <w:font w:name="Arial">
    <w:charset w:val="01"/>
    <w:family w:val="swiss"/>
    <w:pitch w:val="default"/>
  </w:font>
  <w:font w:name="Times New Roman">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628086112"/>
    </w:sdtPr>
    <w:sdtContent>
      <w:p>
        <w:pPr>
          <w:pStyle w:val="Footer"/>
          <w:jc w:val="right"/>
          <w:rPr/>
        </w:pPr>
        <w:r>
          <w:rPr/>
          <w:fldChar w:fldCharType="begin"/>
        </w:r>
        <w:r>
          <w:rPr/>
          <w:instrText xml:space="preserve"> PAGE </w:instrText>
        </w:r>
        <w:r>
          <w:rPr/>
          <w:fldChar w:fldCharType="separate"/>
        </w:r>
        <w:r>
          <w:rPr/>
          <w:t>9</w:t>
        </w:r>
        <w:r>
          <w:rPr/>
          <w:fldChar w:fldCharType="end"/>
        </w:r>
      </w:p>
    </w:sdtContent>
  </w:sdt>
  <w:p>
    <w:pPr>
      <w:pStyle w:val="Footer"/>
      <w:jc w:val="right"/>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suff w:val="nothing"/>
      <w:lvlText w:val=""/>
      <w:lvlJc w:val="left"/>
      <w:pPr>
        <w:tabs>
          <w:tab w:val="num" w:pos="709"/>
        </w:tabs>
        <w:ind w:left="709"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suff w:val="nothing"/>
      <w:lvlText w:val=""/>
      <w:lvlJc w:val="left"/>
      <w:pPr>
        <w:tabs>
          <w:tab w:val="num" w:pos="240"/>
        </w:tabs>
        <w:ind w:left="240"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MX"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MX" w:eastAsia="en-US" w:bidi="ar-SA"/>
    </w:rPr>
  </w:style>
  <w:style w:type="paragraph" w:styleId="Heading1">
    <w:name w:val="Heading 1"/>
    <w:basedOn w:val="Normal"/>
    <w:next w:val="Normal"/>
    <w:link w:val="Ttulo1Car"/>
    <w:uiPriority w:val="9"/>
    <w:qFormat/>
    <w:rsid w:val="004550ee"/>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Ttulo2Car"/>
    <w:uiPriority w:val="9"/>
    <w:unhideWhenUsed/>
    <w:qFormat/>
    <w:rsid w:val="00f67b36"/>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link w:val="Ttulo3Car"/>
    <w:uiPriority w:val="9"/>
    <w:qFormat/>
    <w:rsid w:val="00da29e2"/>
    <w:pPr>
      <w:spacing w:lineRule="auto" w:line="240" w:beforeAutospacing="1" w:afterAutospacing="1"/>
      <w:outlineLvl w:val="2"/>
    </w:pPr>
    <w:rPr>
      <w:rFonts w:ascii="Times New Roman" w:hAnsi="Times New Roman" w:eastAsia="Times New Roman" w:cs="Times New Roman"/>
      <w:b/>
      <w:bCs/>
      <w:sz w:val="27"/>
      <w:szCs w:val="27"/>
      <w:lang w:eastAsia="es-MX"/>
    </w:rPr>
  </w:style>
  <w:style w:type="paragraph" w:styleId="Heading4">
    <w:name w:val="Heading 4"/>
    <w:basedOn w:val="Normal"/>
    <w:next w:val="Normal"/>
    <w:link w:val="Ttulo4Car"/>
    <w:uiPriority w:val="9"/>
    <w:semiHidden/>
    <w:unhideWhenUsed/>
    <w:qFormat/>
    <w:rsid w:val="00212dea"/>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SinespaciadoCar" w:customStyle="1">
    <w:name w:val="Sin espaciado Car"/>
    <w:basedOn w:val="DefaultParagraphFont"/>
    <w:link w:val="NoSpacing"/>
    <w:uiPriority w:val="1"/>
    <w:qFormat/>
    <w:rsid w:val="00ad5123"/>
    <w:rPr>
      <w:rFonts w:eastAsia="" w:eastAsiaTheme="minorEastAsia"/>
      <w:lang w:eastAsia="es-MX"/>
    </w:rPr>
  </w:style>
  <w:style w:type="character" w:styleId="Strong">
    <w:name w:val="Strong"/>
    <w:basedOn w:val="DefaultParagraphFont"/>
    <w:uiPriority w:val="22"/>
    <w:qFormat/>
    <w:rsid w:val="000173ed"/>
    <w:rPr>
      <w:b/>
      <w:bCs/>
    </w:rPr>
  </w:style>
  <w:style w:type="character" w:styleId="Ttulo3Car" w:customStyle="1">
    <w:name w:val="Título 3 Car"/>
    <w:basedOn w:val="DefaultParagraphFont"/>
    <w:link w:val="Heading3"/>
    <w:uiPriority w:val="9"/>
    <w:qFormat/>
    <w:rsid w:val="00da29e2"/>
    <w:rPr>
      <w:rFonts w:ascii="Times New Roman" w:hAnsi="Times New Roman" w:eastAsia="Times New Roman" w:cs="Times New Roman"/>
      <w:b/>
      <w:bCs/>
      <w:sz w:val="27"/>
      <w:szCs w:val="27"/>
      <w:lang w:eastAsia="es-MX"/>
    </w:rPr>
  </w:style>
  <w:style w:type="character" w:styleId="Emphasis">
    <w:name w:val="Emphasis"/>
    <w:basedOn w:val="DefaultParagraphFont"/>
    <w:uiPriority w:val="20"/>
    <w:qFormat/>
    <w:rsid w:val="00da29e2"/>
    <w:rPr>
      <w:i/>
      <w:iCs/>
    </w:rPr>
  </w:style>
  <w:style w:type="character" w:styleId="InternetLink">
    <w:name w:val="Hyperlink"/>
    <w:basedOn w:val="DefaultParagraphFont"/>
    <w:uiPriority w:val="99"/>
    <w:unhideWhenUsed/>
    <w:rsid w:val="00e82cd5"/>
    <w:rPr>
      <w:color w:val="0563C1" w:themeColor="hyperlink"/>
      <w:u w:val="single"/>
    </w:rPr>
  </w:style>
  <w:style w:type="character" w:styleId="UnresolvedMention">
    <w:name w:val="Unresolved Mention"/>
    <w:basedOn w:val="DefaultParagraphFont"/>
    <w:uiPriority w:val="99"/>
    <w:semiHidden/>
    <w:unhideWhenUsed/>
    <w:qFormat/>
    <w:rsid w:val="00e82cd5"/>
    <w:rPr>
      <w:color w:val="605E5C"/>
      <w:shd w:fill="E1DFDD" w:val="clear"/>
    </w:rPr>
  </w:style>
  <w:style w:type="character" w:styleId="EncabezadoCar" w:customStyle="1">
    <w:name w:val="Encabezado Car"/>
    <w:basedOn w:val="DefaultParagraphFont"/>
    <w:link w:val="Header"/>
    <w:uiPriority w:val="99"/>
    <w:qFormat/>
    <w:rsid w:val="00cb6dbe"/>
    <w:rPr/>
  </w:style>
  <w:style w:type="character" w:styleId="PiedepginaCar" w:customStyle="1">
    <w:name w:val="Pie de página Car"/>
    <w:basedOn w:val="DefaultParagraphFont"/>
    <w:link w:val="Footer"/>
    <w:uiPriority w:val="99"/>
    <w:qFormat/>
    <w:rsid w:val="00cb6dbe"/>
    <w:rPr/>
  </w:style>
  <w:style w:type="character" w:styleId="Ttulo1Car" w:customStyle="1">
    <w:name w:val="Título 1 Car"/>
    <w:basedOn w:val="DefaultParagraphFont"/>
    <w:link w:val="Heading1"/>
    <w:uiPriority w:val="9"/>
    <w:qFormat/>
    <w:rsid w:val="004550ee"/>
    <w:rPr>
      <w:rFonts w:ascii="Calibri Light" w:hAnsi="Calibri Light" w:eastAsia="" w:cs="" w:asciiTheme="majorHAnsi" w:cstheme="majorBidi" w:eastAsiaTheme="majorEastAsia" w:hAnsiTheme="majorHAnsi"/>
      <w:color w:val="2F5496" w:themeColor="accent1" w:themeShade="bf"/>
      <w:sz w:val="32"/>
      <w:szCs w:val="32"/>
    </w:rPr>
  </w:style>
  <w:style w:type="character" w:styleId="Ttulo2Car" w:customStyle="1">
    <w:name w:val="Título 2 Car"/>
    <w:basedOn w:val="DefaultParagraphFont"/>
    <w:link w:val="Heading2"/>
    <w:uiPriority w:val="9"/>
    <w:qFormat/>
    <w:rsid w:val="00f67b36"/>
    <w:rPr>
      <w:rFonts w:ascii="Calibri Light" w:hAnsi="Calibri Light" w:eastAsia="" w:cs="" w:asciiTheme="majorHAnsi" w:cstheme="majorBidi" w:eastAsiaTheme="majorEastAsia" w:hAnsiTheme="majorHAnsi"/>
      <w:color w:val="2F5496" w:themeColor="accent1" w:themeShade="bf"/>
      <w:sz w:val="26"/>
      <w:szCs w:val="26"/>
    </w:rPr>
  </w:style>
  <w:style w:type="character" w:styleId="Jsgrdq" w:customStyle="1">
    <w:name w:val="jsgrdq"/>
    <w:basedOn w:val="DefaultParagraphFont"/>
    <w:qFormat/>
    <w:rsid w:val="00533dfc"/>
    <w:rPr/>
  </w:style>
  <w:style w:type="character" w:styleId="Ttulo4Car" w:customStyle="1">
    <w:name w:val="Título 4 Car"/>
    <w:basedOn w:val="DefaultParagraphFont"/>
    <w:link w:val="Heading4"/>
    <w:uiPriority w:val="9"/>
    <w:semiHidden/>
    <w:qFormat/>
    <w:rsid w:val="00212dea"/>
    <w:rPr>
      <w:rFonts w:ascii="Calibri Light" w:hAnsi="Calibri Light" w:eastAsia="" w:cs="" w:asciiTheme="majorHAnsi" w:cstheme="majorBidi" w:eastAsiaTheme="majorEastAsia" w:hAnsiTheme="majorHAnsi"/>
      <w:i/>
      <w:iCs/>
      <w:color w:val="2F5496" w:themeColor="accent1" w:themeShade="bf"/>
    </w:rPr>
  </w:style>
  <w:style w:type="character" w:styleId="Ph" w:customStyle="1">
    <w:name w:val="ph"/>
    <w:basedOn w:val="DefaultParagraphFont"/>
    <w:qFormat/>
    <w:rsid w:val="00212dea"/>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StrongEmphasis">
    <w:name w:val="Strong"/>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NoSpacing">
    <w:name w:val="No Spacing"/>
    <w:link w:val="SinespaciadoCar"/>
    <w:uiPriority w:val="1"/>
    <w:qFormat/>
    <w:rsid w:val="00ad5123"/>
    <w:pPr>
      <w:widowControl/>
      <w:bidi w:val="0"/>
      <w:spacing w:lineRule="auto" w:line="240" w:before="0" w:after="0"/>
      <w:jc w:val="left"/>
    </w:pPr>
    <w:rPr>
      <w:rFonts w:eastAsia="" w:eastAsiaTheme="minorEastAsia" w:ascii="Calibri" w:hAnsi="Calibri" w:cs=""/>
      <w:color w:val="auto"/>
      <w:kern w:val="0"/>
      <w:sz w:val="22"/>
      <w:szCs w:val="22"/>
      <w:lang w:eastAsia="es-MX" w:val="es-MX" w:bidi="ar-SA"/>
    </w:rPr>
  </w:style>
  <w:style w:type="paragraph" w:styleId="NormalWeb">
    <w:name w:val="Normal (Web)"/>
    <w:basedOn w:val="Normal"/>
    <w:uiPriority w:val="99"/>
    <w:unhideWhenUsed/>
    <w:qFormat/>
    <w:rsid w:val="000173ed"/>
    <w:pPr>
      <w:spacing w:lineRule="auto" w:line="240" w:beforeAutospacing="1" w:afterAutospacing="1"/>
    </w:pPr>
    <w:rPr>
      <w:rFonts w:ascii="Times New Roman" w:hAnsi="Times New Roman" w:eastAsia="Times New Roman" w:cs="Times New Roman"/>
      <w:sz w:val="24"/>
      <w:szCs w:val="24"/>
      <w:lang w:eastAsia="es-MX"/>
    </w:rPr>
  </w:style>
  <w:style w:type="paragraph" w:styleId="HeaderandFooter">
    <w:name w:val="Header and Footer"/>
    <w:basedOn w:val="Normal"/>
    <w:qFormat/>
    <w:pPr/>
    <w:rPr/>
  </w:style>
  <w:style w:type="paragraph" w:styleId="Header">
    <w:name w:val="Header"/>
    <w:basedOn w:val="Normal"/>
    <w:link w:val="EncabezadoCar"/>
    <w:uiPriority w:val="99"/>
    <w:unhideWhenUsed/>
    <w:rsid w:val="00cb6dbe"/>
    <w:pPr>
      <w:tabs>
        <w:tab w:val="clear" w:pos="708"/>
        <w:tab w:val="center" w:pos="4419" w:leader="none"/>
        <w:tab w:val="right" w:pos="8838" w:leader="none"/>
      </w:tabs>
      <w:spacing w:lineRule="auto" w:line="240" w:before="0" w:after="0"/>
    </w:pPr>
    <w:rPr/>
  </w:style>
  <w:style w:type="paragraph" w:styleId="Footer">
    <w:name w:val="Footer"/>
    <w:basedOn w:val="Normal"/>
    <w:link w:val="PiedepginaCar"/>
    <w:uiPriority w:val="99"/>
    <w:unhideWhenUsed/>
    <w:rsid w:val="00cb6dbe"/>
    <w:pPr>
      <w:tabs>
        <w:tab w:val="clear" w:pos="708"/>
        <w:tab w:val="center" w:pos="4419" w:leader="none"/>
        <w:tab w:val="right" w:pos="8838" w:leader="none"/>
      </w:tabs>
      <w:spacing w:lineRule="auto" w:line="240" w:before="0" w:after="0"/>
    </w:pPr>
    <w:rPr/>
  </w:style>
  <w:style w:type="paragraph" w:styleId="Rtejustify" w:customStyle="1">
    <w:name w:val="rtejustify"/>
    <w:basedOn w:val="Normal"/>
    <w:qFormat/>
    <w:rsid w:val="004550ee"/>
    <w:pPr>
      <w:spacing w:lineRule="auto" w:line="240" w:beforeAutospacing="1" w:afterAutospacing="1"/>
    </w:pPr>
    <w:rPr>
      <w:rFonts w:ascii="Times New Roman" w:hAnsi="Times New Roman" w:eastAsia="Times New Roman" w:cs="Times New Roman"/>
      <w:sz w:val="24"/>
      <w:szCs w:val="24"/>
      <w:lang w:eastAsia="es-MX"/>
    </w:rPr>
  </w:style>
  <w:style w:type="paragraph" w:styleId="ListParagraph">
    <w:name w:val="List Paragraph"/>
    <w:basedOn w:val="Normal"/>
    <w:uiPriority w:val="34"/>
    <w:qFormat/>
    <w:rsid w:val="00187ad9"/>
    <w:pPr>
      <w:spacing w:before="0" w:after="160"/>
      <w:ind w:left="720" w:hanging="0"/>
      <w:contextualSpacing/>
    </w:pPr>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0b081a"/>
    <w:pPr>
      <w:outlineLvl w:val="9"/>
    </w:pPr>
    <w:rPr>
      <w:lang w:eastAsia="es-MX"/>
    </w:rPr>
  </w:style>
  <w:style w:type="paragraph" w:styleId="Contents1">
    <w:name w:val="TOC 1"/>
    <w:basedOn w:val="Normal"/>
    <w:next w:val="Normal"/>
    <w:autoRedefine/>
    <w:uiPriority w:val="39"/>
    <w:unhideWhenUsed/>
    <w:rsid w:val="000b081a"/>
    <w:pPr>
      <w:spacing w:before="0" w:after="100"/>
    </w:pPr>
    <w:rPr/>
  </w:style>
  <w:style w:type="paragraph" w:styleId="Contents2">
    <w:name w:val="TOC 2"/>
    <w:basedOn w:val="Normal"/>
    <w:next w:val="Normal"/>
    <w:autoRedefine/>
    <w:uiPriority w:val="39"/>
    <w:unhideWhenUsed/>
    <w:rsid w:val="000b081a"/>
    <w:pPr>
      <w:spacing w:before="0" w:after="100"/>
      <w:ind w:left="220" w:hanging="0"/>
    </w:pPr>
    <w:rPr>
      <w:rFonts w:eastAsia="" w:cs="Times New Roman" w:eastAsiaTheme="minorEastAsia"/>
      <w:lang w:eastAsia="es-MX"/>
    </w:rPr>
  </w:style>
  <w:style w:type="paragraph" w:styleId="Contents3">
    <w:name w:val="TOC 3"/>
    <w:basedOn w:val="Normal"/>
    <w:next w:val="Normal"/>
    <w:autoRedefine/>
    <w:uiPriority w:val="39"/>
    <w:unhideWhenUsed/>
    <w:rsid w:val="000b081a"/>
    <w:pPr>
      <w:spacing w:before="0" w:after="100"/>
      <w:ind w:left="440" w:hanging="0"/>
    </w:pPr>
    <w:rPr>
      <w:rFonts w:eastAsia="" w:cs="Times New Roman" w:eastAsiaTheme="minorEastAsia"/>
      <w:lang w:eastAsia="es-MX"/>
    </w:rPr>
  </w:style>
  <w:style w:type="paragraph" w:styleId="Li" w:customStyle="1">
    <w:name w:val="li"/>
    <w:basedOn w:val="Normal"/>
    <w:qFormat/>
    <w:rsid w:val="00212dea"/>
    <w:pPr>
      <w:spacing w:lineRule="auto" w:line="240" w:beforeAutospacing="1" w:afterAutospacing="1"/>
    </w:pPr>
    <w:rPr>
      <w:rFonts w:ascii="Times New Roman" w:hAnsi="Times New Roman" w:eastAsia="Times New Roman" w:cs="Times New Roman"/>
      <w:sz w:val="24"/>
      <w:szCs w:val="24"/>
      <w:lang w:eastAsia="es-MX"/>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43123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decuadrcula4">
    <w:name w:val="Grid Table 4"/>
    <w:basedOn w:val="Tablanormal"/>
    <w:uiPriority w:val="49"/>
    <w:rsid w:val="0043123a"/>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33D57C-A191-41AE-A520-0A53C2412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Application>LibreOffice/7.4.2.3$Linux_X86_64 LibreOffice_project/382eef1f22670f7f4118c8c2dd222ec7ad009daf</Application>
  <AppVersion>15.0000</AppVersion>
  <Pages>10</Pages>
  <Words>1219</Words>
  <Characters>6716</Characters>
  <CharactersWithSpaces>7868</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2022-11-10T02:37:00Z</dcterms:created>
  <dc:creator>The Skrapy</dc:creator>
  <dc:description/>
  <dc:language>en-US</dc:language>
  <cp:lastModifiedBy/>
  <cp:lastPrinted>2022-10-06T22:59:00Z</cp:lastPrinted>
  <dcterms:modified xsi:type="dcterms:W3CDTF">2022-11-11T12:10:38Z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