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A7AD" w14:textId="77777777" w:rsidR="00766C39" w:rsidRDefault="00000000">
      <w:r>
        <w:rPr>
          <w:noProof/>
        </w:rPr>
        <w:drawing>
          <wp:anchor distT="0" distB="0" distL="114300" distR="114300" simplePos="0" relativeHeight="3" behindDoc="0" locked="0" layoutInCell="0" allowOverlap="1" wp14:anchorId="459BC7A2" wp14:editId="0446634D">
            <wp:simplePos x="0" y="0"/>
            <wp:positionH relativeFrom="margin">
              <wp:posOffset>-340995</wp:posOffset>
            </wp:positionH>
            <wp:positionV relativeFrom="paragraph">
              <wp:posOffset>80010</wp:posOffset>
            </wp:positionV>
            <wp:extent cx="1931035" cy="1190625"/>
            <wp:effectExtent l="0" t="0" r="0" b="0"/>
            <wp:wrapTight wrapText="bothSides">
              <wp:wrapPolygon edited="0">
                <wp:start x="-75" y="0"/>
                <wp:lineTo x="-75" y="21279"/>
                <wp:lineTo x="21295" y="21279"/>
                <wp:lineTo x="21295" y="0"/>
                <wp:lineTo x="-7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2540" distL="0" distR="0" simplePos="0" relativeHeight="6" behindDoc="0" locked="0" layoutInCell="0" allowOverlap="1" wp14:anchorId="1B5C4576" wp14:editId="3DE17418">
                <wp:simplePos x="0" y="0"/>
                <wp:positionH relativeFrom="page">
                  <wp:posOffset>3536315</wp:posOffset>
                </wp:positionH>
                <wp:positionV relativeFrom="page">
                  <wp:posOffset>251460</wp:posOffset>
                </wp:positionV>
                <wp:extent cx="2921635" cy="2149475"/>
                <wp:effectExtent l="0" t="0" r="635" b="3175"/>
                <wp:wrapNone/>
                <wp:docPr id="2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21495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24D9E7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3FC82D10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D7596DA" w14:textId="77777777" w:rsidR="00766C39" w:rsidRDefault="00000000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2329137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79DBC5C4" w14:textId="77777777" w:rsidR="00766C39" w:rsidRDefault="00766C39">
                            <w:pPr>
                              <w:pStyle w:val="FrameContents"/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lIns="182880" tIns="182880" rIns="182880" bIns="36576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w14:anchorId="1B5C4576" id="Rectángulo 467" o:spid="_x0000_s1026" style="position:absolute;margin-left:278.45pt;margin-top:19.8pt;width:230.05pt;height:169.25pt;z-index:6;visibility:visible;mso-wrap-style:square;mso-width-percent:370;mso-wrap-distance-left:0;mso-wrap-distance-top:0;mso-wrap-distance-right:0;mso-wrap-distance-bottom:.2pt;mso-position-horizontal:absolute;mso-position-horizontal-relative:page;mso-position-vertical:absolute;mso-position-vertical-relative:page;mso-width-percent:37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" o:allowincell="f" fillcolor="#44546a [3215]" stroked="f" strokeweight="1pt">
                <v:textbox inset="14.4pt,14.4pt,14.4pt,28.8pt">
                  <w:txbxContent>
                    <w:p w14:paraId="2B24D9E7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3FC82D10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D7596DA" w14:textId="77777777" w:rsidR="00766C39" w:rsidRDefault="00000000">
                      <w:pPr>
                        <w:pStyle w:val="FrameContents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2329137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79DBC5C4" w14:textId="77777777" w:rsidR="00766C39" w:rsidRDefault="00766C39">
                      <w:pPr>
                        <w:pStyle w:val="FrameContents"/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Hlk115102557"/>
      <w:bookmarkEnd w:id="0"/>
    </w:p>
    <w:p w14:paraId="5C078B50" w14:textId="77777777" w:rsidR="00766C39" w:rsidRDefault="00766C39"/>
    <w:p w14:paraId="28785262" w14:textId="77777777" w:rsidR="00766C39" w:rsidRDefault="00000000">
      <w:r>
        <w:rPr>
          <w:noProof/>
        </w:rPr>
        <mc:AlternateContent>
          <mc:Choice Requires="wps">
            <w:drawing>
              <wp:anchor distT="0" distB="26670" distL="0" distR="15240" simplePos="0" relativeHeight="4" behindDoc="0" locked="0" layoutInCell="0" allowOverlap="1" wp14:anchorId="0D2F875A" wp14:editId="736837DF">
                <wp:simplePos x="0" y="0"/>
                <wp:positionH relativeFrom="page">
                  <wp:posOffset>3419475</wp:posOffset>
                </wp:positionH>
                <wp:positionV relativeFrom="page">
                  <wp:posOffset>251460</wp:posOffset>
                </wp:positionV>
                <wp:extent cx="3142615" cy="7112635"/>
                <wp:effectExtent l="8890" t="8890" r="7620" b="7620"/>
                <wp:wrapNone/>
                <wp:docPr id="4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440" cy="7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E7E6E6">
                              <a:lumMod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B99C31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DF0614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F8FF3D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4960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DDA18E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8B91D6" w14:textId="77777777" w:rsidR="00766C39" w:rsidRDefault="00766C39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66A2FF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87EBD3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ED9A9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Materia: Modelos de negocio y outsourcing </w:t>
                            </w:r>
                          </w:p>
                          <w:p w14:paraId="20A12AB2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EFC3B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Maestro: Ileana Deyanira Trejo García</w:t>
                            </w:r>
                          </w:p>
                          <w:p w14:paraId="4633D6D0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C4BE28" w14:textId="6331FC28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Título: Portafolio Unidad #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Gobernabilidad de TI</w:t>
                            </w:r>
                          </w:p>
                          <w:p w14:paraId="0FBFE12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F2D0F66" w14:textId="43DB4110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 de entrega: 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</w:t>
                            </w:r>
                            <w:r w:rsidR="00A65C7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/22</w:t>
                            </w:r>
                          </w:p>
                          <w:p w14:paraId="0EB4966C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B62F5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Alumno: Castillo Jr. Gregorio</w:t>
                            </w:r>
                          </w:p>
                          <w:p w14:paraId="071033EA" w14:textId="77777777" w:rsidR="00766C39" w:rsidRDefault="00766C3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A4427F" w14:textId="77777777" w:rsidR="00766C39" w:rsidRDefault="00000000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Numero de control: 19580589</w:t>
                            </w:r>
                          </w:p>
                          <w:p w14:paraId="1F97B53D" w14:textId="77777777" w:rsidR="00766C39" w:rsidRDefault="00766C39">
                            <w:pPr>
                              <w:pStyle w:val="FrameContents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10BA5B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  <w:p w14:paraId="0EC9FCB2" w14:textId="77777777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0D2F875A" id="Rectángulo 468" o:spid="_x0000_s1027" style="position:absolute;margin-left:269.25pt;margin-top:19.8pt;width:247.45pt;height:560.05pt;z-index:4;visibility:visible;mso-wrap-style:square;mso-width-percent:400;mso-height-percent:700;mso-wrap-distance-left:0;mso-wrap-distance-top:0;mso-wrap-distance-right:1.2pt;mso-wrap-distance-bottom:2.1pt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" o:allowincell="f" fillcolor="white [3212]" strokecolor="#767171" strokeweight="1.25pt">
                <v:textbox>
                  <w:txbxContent>
                    <w:p w14:paraId="2B99C31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DF0614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F8FF3D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4960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DDA18E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8B91D6" w14:textId="77777777" w:rsidR="00766C39" w:rsidRDefault="00766C39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66A2FF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87EBD3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ED9A9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Materia: Modelos de negocio y outsourcing </w:t>
                      </w:r>
                    </w:p>
                    <w:p w14:paraId="20A12AB2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EFC3B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Maestro: Ileana Deyanira Trejo García</w:t>
                      </w:r>
                    </w:p>
                    <w:p w14:paraId="4633D6D0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C4BE28" w14:textId="6331FC28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Título: Portafolio Unidad #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Gobernabilidad de TI</w:t>
                      </w:r>
                    </w:p>
                    <w:p w14:paraId="0FBFE12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F2D0F66" w14:textId="43DB4110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 de entrega: 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</w:t>
                      </w:r>
                      <w:r w:rsidR="00A65C7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/22</w:t>
                      </w:r>
                    </w:p>
                    <w:p w14:paraId="0EB4966C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B62F5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Alumno: Castillo Jr. Gregorio</w:t>
                      </w:r>
                    </w:p>
                    <w:p w14:paraId="071033EA" w14:textId="77777777" w:rsidR="00766C39" w:rsidRDefault="00766C3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3A4427F" w14:textId="77777777" w:rsidR="00766C39" w:rsidRDefault="00000000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Numero de control: 19580589</w:t>
                      </w:r>
                    </w:p>
                    <w:p w14:paraId="1F97B53D" w14:textId="77777777" w:rsidR="00766C39" w:rsidRDefault="00766C39">
                      <w:pPr>
                        <w:pStyle w:val="FrameContents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10BA5B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  <w:p w14:paraId="0EC9FCB2" w14:textId="77777777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0345E5A" wp14:editId="74144B61">
                <wp:simplePos x="0" y="0"/>
                <wp:positionH relativeFrom="page">
                  <wp:posOffset>3536315</wp:posOffset>
                </wp:positionH>
                <wp:positionV relativeFrom="page">
                  <wp:posOffset>6939915</wp:posOffset>
                </wp:positionV>
                <wp:extent cx="2921635" cy="118745"/>
                <wp:effectExtent l="0" t="0" r="0" b="0"/>
                <wp:wrapNone/>
                <wp:docPr id="6" name="Rectá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760" cy="1188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path="m0,0l-2147483645,0l-2147483645,-2147483646l0,-2147483646xe" fillcolor="#4472c4" stroked="f" o:allowincell="f" style="position:absolute;margin-left:278.45pt;margin-top:546.45pt;width:230pt;height:9.3pt;mso-wrap-style:none;v-text-anchor:middle;mso-position-horizontal-relative:page;mso-position-vertical-relative:page" wp14:anchorId="5519DB5A">
                <v:fill o:detectmouseclick="t" type="solid" color2="#bb8d3b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985" distL="0" distR="6985" simplePos="0" relativeHeight="9" behindDoc="1" locked="0" layoutInCell="0" allowOverlap="1" wp14:anchorId="499CBA48" wp14:editId="1CA32F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03795" cy="9675495"/>
                <wp:effectExtent l="635" t="635" r="0" b="0"/>
                <wp:wrapNone/>
                <wp:docPr id="7" name="Rectá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840" cy="9675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3D8A08" w14:textId="6CF312F4" w:rsidR="00766C39" w:rsidRDefault="00766C39"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lIns="274320" rIns="2743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99CBA48" id="Rectángulo 466" o:spid="_x0000_s1028" style="position:absolute;margin-left:0;margin-top:0;width:590.85pt;height:761.85pt;z-index:-503316471;visibility:visible;mso-wrap-style:square;mso-width-percent:950;mso-height-percent:950;mso-wrap-distance-left:0;mso-wrap-distance-top:0;mso-wrap-distance-right:.55pt;mso-wrap-distance-bottom:.55pt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" o:allowincell="f" fillcolor="#d9e2f3 [660]" stroked="f" strokeweight="1pt">
                <v:fill color2="#8eaadb [1940]" focus="100%" type="gradient">
                  <o:fill v:ext="view" type="gradientUnscaled"/>
                </v:fill>
                <v:textbox inset="21.6pt,,21.6pt">
                  <w:txbxContent>
                    <w:p w14:paraId="0E3D8A08" w14:textId="6CF312F4" w:rsidR="00766C39" w:rsidRDefault="00766C39">
                      <w:pPr>
                        <w:pStyle w:val="FrameContents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AFD36AB" w14:textId="77777777" w:rsidR="00766C3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3B64146E" wp14:editId="0970A27F">
            <wp:simplePos x="0" y="0"/>
            <wp:positionH relativeFrom="page">
              <wp:posOffset>1061085</wp:posOffset>
            </wp:positionH>
            <wp:positionV relativeFrom="paragraph">
              <wp:posOffset>1114425</wp:posOffset>
            </wp:positionV>
            <wp:extent cx="1332865" cy="1303020"/>
            <wp:effectExtent l="0" t="0" r="0" b="0"/>
            <wp:wrapTight wrapText="bothSides">
              <wp:wrapPolygon edited="0">
                <wp:start x="-95" y="0"/>
                <wp:lineTo x="-95" y="21020"/>
                <wp:lineTo x="21217" y="21020"/>
                <wp:lineTo x="21217" y="0"/>
                <wp:lineTo x="-95" y="0"/>
              </wp:wrapPolygon>
            </wp:wrapTight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F271962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5100403"/>
      <w:bookmarkStart w:id="2" w:name="_Toc1190966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1"/>
      <w:bookmarkEnd w:id="2"/>
    </w:p>
    <w:p w14:paraId="2A05A795" w14:textId="77777777" w:rsidR="00766C39" w:rsidRDefault="00766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607686"/>
        <w:docPartObj>
          <w:docPartGallery w:val="Table of Contents"/>
          <w:docPartUnique/>
        </w:docPartObj>
      </w:sdtPr>
      <w:sdtContent>
        <w:p w14:paraId="35FAD6F2" w14:textId="77777777" w:rsidR="00766C39" w:rsidRPr="001650EE" w:rsidRDefault="00766C39" w:rsidP="001650EE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2A5B9B1F" w14:textId="66C52C66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 w:rsidRPr="001650EE">
            <w:fldChar w:fldCharType="begin"/>
          </w:r>
          <w:r w:rsidRPr="001650EE">
            <w:rPr>
              <w:rStyle w:val="IndexLink"/>
              <w:rFonts w:ascii="Arial" w:hAnsi="Arial" w:cs="Arial"/>
              <w:b/>
              <w:bCs/>
              <w:webHidden/>
              <w:sz w:val="24"/>
              <w:szCs w:val="24"/>
            </w:rPr>
            <w:instrText xml:space="preserve"> TOC \z \o "1-3" \u \h</w:instrText>
          </w:r>
          <w:r w:rsidRPr="001650EE">
            <w:rPr>
              <w:rStyle w:val="IndexLink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9096621" w:history="1">
            <w:r w:rsidR="001650EE" w:rsidRPr="001650EE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</w:rPr>
              <w:t>Índice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_Toc119096621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A4AA3" w14:textId="77777777" w:rsidR="001650EE" w:rsidRPr="001650EE" w:rsidRDefault="001650EE" w:rsidP="001650EE">
          <w:pPr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</w:p>
        <w:p w14:paraId="175AC423" w14:textId="6C49FAE2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9096622" w:history="1">
            <w:r w:rsidR="001650EE" w:rsidRPr="001650EE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(Leyes de seguridad en la información)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_Toc119096622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33E52" w14:textId="792F8910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9096623" w:history="1">
            <w:r w:rsidR="001650EE" w:rsidRPr="001650EE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Examen (Elaborar examen con 10 preguntas)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_Toc119096623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A8DD5" w14:textId="1D02195D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9096624" w:history="1">
            <w:r w:rsidR="001650EE" w:rsidRPr="001650EE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Resumen (Artículos de la LFDA para los programas de computación y bases de datos)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_Toc119096624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FE724" w14:textId="09F57BD8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hyperlink w:anchor="_Toc119096625" w:history="1">
            <w:r w:rsidR="001650EE" w:rsidRPr="001650EE">
              <w:rPr>
                <w:rStyle w:val="Hipervnculo"/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MX"/>
              </w:rPr>
              <w:t>Investigación (Convenio de Berna)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_Toc119096625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5CC02E" w14:textId="77777777" w:rsidR="001650EE" w:rsidRPr="001650EE" w:rsidRDefault="001650EE" w:rsidP="001650EE">
          <w:pPr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</w:p>
        <w:p w14:paraId="091323DA" w14:textId="54DC4DF8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9096626" w:history="1">
            <w:r w:rsidR="001650EE" w:rsidRPr="001650EE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Conclusiones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_Toc119096626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531885" w14:textId="603B6B8C" w:rsidR="001650EE" w:rsidRPr="001650EE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9096627" w:history="1">
            <w:r w:rsidR="001650EE" w:rsidRPr="001650EE">
              <w:rPr>
                <w:rStyle w:val="Hipervnculo"/>
                <w:rFonts w:ascii="Arial" w:hAnsi="Arial" w:cs="Arial"/>
                <w:b/>
                <w:bCs/>
                <w:noProof/>
                <w:sz w:val="24"/>
                <w:szCs w:val="24"/>
                <w:lang w:eastAsia="es-MX"/>
              </w:rPr>
              <w:t>Fuentes de información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_Toc119096627 \h </w:instrTex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F6A2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1650EE" w:rsidRPr="001650E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20411" w14:textId="14E0743F" w:rsidR="00766C39" w:rsidRDefault="00000000" w:rsidP="001650EE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z w:val="24"/>
              <w:szCs w:val="24"/>
              <w:lang w:eastAsia="es-MX"/>
            </w:rPr>
          </w:pPr>
          <w:r w:rsidRPr="001650EE">
            <w:rPr>
              <w:rStyle w:val="IndexLink"/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8F2E6E7" w14:textId="77777777" w:rsidR="00766C39" w:rsidRDefault="00766C39"/>
    <w:p w14:paraId="599106E1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BC1D336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45D0808E" w14:textId="77777777" w:rsidR="00766C39" w:rsidRDefault="00766C3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AE09B6E" w14:textId="77777777" w:rsidR="00766C39" w:rsidRDefault="00000000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br w:type="page"/>
      </w:r>
    </w:p>
    <w:p w14:paraId="45B7AE9E" w14:textId="16A351CD" w:rsidR="00766C39" w:rsidRDefault="00000000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909662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 (</w:t>
      </w:r>
      <w:r w:rsidR="007D18C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Benchmarking y su relación con la gobernabilidad TI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3"/>
    </w:p>
    <w:p w14:paraId="57D69F1F" w14:textId="77777777" w:rsidR="007D18CF" w:rsidRDefault="007D18CF">
      <w:pPr>
        <w:spacing w:line="360" w:lineRule="auto"/>
        <w:jc w:val="both"/>
      </w:pPr>
    </w:p>
    <w:p w14:paraId="5FA34386" w14:textId="35E10A53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significa “punto de referencia”, y benchmarking significa “evaluación comparativa".</w:t>
      </w:r>
    </w:p>
    <w:p w14:paraId="15624EAA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 decir, que el benchmarking consiste en evaluar y analizar los procesos, productos, servicios y/o demás aspectos de otras compañías o áreas para compararlos y tomarlos como punto de referencia para tus futuras estrategias.</w:t>
      </w:r>
    </w:p>
    <w:p w14:paraId="7770813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  <w:t>La importancia del benchmarking</w:t>
      </w:r>
    </w:p>
    <w:p w14:paraId="3219C9F6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Cuando analizas tu empresa y el mercado en el que actúas (lo que, como has visto, incluye la competencia), no sólo pasas a conocer mejor tus potenciales clientes. También descubres ideas inspiradoras e innovadoras aplicables en tu organización.</w:t>
      </w:r>
    </w:p>
    <w:p w14:paraId="2265B803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Aparte, puedes reconocer las fuerzas y debilidades de tus competidores y, de ese modo, mejorar tu posicionamiento en el mercado.</w:t>
      </w:r>
    </w:p>
    <w:p w14:paraId="3351162B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Los objetivos elementales que un proceso de benchmarking busca alcanzar son: </w:t>
      </w:r>
    </w:p>
    <w:p w14:paraId="48CC499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definir nuevos conceptos de análisis;</w:t>
      </w:r>
    </w:p>
    <w:p w14:paraId="6030C547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ampliar el conocimiento de la propia empresa;</w:t>
      </w:r>
    </w:p>
    <w:p w14:paraId="4A0D2C4E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identificar las áreas que deben mejorarse;</w:t>
      </w:r>
    </w:p>
    <w:p w14:paraId="76697B4F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establecer objetivos realistas y viables;</w:t>
      </w:r>
    </w:p>
    <w:p w14:paraId="47AC70C6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permitir un conocimiento mayor de la competencia y del nivel competitivo del mercado;</w:t>
      </w:r>
    </w:p>
    <w:p w14:paraId="3D6F252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ajustar la organización con las mejores prácticas del mercado;</w:t>
      </w:r>
    </w:p>
    <w:p w14:paraId="6BF074F2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plantear nuevas estrategias y salir adelante de los competidores;</w:t>
      </w:r>
    </w:p>
    <w:p w14:paraId="02C361D4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mejorar la comunicación empresarial;</w:t>
      </w:r>
    </w:p>
    <w:p w14:paraId="1C8CA383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perfeccionar procesos;</w:t>
      </w:r>
    </w:p>
    <w:p w14:paraId="5A69937C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disminuir el número de errores;</w:t>
      </w:r>
    </w:p>
    <w:p w14:paraId="1F4BE40D" w14:textId="77777777" w:rsidR="007D18CF" w:rsidRPr="007D18CF" w:rsidRDefault="007D18CF" w:rsidP="007D18CF">
      <w:pPr>
        <w:pStyle w:val="Textoindependiente"/>
        <w:numPr>
          <w:ilvl w:val="0"/>
          <w:numId w:val="7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reducir costos.</w:t>
      </w:r>
    </w:p>
    <w:p w14:paraId="3D787EB2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14070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lastRenderedPageBreak/>
        <w:t>Tipos de benchmarking</w:t>
      </w:r>
    </w:p>
    <w:p w14:paraId="0F31F75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t>Benchmarking interno</w:t>
      </w:r>
    </w:p>
    <w:p w14:paraId="0AEB42C4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interno consiste en evaluar y analizar una o más áreas de una misma empresa.</w:t>
      </w:r>
      <w:r w:rsidRPr="007D18CF">
        <w:rPr>
          <w:rFonts w:ascii="Arial" w:hAnsi="Arial" w:cs="Arial"/>
          <w:color w:val="171923"/>
          <w:sz w:val="24"/>
          <w:szCs w:val="24"/>
        </w:rPr>
        <w:t> Esto permite compararlas y determinar en qué aspectos necesitan fortalecerse y qué pueden aprender unas de otras.</w:t>
      </w:r>
    </w:p>
    <w:p w14:paraId="7E6D1179" w14:textId="0E58A606" w:rsidR="007D18CF" w:rsidRPr="007D18CF" w:rsidRDefault="00242339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Benchmarking</w:t>
      </w:r>
      <w:r w:rsidR="007D18CF" w:rsidRPr="007D18CF">
        <w:rPr>
          <w:rFonts w:ascii="Arial" w:hAnsi="Arial" w:cs="Arial"/>
          <w:color w:val="171923"/>
          <w:sz w:val="24"/>
          <w:szCs w:val="24"/>
        </w:rPr>
        <w:t xml:space="preserve"> de competencia </w:t>
      </w:r>
    </w:p>
    <w:p w14:paraId="093C70A6" w14:textId="38B8DA70" w:rsidR="007D18CF" w:rsidRPr="00A65C75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b w:val="0"/>
          <w:color w:val="171923"/>
          <w:sz w:val="24"/>
          <w:szCs w:val="24"/>
        </w:rPr>
        <w:t>El benchmarking de competencia estudia otras compañías de un mismo sector con el fin de analizar sus prácticas.</w:t>
      </w:r>
      <w:r w:rsidRPr="007D18CF">
        <w:rPr>
          <w:rFonts w:ascii="Arial" w:hAnsi="Arial" w:cs="Arial"/>
          <w:color w:val="171923"/>
          <w:sz w:val="24"/>
          <w:szCs w:val="24"/>
        </w:rPr>
        <w:t> Esto ayuda a identificar tus puntos débiles en cuanto a servicio, procesos y estrategias se refiere, y así tomar acciones para ser más competitivo.</w:t>
      </w:r>
    </w:p>
    <w:p w14:paraId="6EBA37B7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Benchmarking funcional </w:t>
      </w:r>
    </w:p>
    <w:p w14:paraId="78F8562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El benchmarking funcional o estratégico toma como referencia las estrategias o procesos específicos de empresas de otros sectores que no son necesariamente competidores.</w:t>
      </w:r>
    </w:p>
    <w:p w14:paraId="6A0DD495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sz w:val="24"/>
          <w:szCs w:val="24"/>
        </w:rPr>
        <w:br/>
      </w:r>
      <w:r w:rsidRPr="007D18CF">
        <w:rPr>
          <w:rFonts w:ascii="Arial" w:hAnsi="Arial" w:cs="Arial"/>
          <w:color w:val="171923"/>
          <w:sz w:val="24"/>
          <w:szCs w:val="24"/>
        </w:rPr>
        <w:t>Como realizar un benchmarking</w:t>
      </w:r>
    </w:p>
    <w:p w14:paraId="2FA13DCF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1.-Estudiar a tu negocio</w:t>
      </w:r>
    </w:p>
    <w:p w14:paraId="57CCF455" w14:textId="39A5BC68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2.-Seleccionar el tipo de </w:t>
      </w:r>
      <w:r w:rsidR="00242339" w:rsidRPr="007D18CF">
        <w:rPr>
          <w:rFonts w:ascii="Arial" w:hAnsi="Arial" w:cs="Arial"/>
          <w:color w:val="171923"/>
          <w:sz w:val="24"/>
          <w:szCs w:val="24"/>
        </w:rPr>
        <w:t>benchmarking</w:t>
      </w:r>
    </w:p>
    <w:p w14:paraId="6CC63B51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3.-Elegir las empresas que se van a analizar</w:t>
      </w:r>
    </w:p>
    <w:p w14:paraId="0BDE757C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 xml:space="preserve">4.-Definir los datos que se van a recolectar </w:t>
      </w:r>
    </w:p>
    <w:p w14:paraId="704DCE9D" w14:textId="77777777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5.-Analizar los datos recolectados</w:t>
      </w:r>
    </w:p>
    <w:p w14:paraId="1042C854" w14:textId="26A0BA01" w:rsidR="007D18CF" w:rsidRPr="007D18CF" w:rsidRDefault="007D18CF" w:rsidP="007D18CF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6.-Implementar las mejoras</w:t>
      </w:r>
    </w:p>
    <w:p w14:paraId="401B2001" w14:textId="1D5DA894" w:rsidR="00766C39" w:rsidRPr="00A65C75" w:rsidRDefault="007D18CF" w:rsidP="00A65C75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18CF">
        <w:rPr>
          <w:rFonts w:ascii="Arial" w:hAnsi="Arial" w:cs="Arial"/>
          <w:color w:val="171923"/>
          <w:sz w:val="24"/>
          <w:szCs w:val="24"/>
        </w:rPr>
        <w:t>Incorporar el benchmarking en tu empresa es importante para mantener una cultura innovadora y de mejora continua. </w:t>
      </w:r>
      <w:r w:rsidRPr="007D18CF">
        <w:rPr>
          <w:rStyle w:val="Textoennegrita"/>
          <w:rFonts w:ascii="Arial" w:hAnsi="Arial" w:cs="Arial"/>
          <w:color w:val="171923"/>
          <w:sz w:val="24"/>
          <w:szCs w:val="24"/>
        </w:rPr>
        <w:t>¡Así que no temas aprender de los demás!</w:t>
      </w:r>
      <w:r w:rsidRPr="007D18CF">
        <w:rPr>
          <w:rFonts w:ascii="Arial" w:hAnsi="Arial" w:cs="Arial"/>
          <w:color w:val="171923"/>
          <w:sz w:val="24"/>
          <w:szCs w:val="24"/>
        </w:rPr>
        <w:t> Una mentalidad flexible y abierta al cambio es la clave para mantenerte vigente y relevante para tus clientes.</w:t>
      </w:r>
    </w:p>
    <w:p w14:paraId="17CE072C" w14:textId="53995A22" w:rsidR="00766C39" w:rsidRPr="00185B2B" w:rsidRDefault="00000000" w:rsidP="00185B2B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4" w:name="_Toc11909662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Examen (Elaborar examen con 10 preguntas)</w:t>
      </w:r>
      <w:bookmarkEnd w:id="4"/>
    </w:p>
    <w:p w14:paraId="5E7AC663" w14:textId="77777777" w:rsidR="000373D7" w:rsidRDefault="000373D7" w:rsidP="000373D7">
      <w:pPr>
        <w:spacing w:line="240" w:lineRule="auto"/>
        <w:rPr>
          <w:rFonts w:ascii="Arial" w:hAnsi="Arial" w:cs="Arial"/>
          <w:sz w:val="24"/>
          <w:szCs w:val="24"/>
        </w:rPr>
      </w:pPr>
    </w:p>
    <w:p w14:paraId="02B8AFC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1.-Que es la gobernabilidad dentro de las ti</w:t>
      </w:r>
    </w:p>
    <w:p w14:paraId="023C5C6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a)Son alineamientos para las estrategias de negocios</w:t>
      </w:r>
    </w:p>
    <w:p w14:paraId="60B2BA75" w14:textId="49E76FA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b)Es la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jerarquía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gobierno de las ti</w:t>
      </w:r>
    </w:p>
    <w:p w14:paraId="43A80AD1" w14:textId="32B354F1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c)Son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las leyes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a seguir dentro de las ti</w:t>
      </w:r>
    </w:p>
    <w:p w14:paraId="20B3D0D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2D5F8493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2.-Con cuantos principios cuenta la gobernabilidad de las TI</w:t>
      </w:r>
    </w:p>
    <w:p w14:paraId="446DC54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a)9</w:t>
      </w:r>
    </w:p>
    <w:p w14:paraId="423638B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b)6</w:t>
      </w:r>
    </w:p>
    <w:p w14:paraId="352BA5D8" w14:textId="607E4C6F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  <w:sz w:val="24"/>
          <w:szCs w:val="24"/>
        </w:rPr>
      </w:pPr>
      <w:r w:rsidRPr="001B4AC8">
        <w:rPr>
          <w:rFonts w:ascii="Arial" w:hAnsi="Arial" w:cs="Arial"/>
          <w:color w:val="171923"/>
          <w:sz w:val="24"/>
          <w:szCs w:val="24"/>
        </w:rPr>
        <w:t>c)5</w:t>
      </w:r>
    </w:p>
    <w:p w14:paraId="684734A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66861A9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3.-Es la funcionalidad de la gobernabilidad de las TI</w:t>
      </w:r>
    </w:p>
    <w:p w14:paraId="41B826B8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a) Encargarse que los objetivos sean cumplidos</w:t>
      </w:r>
    </w:p>
    <w:p w14:paraId="50B23C55" w14:textId="56554363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Encargarse que los sistemas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estén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bien implementados</w:t>
      </w:r>
    </w:p>
    <w:p w14:paraId="60C15A66" w14:textId="7C643A9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c)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Encargarse</w:t>
      </w:r>
      <w:r w:rsidRPr="001B4AC8">
        <w:rPr>
          <w:rFonts w:ascii="Arial" w:hAnsi="Arial" w:cs="Arial"/>
          <w:color w:val="171923"/>
          <w:sz w:val="24"/>
          <w:szCs w:val="24"/>
        </w:rPr>
        <w:t xml:space="preserve"> de administrar al personal</w:t>
      </w:r>
    </w:p>
    <w:p w14:paraId="74B5ECD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024CFD7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>4.- Son los procesos de la gobernabilidad TI</w:t>
      </w:r>
    </w:p>
    <w:p w14:paraId="5EA522D6" w14:textId="58427742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a)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Administrar</w:t>
      </w:r>
    </w:p>
    <w:p w14:paraId="00364CB5" w14:textId="056AAFB0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t xml:space="preserve">b) </w:t>
      </w:r>
      <w:r w:rsidR="004871CC" w:rsidRPr="001B4AC8">
        <w:rPr>
          <w:rFonts w:ascii="Arial" w:hAnsi="Arial" w:cs="Arial"/>
          <w:color w:val="171923"/>
          <w:sz w:val="24"/>
          <w:szCs w:val="24"/>
        </w:rPr>
        <w:t>Monitorizar</w:t>
      </w:r>
      <w:r w:rsidRPr="001B4AC8">
        <w:rPr>
          <w:rFonts w:ascii="Arial" w:hAnsi="Arial" w:cs="Arial"/>
          <w:color w:val="171923"/>
          <w:sz w:val="24"/>
          <w:szCs w:val="24"/>
        </w:rPr>
        <w:t>, Evaluar y Corregir</w:t>
      </w:r>
    </w:p>
    <w:p w14:paraId="3E29618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shd w:val="clear" w:color="auto" w:fill="FFFF00"/>
        </w:rPr>
      </w:pPr>
      <w:r w:rsidRPr="001B4AC8">
        <w:rPr>
          <w:rFonts w:ascii="Arial" w:hAnsi="Arial" w:cs="Arial"/>
          <w:color w:val="171923"/>
          <w:sz w:val="24"/>
          <w:szCs w:val="24"/>
          <w:shd w:val="clear" w:color="auto" w:fill="FFFF00"/>
        </w:rPr>
        <w:t>c) Monitorizar, Evaluar y Dirigir</w:t>
      </w:r>
    </w:p>
    <w:p w14:paraId="548EF3C6" w14:textId="0EBB23CA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C58B64E" w14:textId="32569179" w:rsid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3E179F35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B2ACD9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color w:val="171923"/>
          <w:sz w:val="24"/>
          <w:szCs w:val="24"/>
        </w:rPr>
        <w:lastRenderedPageBreak/>
        <w:t>Relaciona el inciso con el que corresponda</w:t>
      </w:r>
    </w:p>
    <w:p w14:paraId="041E11D2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A.-Responsabilidad</w:t>
      </w:r>
    </w:p>
    <w:p w14:paraId="109E515A" w14:textId="60E4570E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B.-</w:t>
      </w:r>
      <w:r w:rsidR="00242339" w:rsidRPr="001B4AC8">
        <w:rPr>
          <w:rFonts w:ascii="Arial" w:hAnsi="Arial" w:cs="Arial"/>
          <w:sz w:val="24"/>
          <w:szCs w:val="24"/>
        </w:rPr>
        <w:t>Adquisición</w:t>
      </w:r>
      <w:r w:rsidRPr="001B4AC8">
        <w:rPr>
          <w:rFonts w:ascii="Arial" w:hAnsi="Arial" w:cs="Arial"/>
          <w:sz w:val="24"/>
          <w:szCs w:val="24"/>
        </w:rPr>
        <w:t xml:space="preserve"> </w:t>
      </w:r>
    </w:p>
    <w:p w14:paraId="24A395AE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C.-Conducta humana</w:t>
      </w:r>
    </w:p>
    <w:p w14:paraId="32B1FF97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D.-Conformidad</w:t>
      </w:r>
    </w:p>
    <w:p w14:paraId="71A7135A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E.-Rendimiento</w:t>
      </w:r>
    </w:p>
    <w:p w14:paraId="319E592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>F.-Estrategia</w:t>
      </w:r>
    </w:p>
    <w:p w14:paraId="22D032B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</w:p>
    <w:p w14:paraId="2836A419" w14:textId="2CE43066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A</w:t>
      </w:r>
      <w:r w:rsidRPr="001B4AC8">
        <w:rPr>
          <w:rFonts w:ascii="Arial" w:hAnsi="Arial" w:cs="Arial"/>
          <w:sz w:val="24"/>
          <w:szCs w:val="24"/>
        </w:rPr>
        <w:t xml:space="preserve"> ) Establecer responsabilidades claramente entendidas para el </w:t>
      </w:r>
      <w:r w:rsidRPr="001B4AC8">
        <w:rPr>
          <w:rFonts w:ascii="Arial" w:hAnsi="Arial" w:cs="Arial"/>
          <w:sz w:val="24"/>
          <w:szCs w:val="24"/>
        </w:rPr>
        <w:t>área</w:t>
      </w:r>
      <w:r w:rsidRPr="001B4AC8">
        <w:rPr>
          <w:rFonts w:ascii="Arial" w:hAnsi="Arial" w:cs="Arial"/>
          <w:sz w:val="24"/>
          <w:szCs w:val="24"/>
        </w:rPr>
        <w:t xml:space="preserve"> de TI</w:t>
      </w:r>
    </w:p>
    <w:p w14:paraId="53421219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F</w:t>
      </w:r>
      <w:r w:rsidRPr="001B4AC8">
        <w:rPr>
          <w:rFonts w:ascii="Arial" w:hAnsi="Arial" w:cs="Arial"/>
          <w:sz w:val="24"/>
          <w:szCs w:val="24"/>
        </w:rPr>
        <w:t xml:space="preserve"> ) Planear las TI para apoyar de mejor forma a la empresa</w:t>
      </w:r>
    </w:p>
    <w:p w14:paraId="28BD19B5" w14:textId="25A38204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B</w:t>
      </w:r>
      <w:r w:rsidRPr="001B4AC8">
        <w:rPr>
          <w:rFonts w:ascii="Arial" w:hAnsi="Arial" w:cs="Arial"/>
          <w:sz w:val="24"/>
          <w:szCs w:val="24"/>
        </w:rPr>
        <w:t xml:space="preserve"> ) La </w:t>
      </w:r>
      <w:r w:rsidRPr="001B4AC8">
        <w:rPr>
          <w:rFonts w:ascii="Arial" w:hAnsi="Arial" w:cs="Arial"/>
          <w:sz w:val="24"/>
          <w:szCs w:val="24"/>
        </w:rPr>
        <w:t>adquisición</w:t>
      </w:r>
      <w:r w:rsidRPr="001B4AC8">
        <w:rPr>
          <w:rFonts w:ascii="Arial" w:hAnsi="Arial" w:cs="Arial"/>
          <w:sz w:val="24"/>
          <w:szCs w:val="24"/>
        </w:rPr>
        <w:t xml:space="preserve"> de las TI por </w:t>
      </w:r>
      <w:r w:rsidRPr="001B4AC8">
        <w:rPr>
          <w:rFonts w:ascii="Arial" w:hAnsi="Arial" w:cs="Arial"/>
          <w:sz w:val="24"/>
          <w:szCs w:val="24"/>
        </w:rPr>
        <w:t>análisis</w:t>
      </w:r>
      <w:r w:rsidRPr="001B4AC8">
        <w:rPr>
          <w:rFonts w:ascii="Arial" w:hAnsi="Arial" w:cs="Arial"/>
          <w:sz w:val="24"/>
          <w:szCs w:val="24"/>
        </w:rPr>
        <w:t xml:space="preserve"> y validaciones previas</w:t>
      </w:r>
    </w:p>
    <w:p w14:paraId="798FF94F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E</w:t>
      </w:r>
      <w:r w:rsidRPr="001B4AC8">
        <w:rPr>
          <w:rFonts w:ascii="Arial" w:hAnsi="Arial" w:cs="Arial"/>
          <w:sz w:val="24"/>
          <w:szCs w:val="24"/>
        </w:rPr>
        <w:t xml:space="preserve"> ) Asegurarse que las TI tienen un rendimiento satisfactorio para cubrir las necesidades del negocio </w:t>
      </w:r>
    </w:p>
    <w:p w14:paraId="235C539F" w14:textId="25D1269A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D</w:t>
      </w:r>
      <w:r w:rsidRPr="001B4AC8">
        <w:rPr>
          <w:rFonts w:ascii="Arial" w:hAnsi="Arial" w:cs="Arial"/>
          <w:sz w:val="24"/>
          <w:szCs w:val="24"/>
        </w:rPr>
        <w:t xml:space="preserve"> ) Asegurar que la </w:t>
      </w:r>
      <w:r w:rsidRPr="001B4AC8">
        <w:rPr>
          <w:rFonts w:ascii="Arial" w:hAnsi="Arial" w:cs="Arial"/>
          <w:sz w:val="24"/>
          <w:szCs w:val="24"/>
        </w:rPr>
        <w:t>informática</w:t>
      </w:r>
      <w:r w:rsidRPr="001B4AC8">
        <w:rPr>
          <w:rFonts w:ascii="Arial" w:hAnsi="Arial" w:cs="Arial"/>
          <w:sz w:val="24"/>
          <w:szCs w:val="24"/>
        </w:rPr>
        <w:t xml:space="preserve"> cumpla con las reglas formales previamente establecidas</w:t>
      </w:r>
    </w:p>
    <w:p w14:paraId="2800C16C" w14:textId="77777777" w:rsidR="001B4AC8" w:rsidRPr="001B4AC8" w:rsidRDefault="001B4AC8" w:rsidP="001B4AC8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1B4AC8">
        <w:rPr>
          <w:rFonts w:ascii="Arial" w:hAnsi="Arial" w:cs="Arial"/>
          <w:sz w:val="24"/>
          <w:szCs w:val="24"/>
        </w:rPr>
        <w:t xml:space="preserve">( </w:t>
      </w:r>
      <w:r w:rsidRPr="001B4AC8">
        <w:rPr>
          <w:rFonts w:ascii="Arial" w:hAnsi="Arial" w:cs="Arial"/>
          <w:sz w:val="24"/>
          <w:szCs w:val="24"/>
          <w:shd w:val="clear" w:color="auto" w:fill="FFFF00"/>
        </w:rPr>
        <w:t>C</w:t>
      </w:r>
      <w:r w:rsidRPr="001B4AC8">
        <w:rPr>
          <w:rFonts w:ascii="Arial" w:hAnsi="Arial" w:cs="Arial"/>
          <w:sz w:val="24"/>
          <w:szCs w:val="24"/>
        </w:rPr>
        <w:t xml:space="preserve"> ) Asegurar que el uso de las TI respecta los factores humanos</w:t>
      </w:r>
    </w:p>
    <w:p w14:paraId="1B794E0F" w14:textId="5C058B57" w:rsidR="008407F8" w:rsidRDefault="00E675DD" w:rsidP="005B4D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064BFD" w14:textId="5F0415EA" w:rsidR="00766C39" w:rsidRDefault="00242339">
      <w:pPr>
        <w:pStyle w:val="Ttulo1"/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5" w:name="_Toc1190966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Investigación</w:t>
      </w:r>
      <w:r w:rsidR="000000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(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Principios y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recomendaciones</w:t>
      </w:r>
      <w:r w:rsidR="00A65C7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para gobierno de TI en KING III</w:t>
      </w:r>
      <w:r w:rsidR="000000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t>)</w:t>
      </w:r>
      <w:bookmarkEnd w:id="5"/>
    </w:p>
    <w:p w14:paraId="569E08E4" w14:textId="029AA1DC" w:rsidR="00766C39" w:rsidRDefault="00766C39">
      <w:pPr>
        <w:rPr>
          <w:lang w:eastAsia="es-MX"/>
        </w:rPr>
      </w:pPr>
    </w:p>
    <w:p w14:paraId="15F42AA0" w14:textId="56F810DB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Existen 5 principios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de acuerdo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a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King</w:t>
      </w:r>
      <w:r w:rsidRPr="00217746">
        <w:rPr>
          <w:rFonts w:ascii="Arial" w:hAnsi="Arial" w:cs="Arial"/>
          <w:color w:val="171923"/>
          <w:sz w:val="24"/>
          <w:szCs w:val="24"/>
        </w:rPr>
        <w:t xml:space="preserve"> III, los cuales son</w:t>
      </w:r>
    </w:p>
    <w:p w14:paraId="5313F9B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</w:p>
    <w:p w14:paraId="405FC729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I. El buen gobierno es eficaz en el liderazgo</w:t>
      </w:r>
    </w:p>
    <w:p w14:paraId="35683607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II. La sostenibilidad es un principio moral, un imperativo económico y es una importante fuente de oportunidades</w:t>
      </w:r>
    </w:p>
    <w:p w14:paraId="79ED84FA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III. La innovación, la equidad y la colaboración son aspectos clave de cualquier transición hacia la sostenibilidad</w:t>
      </w:r>
    </w:p>
    <w:p w14:paraId="2813743E" w14:textId="77777777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>IV. La transformación social y la reparación es importante y tiene que integrarse dentro de la más amplio de transición hacia la sostenibilidad</w:t>
      </w:r>
    </w:p>
    <w:p w14:paraId="0D5F2719" w14:textId="0814FF18" w:rsidR="00242339" w:rsidRPr="00217746" w:rsidRDefault="00242339" w:rsidP="00242339">
      <w:pPr>
        <w:pStyle w:val="Textoindependiente"/>
        <w:rPr>
          <w:rFonts w:ascii="Arial" w:hAnsi="Arial" w:cs="Arial"/>
          <w:color w:val="171923"/>
          <w:sz w:val="24"/>
          <w:szCs w:val="24"/>
        </w:rPr>
      </w:pPr>
      <w:r w:rsidRPr="00217746">
        <w:rPr>
          <w:rFonts w:ascii="Arial" w:hAnsi="Arial" w:cs="Arial"/>
          <w:color w:val="171923"/>
          <w:sz w:val="24"/>
          <w:szCs w:val="24"/>
        </w:rPr>
        <w:t xml:space="preserve">V. La consideración del papel </w:t>
      </w:r>
      <w:r w:rsidR="00217746" w:rsidRPr="00217746">
        <w:rPr>
          <w:rFonts w:ascii="Arial" w:hAnsi="Arial" w:cs="Arial"/>
          <w:color w:val="171923"/>
          <w:sz w:val="24"/>
          <w:szCs w:val="24"/>
        </w:rPr>
        <w:t>estratégico</w:t>
      </w:r>
    </w:p>
    <w:p w14:paraId="6E3F3374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7828CC" w14:textId="3266840A" w:rsid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King III reconoce que "las TI se han convertido en una parte integral del negocio, ya que son fundamentales para el apoyo, la viabilidad y el crecimiento de las organizaciones. Atraviesa todos los aspectos, componentes y procesos en las empresas y, por tanto, no sólo es un facilitador operativo de una empresa, sino un importante activo estratégico que se puede aprovechar para crear oportunidades y ganar ventaja competitiva". </w:t>
      </w:r>
    </w:p>
    <w:p w14:paraId="21E44575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D1E0B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5 - Principios de Gobernanza corporativa de TI (KING III) </w:t>
      </w:r>
    </w:p>
    <w:p w14:paraId="2BD2D7C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5.1 - La junta debe ser responsable de la gobernanza de las TI. </w:t>
      </w:r>
    </w:p>
    <w:p w14:paraId="481E4382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5.2 - TI debe estar alineada con los objetivos de rendimiento y de sostenibilidad de la empresa.</w:t>
      </w:r>
    </w:p>
    <w:p w14:paraId="36C2988E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 5.3 - La junta directiva debe delegar en la gestión la responsabilidad de la implantación de un marco de gobierno de TI. 21 </w:t>
      </w:r>
    </w:p>
    <w:p w14:paraId="17EC01F6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 xml:space="preserve">5.4 - El consejo debe supervisar y evaluar gastos e inversiones significativos en TI. </w:t>
      </w:r>
    </w:p>
    <w:p w14:paraId="1FB459CF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lastRenderedPageBreak/>
        <w:t xml:space="preserve">5.5 - La gestión de riesgos de TI debe formar parte integral de la gestión de riesgos corporativa. </w:t>
      </w:r>
    </w:p>
    <w:p w14:paraId="21923723" w14:textId="54140944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5.6 - El Consejo debe asegurar que los activos de información son administrados eficazmente. 5.7 - Comités de riesgo y auditoría deben asistir a la junta en el cumplimiento de sus responsabilidades de TI</w:t>
      </w:r>
    </w:p>
    <w:p w14:paraId="74854498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BC097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7746">
        <w:rPr>
          <w:rFonts w:ascii="Arial" w:hAnsi="Arial" w:cs="Arial"/>
          <w:sz w:val="24"/>
          <w:szCs w:val="24"/>
        </w:rPr>
        <w:t>Una característica importante de KING III es el considerar los riesgos significativos que TI genera en las organizaciones y establece que tanto el activo estratégico que es TI como los riesgos y las limitaciones relacionados deben ser bien gobernados y controlados para asegurar que es compatible con los objetivos estratégicos de la organización</w:t>
      </w:r>
    </w:p>
    <w:p w14:paraId="1976E76A" w14:textId="77777777" w:rsidR="00217746" w:rsidRPr="00217746" w:rsidRDefault="00217746" w:rsidP="000F4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BA60A9" w14:textId="5CF89D50" w:rsidR="00766C39" w:rsidRPr="00217746" w:rsidRDefault="00217746" w:rsidP="000F4208">
      <w:pPr>
        <w:spacing w:line="360" w:lineRule="auto"/>
        <w:jc w:val="both"/>
        <w:rPr>
          <w:rFonts w:ascii="Arial" w:hAnsi="Arial" w:cs="Arial"/>
          <w:sz w:val="28"/>
          <w:szCs w:val="28"/>
          <w:lang w:eastAsia="es-MX"/>
        </w:rPr>
      </w:pPr>
      <w:r w:rsidRPr="00217746">
        <w:rPr>
          <w:rFonts w:ascii="Arial" w:hAnsi="Arial" w:cs="Arial"/>
          <w:sz w:val="24"/>
          <w:szCs w:val="24"/>
        </w:rPr>
        <w:t>Otras entidades como la CFI o la CAF reconocen que la transparencia y confiabilidad que habilita el buen gobierno corporativo permite el acceso de las empresas a más financiamiento externo, a la captación de nuevos inversores, a la cotización internacional de acciones (de no cumplir con determinados requisitos de gobierno corporativo una empresa no puede cotizar en bolsa), a cotizar a un valor más alto las mismas, facilitando los procesos que le aseguren un posicionamiento y una proyección positivos a largo plazo</w:t>
      </w:r>
      <w:r w:rsidR="000F4208" w:rsidRPr="00217746">
        <w:rPr>
          <w:rFonts w:ascii="Arial" w:hAnsi="Arial" w:cs="Arial"/>
          <w:sz w:val="28"/>
          <w:szCs w:val="28"/>
        </w:rPr>
        <w:br w:type="page"/>
      </w:r>
    </w:p>
    <w:p w14:paraId="718157FB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6" w:name="_Toc1190966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Conclusiones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0A193DA2" w14:textId="77777777" w:rsidR="00766C39" w:rsidRDefault="00766C39">
      <w:pPr>
        <w:rPr>
          <w:lang w:eastAsia="es-MX"/>
        </w:rPr>
      </w:pPr>
    </w:p>
    <w:p w14:paraId="035C5D9D" w14:textId="4278823D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</w:rPr>
      </w:pPr>
      <w:r w:rsidRPr="00A65C75">
        <w:rPr>
          <w:rFonts w:ascii="Arial" w:hAnsi="Arial" w:cs="Arial"/>
          <w:color w:val="171923"/>
          <w:sz w:val="24"/>
          <w:szCs w:val="24"/>
        </w:rPr>
        <w:t xml:space="preserve">Dentro de esta unidad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trabajó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principalmente sobre la aquellos principios que existen dentro de las TI, esto con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intención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comprender como establecer lineamientos que nos permitan tener un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estándar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sistemas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sí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estos lineamientos que nos dicen como es que tenemos que monitorizar, evaluar y dirigir a un equipo, con el fin de satisfacer las necesidades de un negocio, con ello en mente podemos ver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qué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puntos de estos son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débiles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dentro de la empresa, y con ello aplicar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métodos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correctivos para que estos no afecten en un futuro a su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ni a otras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áreas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del mismo modo se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buscó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aplicar esto dentro de nuestra empresa y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también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aplicándola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al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tecnológico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Reynosa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en el cual pudimos ver de forma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más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clara como es que funcionaban estos lineamientos, en nuestro caso usamos el ejemplo de servidores dentro del </w:t>
      </w:r>
      <w:proofErr w:type="spellStart"/>
      <w:r w:rsidR="00242339">
        <w:rPr>
          <w:rFonts w:ascii="Arial" w:hAnsi="Arial" w:cs="Arial"/>
          <w:color w:val="171923"/>
          <w:sz w:val="24"/>
          <w:szCs w:val="24"/>
        </w:rPr>
        <w:t>T</w:t>
      </w:r>
      <w:r w:rsidRPr="00A65C75">
        <w:rPr>
          <w:rFonts w:ascii="Arial" w:hAnsi="Arial" w:cs="Arial"/>
          <w:color w:val="171923"/>
          <w:sz w:val="24"/>
          <w:szCs w:val="24"/>
        </w:rPr>
        <w:t>ec</w:t>
      </w:r>
      <w:proofErr w:type="spellEnd"/>
      <w:r w:rsidRPr="00A65C75">
        <w:rPr>
          <w:rFonts w:ascii="Arial" w:hAnsi="Arial" w:cs="Arial"/>
          <w:color w:val="171923"/>
          <w:sz w:val="24"/>
          <w:szCs w:val="24"/>
        </w:rPr>
        <w:t xml:space="preserve">, donde realizamos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de personal, formas de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evaluación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, estrategias, etc. Con ello entendemos la importancia de la </w:t>
      </w:r>
      <w:r w:rsidR="00242339" w:rsidRPr="00A65C75">
        <w:rPr>
          <w:rFonts w:ascii="Arial" w:hAnsi="Arial" w:cs="Arial"/>
          <w:color w:val="171923"/>
          <w:sz w:val="24"/>
          <w:szCs w:val="24"/>
        </w:rPr>
        <w:t>organización</w:t>
      </w:r>
      <w:r w:rsidRPr="00A65C75">
        <w:rPr>
          <w:rFonts w:ascii="Arial" w:hAnsi="Arial" w:cs="Arial"/>
          <w:color w:val="171923"/>
          <w:sz w:val="24"/>
          <w:szCs w:val="24"/>
        </w:rPr>
        <w:t xml:space="preserve"> a la hora de trabajar con diversos sistemas</w:t>
      </w:r>
    </w:p>
    <w:p w14:paraId="097FF714" w14:textId="77777777" w:rsidR="00A65C75" w:rsidRPr="00A65C75" w:rsidRDefault="00A65C75" w:rsidP="00A65C75">
      <w:pPr>
        <w:pStyle w:val="Textoindependiente"/>
        <w:spacing w:line="360" w:lineRule="auto"/>
        <w:jc w:val="both"/>
        <w:rPr>
          <w:rFonts w:ascii="Arial" w:hAnsi="Arial" w:cs="Arial"/>
          <w:color w:val="171923"/>
        </w:rPr>
      </w:pPr>
    </w:p>
    <w:p w14:paraId="055E36AA" w14:textId="328AD99B" w:rsidR="00766C39" w:rsidRPr="00A65C75" w:rsidRDefault="00000000" w:rsidP="00A65C75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A65C75">
        <w:rPr>
          <w:rFonts w:ascii="Arial" w:hAnsi="Arial" w:cs="Arial"/>
        </w:rPr>
        <w:br w:type="page"/>
      </w:r>
    </w:p>
    <w:p w14:paraId="0A63BDD3" w14:textId="77777777" w:rsidR="00766C39" w:rsidRDefault="00000000">
      <w:pPr>
        <w:pStyle w:val="Ttulo1"/>
        <w:pBdr>
          <w:bottom w:val="single" w:sz="6" w:space="1" w:color="000000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7" w:name="_Toc115100412"/>
      <w:bookmarkStart w:id="8" w:name="_Toc1190966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Fuentes de información</w:t>
      </w:r>
      <w:bookmarkEnd w:id="7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t xml:space="preserve"> </w:t>
      </w:r>
    </w:p>
    <w:p w14:paraId="2F76059F" w14:textId="77777777" w:rsidR="00766C39" w:rsidRDefault="00766C39">
      <w:pPr>
        <w:rPr>
          <w:lang w:eastAsia="es-MX"/>
        </w:rPr>
      </w:pPr>
    </w:p>
    <w:p w14:paraId="5605C325" w14:textId="204B26B4" w:rsidR="007C5EED" w:rsidRPr="0075279A" w:rsidRDefault="00000000" w:rsidP="007C5EED">
      <w:pPr>
        <w:pStyle w:val="NormalWeb"/>
        <w:spacing w:before="280" w:after="280" w:line="480" w:lineRule="auto"/>
        <w:ind w:hanging="720"/>
      </w:pPr>
      <w:r>
        <w:tab/>
      </w:r>
      <w:r>
        <w:rPr>
          <w:i/>
        </w:rPr>
        <w:t>Normas ISO sobre gestión de seguridad de la información | Seguridad Informática</w:t>
      </w:r>
      <w:r>
        <w:t>. (s. f.). http://descargas.pntic.mec.es/mentor/visitas/demoSeguridadInformatica/normas_iso_sobre_gestin_de_seguridad_de_la_informacin.html</w:t>
      </w:r>
    </w:p>
    <w:p w14:paraId="40F5BDB6" w14:textId="77777777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rPr>
          <w:i/>
          <w:iCs/>
        </w:rPr>
        <w:t>Convenio de Berna para la Protección de las Obras Literarias y Artísticas</w:t>
      </w:r>
      <w:r w:rsidRPr="0075279A">
        <w:t>. (s. f.).</w:t>
      </w:r>
    </w:p>
    <w:p w14:paraId="04818375" w14:textId="7037B711" w:rsidR="0075279A" w:rsidRDefault="0075279A" w:rsidP="0075279A">
      <w:pPr>
        <w:pStyle w:val="NormalWeb"/>
        <w:spacing w:beforeAutospacing="0" w:after="0" w:afterAutospacing="0" w:line="480" w:lineRule="auto"/>
        <w:ind w:left="720" w:hanging="720"/>
      </w:pPr>
      <w:r w:rsidRPr="0075279A">
        <w:t>https://www.wipo.int/treaties/es/ip/berne/index.html</w:t>
      </w:r>
    </w:p>
    <w:p w14:paraId="2476FC97" w14:textId="77777777" w:rsidR="007C5EED" w:rsidRPr="0075279A" w:rsidRDefault="007C5EED" w:rsidP="0075279A">
      <w:pPr>
        <w:pStyle w:val="NormalWeb"/>
        <w:spacing w:beforeAutospacing="0" w:after="0" w:afterAutospacing="0" w:line="480" w:lineRule="auto"/>
        <w:ind w:left="720" w:hanging="720"/>
      </w:pPr>
    </w:p>
    <w:p w14:paraId="7FCCD5EC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>Ley Federal del Derecho Autor</w:t>
      </w:r>
      <w:r w:rsidRPr="007C5EED">
        <w:t>. (s. f.).</w:t>
      </w:r>
    </w:p>
    <w:p w14:paraId="084353C2" w14:textId="665902C9" w:rsidR="007C5EED" w:rsidRPr="007C5EED" w:rsidRDefault="007C5EED" w:rsidP="007C5EED">
      <w:pPr>
        <w:pStyle w:val="NormalWeb"/>
        <w:spacing w:beforeAutospacing="0" w:after="0" w:afterAutospacing="0" w:line="480" w:lineRule="auto"/>
      </w:pPr>
      <w:r w:rsidRPr="007C5EED">
        <w:t>https://www.diputados.gob.mx/LeyesBiblio/pdf/122_010720.pdf</w:t>
      </w:r>
    </w:p>
    <w:p w14:paraId="31DA627A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A1C5190" w14:textId="77777777" w:rsid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rPr>
          <w:i/>
          <w:iCs/>
        </w:rPr>
        <w:t xml:space="preserve">ISO 27000 y el conjunto de </w:t>
      </w:r>
      <w:proofErr w:type="spellStart"/>
      <w:r w:rsidRPr="007C5EED">
        <w:rPr>
          <w:i/>
          <w:iCs/>
        </w:rPr>
        <w:t>estÃ¡ndares</w:t>
      </w:r>
      <w:proofErr w:type="spellEnd"/>
      <w:r w:rsidRPr="007C5EED">
        <w:rPr>
          <w:i/>
          <w:iCs/>
        </w:rPr>
        <w:t xml:space="preserve"> de Seguridad de la InformaciÃ</w:t>
      </w:r>
      <w:r w:rsidRPr="007C5EED">
        <w:rPr>
          <w:i/>
          <w:iCs/>
          <w:vertAlign w:val="superscript"/>
        </w:rPr>
        <w:t>3</w:t>
      </w:r>
      <w:r w:rsidRPr="007C5EED">
        <w:rPr>
          <w:i/>
          <w:iCs/>
        </w:rPr>
        <w:t>n</w:t>
      </w:r>
      <w:r w:rsidRPr="007C5EED">
        <w:t>. (s. f.).</w:t>
      </w:r>
    </w:p>
    <w:p w14:paraId="224DE5F5" w14:textId="251BCB0B" w:rsidR="007C5EED" w:rsidRPr="007C5EED" w:rsidRDefault="00000000" w:rsidP="007C5EED">
      <w:pPr>
        <w:pStyle w:val="NormalWeb"/>
        <w:spacing w:beforeAutospacing="0" w:after="0" w:afterAutospacing="0" w:line="480" w:lineRule="auto"/>
        <w:ind w:left="720" w:hanging="720"/>
      </w:pPr>
      <w:hyperlink r:id="rId10" w:history="1">
        <w:r w:rsidR="007C5EED" w:rsidRPr="007C5EED">
          <w:rPr>
            <w:rStyle w:val="Hipervnculo"/>
            <w:color w:val="auto"/>
            <w:u w:val="none"/>
          </w:rPr>
          <w:t>https://www.intedya.com/internacional/757/noticia-iso-27000-y-el-conjuntode-estandares</w:t>
        </w:r>
      </w:hyperlink>
    </w:p>
    <w:p w14:paraId="0E4E43C5" w14:textId="63E3FF10" w:rsidR="007C5EED" w:rsidRPr="007C5EED" w:rsidRDefault="007C5EED" w:rsidP="007C5EED">
      <w:pPr>
        <w:pStyle w:val="NormalWeb"/>
        <w:spacing w:beforeAutospacing="0" w:after="0" w:afterAutospacing="0" w:line="480" w:lineRule="auto"/>
        <w:ind w:left="720" w:hanging="720"/>
      </w:pPr>
      <w:r w:rsidRPr="007C5EED">
        <w:t>de-seguridad-de-la-informacion.html</w:t>
      </w:r>
    </w:p>
    <w:p w14:paraId="4C7652B7" w14:textId="77777777" w:rsidR="007C5EED" w:rsidRPr="007C5EED" w:rsidRDefault="007C5EED" w:rsidP="007C5EED">
      <w:pPr>
        <w:pStyle w:val="NormalWeb"/>
        <w:spacing w:beforeAutospacing="0" w:after="0" w:afterAutospacing="0" w:line="480" w:lineRule="auto"/>
      </w:pPr>
    </w:p>
    <w:p w14:paraId="605BA48D" w14:textId="6B8A86F9" w:rsidR="0075279A" w:rsidRDefault="0075279A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p w14:paraId="04FEFF7B" w14:textId="77777777" w:rsidR="00766C39" w:rsidRDefault="00766C39">
      <w:pPr>
        <w:pStyle w:val="NormalWeb"/>
        <w:spacing w:before="280" w:after="280" w:line="480" w:lineRule="auto"/>
        <w:ind w:hanging="720"/>
        <w:rPr>
          <w:rFonts w:ascii="Arial" w:hAnsi="Arial" w:cs="Arial"/>
        </w:rPr>
      </w:pPr>
    </w:p>
    <w:sectPr w:rsidR="00766C39">
      <w:footerReference w:type="default" r:id="rId11"/>
      <w:pgSz w:w="12240" w:h="15840"/>
      <w:pgMar w:top="1417" w:right="1701" w:bottom="1417" w:left="1701" w:header="0" w:footer="70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46D2" w14:textId="77777777" w:rsidR="00DD7B51" w:rsidRDefault="00DD7B51">
      <w:pPr>
        <w:spacing w:after="0" w:line="240" w:lineRule="auto"/>
      </w:pPr>
      <w:r>
        <w:separator/>
      </w:r>
    </w:p>
  </w:endnote>
  <w:endnote w:type="continuationSeparator" w:id="0">
    <w:p w14:paraId="37139540" w14:textId="77777777" w:rsidR="00DD7B51" w:rsidRDefault="00DD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8086112"/>
      <w:docPartObj>
        <w:docPartGallery w:val="Page Numbers (Bottom of Page)"/>
        <w:docPartUnique/>
      </w:docPartObj>
    </w:sdtPr>
    <w:sdtContent>
      <w:p w14:paraId="062B6D55" w14:textId="77777777" w:rsidR="00766C39" w:rsidRDefault="00000000">
        <w:pPr>
          <w:pStyle w:val="Piedepgin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4B0DFA5E" w14:textId="77777777" w:rsidR="00766C39" w:rsidRDefault="00766C3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1E35" w14:textId="77777777" w:rsidR="00DD7B51" w:rsidRDefault="00DD7B51">
      <w:pPr>
        <w:spacing w:after="0" w:line="240" w:lineRule="auto"/>
      </w:pPr>
      <w:r>
        <w:separator/>
      </w:r>
    </w:p>
  </w:footnote>
  <w:footnote w:type="continuationSeparator" w:id="0">
    <w:p w14:paraId="5A0B7B28" w14:textId="77777777" w:rsidR="00DD7B51" w:rsidRDefault="00DD7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66"/>
    <w:multiLevelType w:val="hybridMultilevel"/>
    <w:tmpl w:val="623AD7EE"/>
    <w:lvl w:ilvl="0" w:tplc="0928ADF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44034F2"/>
    <w:multiLevelType w:val="multilevel"/>
    <w:tmpl w:val="E48E9CB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B693575"/>
    <w:multiLevelType w:val="multilevel"/>
    <w:tmpl w:val="09AC63DC"/>
    <w:lvl w:ilvl="0">
      <w:start w:val="1"/>
      <w:numFmt w:val="bullet"/>
      <w:suff w:val="nothing"/>
      <w:lvlText w:val=""/>
      <w:lvlJc w:val="left"/>
      <w:pPr>
        <w:tabs>
          <w:tab w:val="num" w:pos="240"/>
        </w:tabs>
        <w:ind w:left="24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E1A7B71"/>
    <w:multiLevelType w:val="multilevel"/>
    <w:tmpl w:val="DF3CA0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28E45BB"/>
    <w:multiLevelType w:val="multilevel"/>
    <w:tmpl w:val="A110915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DFE1952"/>
    <w:multiLevelType w:val="hybridMultilevel"/>
    <w:tmpl w:val="07DCC532"/>
    <w:lvl w:ilvl="0" w:tplc="B5D2E0D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795003D"/>
    <w:multiLevelType w:val="hybridMultilevel"/>
    <w:tmpl w:val="6D1C5B1C"/>
    <w:lvl w:ilvl="0" w:tplc="3D0454C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76897814">
    <w:abstractNumId w:val="1"/>
  </w:num>
  <w:num w:numId="2" w16cid:durableId="220873972">
    <w:abstractNumId w:val="2"/>
  </w:num>
  <w:num w:numId="3" w16cid:durableId="1474443511">
    <w:abstractNumId w:val="3"/>
  </w:num>
  <w:num w:numId="4" w16cid:durableId="1449399112">
    <w:abstractNumId w:val="5"/>
  </w:num>
  <w:num w:numId="5" w16cid:durableId="1887066421">
    <w:abstractNumId w:val="0"/>
  </w:num>
  <w:num w:numId="6" w16cid:durableId="965893627">
    <w:abstractNumId w:val="6"/>
  </w:num>
  <w:num w:numId="7" w16cid:durableId="1221281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9"/>
    <w:rsid w:val="000218F4"/>
    <w:rsid w:val="000373D7"/>
    <w:rsid w:val="000F4208"/>
    <w:rsid w:val="001650EE"/>
    <w:rsid w:val="00185B2B"/>
    <w:rsid w:val="001B4AC8"/>
    <w:rsid w:val="00217746"/>
    <w:rsid w:val="00242339"/>
    <w:rsid w:val="00323E42"/>
    <w:rsid w:val="004871CC"/>
    <w:rsid w:val="004A3DA3"/>
    <w:rsid w:val="005B4DB6"/>
    <w:rsid w:val="0075279A"/>
    <w:rsid w:val="00766C39"/>
    <w:rsid w:val="007922AE"/>
    <w:rsid w:val="007B703A"/>
    <w:rsid w:val="007C5EED"/>
    <w:rsid w:val="007D18CF"/>
    <w:rsid w:val="008407F8"/>
    <w:rsid w:val="008C102F"/>
    <w:rsid w:val="008F264B"/>
    <w:rsid w:val="009F6A2F"/>
    <w:rsid w:val="00A65C75"/>
    <w:rsid w:val="00A96DC9"/>
    <w:rsid w:val="00C42991"/>
    <w:rsid w:val="00CA1C2C"/>
    <w:rsid w:val="00DD7B51"/>
    <w:rsid w:val="00E675DD"/>
    <w:rsid w:val="00F27D51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795"/>
  <w15:docId w15:val="{5049B40C-7D62-471B-AC30-122D443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2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D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D5123"/>
    <w:rPr>
      <w:rFonts w:eastAsiaTheme="minorEastAsia"/>
      <w:lang w:eastAsia="es-MX"/>
    </w:rPr>
  </w:style>
  <w:style w:type="character" w:styleId="Textoennegrita">
    <w:name w:val="Strong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82CD5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DB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DBE"/>
  </w:style>
  <w:style w:type="character" w:customStyle="1" w:styleId="Ttulo1Car">
    <w:name w:val="Título 1 Car"/>
    <w:basedOn w:val="Fuentedeprrafopredeter"/>
    <w:link w:val="Ttulo1"/>
    <w:uiPriority w:val="9"/>
    <w:qFormat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grdq">
    <w:name w:val="jsgrdq"/>
    <w:basedOn w:val="Fuentedeprrafopredeter"/>
    <w:qFormat/>
    <w:rsid w:val="00533DFC"/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212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h">
    <w:name w:val="ph"/>
    <w:basedOn w:val="Fuentedeprrafopredeter"/>
    <w:qFormat/>
    <w:rsid w:val="00212DE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inespaciado">
    <w:name w:val="No Spacing"/>
    <w:link w:val="SinespaciadoCar"/>
    <w:uiPriority w:val="1"/>
    <w:qFormat/>
    <w:rsid w:val="00AD5123"/>
    <w:rPr>
      <w:rFonts w:ascii="Calibri" w:eastAsiaTheme="minorEastAsia" w:hAnsi="Calibri"/>
      <w:lang w:eastAsia="es-MX"/>
    </w:rPr>
  </w:style>
  <w:style w:type="paragraph" w:styleId="NormalWeb">
    <w:name w:val="Normal (Web)"/>
    <w:basedOn w:val="Normal"/>
    <w:uiPriority w:val="99"/>
    <w:unhideWhenUsed/>
    <w:qFormat/>
    <w:rsid w:val="000173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rtejustify">
    <w:name w:val="rtejustify"/>
    <w:basedOn w:val="Normal"/>
    <w:qFormat/>
    <w:rsid w:val="004550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B081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B08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81A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B081A"/>
    <w:pPr>
      <w:spacing w:after="100"/>
      <w:ind w:left="440"/>
    </w:pPr>
    <w:rPr>
      <w:rFonts w:eastAsiaTheme="minorEastAsia" w:cs="Times New Roman"/>
      <w:lang w:eastAsia="es-MX"/>
    </w:rPr>
  </w:style>
  <w:style w:type="paragraph" w:customStyle="1" w:styleId="li">
    <w:name w:val="li"/>
    <w:basedOn w:val="Normal"/>
    <w:qFormat/>
    <w:rsid w:val="00212DE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1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312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edya.com/internacional/757/noticia-iso-27000-y-el-conjuntode-estanda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1407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dc:description/>
  <cp:lastModifiedBy>The Skrapy</cp:lastModifiedBy>
  <cp:revision>3</cp:revision>
  <cp:lastPrinted>2022-10-06T22:59:00Z</cp:lastPrinted>
  <dcterms:created xsi:type="dcterms:W3CDTF">2022-11-30T02:08:00Z</dcterms:created>
  <dcterms:modified xsi:type="dcterms:W3CDTF">2022-11-30T03:49:00Z</dcterms:modified>
  <dc:language>en-US</dc:language>
</cp:coreProperties>
</file>