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Website Change Requests — Actionable Punch List for Jack</w:t>
      </w:r>
    </w:p>
    <w:p>
      <w:pPr>
        <w:pStyle w:val="Subtitle"/>
      </w:pPr>
      <w:r>
        <w:t xml:space="preserve">Target: staging.join-ecotopia.org (Staging Audit &amp; Pre-Launch Review)</w:t>
      </w:r>
    </w:p>
    <w:p>
      <w:pPr>
        <w:pStyle w:val="Author"/>
      </w:pPr>
      <w:r>
        <w:t xml:space="preserve">Chris (Storytelling, Narrative &amp; Design Lead)</w:t>
      </w:r>
    </w:p>
    <w:p>
      <w:pPr>
        <w:pStyle w:val="Date"/>
      </w:pPr>
      <w:r>
        <w:t xml:space="preserve">2026-10-09</w:t>
      </w:r>
    </w:p>
    <w:p>
      <w:pPr>
        <w:pStyle w:val="FirstParagraph"/>
      </w:pPr>
      <w:r>
        <w:t xml:space="preserve">Summary for Jack:</w:t>
      </w:r>
      <w:r>
        <w:t xml:space="preserve"> </w:t>
      </w:r>
      <w:r>
        <w:t xml:space="preserve">Distilled punch list of</w:t>
      </w:r>
      <w:r>
        <w:t xml:space="preserve"> </w:t>
      </w:r>
      <w:r>
        <w:t xml:space="preserve">10 actionable changes</w:t>
      </w:r>
      <w:r>
        <w:t xml:space="preserve"> </w:t>
      </w:r>
      <w:r>
        <w:t xml:space="preserve">for</w:t>
      </w:r>
      <w:r>
        <w:t xml:space="preserve"> </w:t>
      </w:r>
      <w:r>
        <w:t xml:space="preserve">https://staging.join-ecotopia.org/</w:t>
      </w:r>
      <w:r>
        <w:t xml:space="preserve">. All lore essays and physical venue details are stripped out. Only direct website fixes, form flow updates, and drop-in copy are listed below.</w:t>
      </w:r>
    </w:p>
    <w:bookmarkStart w:id="12" w:name="X33beff173c390df47c8c9d7c0980106efa1d310"/>
    <w:p>
      <w:pPr>
        <w:pStyle w:val="Heading1"/>
      </w:pPr>
      <w:r>
        <w:t xml:space="preserve">1. Critical Launch Blockers (Legal, Safety &amp; Door Access)</w:t>
      </w:r>
    </w:p>
    <w:bookmarkStart w:id="9" w:name="X9ce7e4bfc5292ae700226b904ad21cfd795089e"/>
    <w:p>
      <w:pPr>
        <w:pStyle w:val="Heading3"/>
      </w:pPr>
      <w:r>
        <w:t xml:space="preserve">1.1</w:t>
      </w:r>
      <w:r>
        <w:t xml:space="preserve"> </w:t>
      </w:r>
      <w:r>
        <w:rPr>
          <w:rStyle w:val="VerbatimChar"/>
        </w:rPr>
        <w:t xml:space="preserve">/terms</w:t>
      </w:r>
      <w:r>
        <w:t xml:space="preserve"> </w:t>
      </w:r>
      <w:r>
        <w:t xml:space="preserve">— Final Contribution &amp; Safety Copy (Drop-In)</w:t>
      </w:r>
    </w:p>
    <w:p>
      <w:pPr>
        <w:pStyle w:val="FirstParagraph"/>
      </w:pPr>
      <w:r>
        <w:t xml:space="preserve">Replace the draft placeholder</w:t>
      </w:r>
      <w:r>
        <w:t xml:space="preserve"> </w:t>
      </w:r>
      <w:r>
        <w:rPr>
          <w:rStyle w:val="VerbatimChar"/>
        </w:rPr>
        <w:t xml:space="preserve">[PLACEHOLDER: amount and how to pay in advance.]</w:t>
      </w:r>
      <w:r>
        <w:t xml:space="preserve"> </w:t>
      </w:r>
      <w:r>
        <w:t xml:space="preserve">with:</w:t>
      </w:r>
    </w:p>
    <w:p>
      <w:pPr>
        <w:pStyle w:val="SourceCode"/>
      </w:pPr>
      <w:r>
        <w:rPr>
          <w:rStyle w:val="FunctionTok"/>
        </w:rPr>
        <w:t xml:space="preserve">### Financial Contribution &amp; Entry Voucher</w:t>
      </w:r>
      <w:r>
        <w:br/>
      </w:r>
      <w:r>
        <w:rPr>
          <w:rStyle w:val="NormalTok"/>
        </w:rPr>
        <w:t xml:space="preserve">Participation in Ecotopia requires an advance contribution of €15.00 (sliding scale €10.00–€25.00 based on means) offsetting venue hiring at De Warren, food, beverage reserves, and recycled passports. Contributions are processed via the advance payment link or in cash/pin at the garage intake checkpoint. Subsidized grants: citizens@join-ecotopia.org.</w:t>
      </w:r>
      <w:r>
        <w:br/>
      </w:r>
      <w:r>
        <w:br/>
      </w:r>
      <w:r>
        <w:rPr>
          <w:rStyle w:val="FunctionTok"/>
        </w:rPr>
        <w:t xml:space="preserve">### House Rules, Safety &amp; Game Step-Out Mechanics</w:t>
      </w:r>
      <w:r>
        <w:br/>
      </w:r>
      <w:r>
        <w:rPr>
          <w:rStyle w:val="SpecialStringTok"/>
        </w:rPr>
        <w:t xml:space="preserve">1. </w:t>
      </w:r>
      <w:r>
        <w:rPr>
          <w:rStyle w:val="NormalTok"/>
        </w:rPr>
        <w:t xml:space="preserve">Age Requirement: Strictly 18+. Age verification takes place at the garage threshold.</w:t>
      </w:r>
      <w:r>
        <w:br/>
      </w:r>
      <w:r>
        <w:rPr>
          <w:rStyle w:val="SpecialStringTok"/>
        </w:rPr>
        <w:t xml:space="preserve">2. </w:t>
      </w:r>
      <w:r>
        <w:rPr>
          <w:rStyle w:val="NormalTok"/>
        </w:rPr>
        <w:t xml:space="preserve">Safe-Word ("OZONE"): Speaking "OZONE" immediately breaks character for all actors and attendees. Nearby wardens must step back, offer space, and assist you.</w:t>
      </w:r>
      <w:r>
        <w:br/>
      </w:r>
      <w:r>
        <w:rPr>
          <w:rStyle w:val="SpecialStringTok"/>
        </w:rPr>
        <w:t xml:space="preserve">3. </w:t>
      </w:r>
      <w:r>
        <w:rPr>
          <w:rStyle w:val="NormalTok"/>
        </w:rPr>
        <w:t xml:space="preserve">Observer Wristbands: Guests wishing to socialize and dance without roleplay, interrogation, or chores may request an Observer Wristband at the door. Wardens are forbidden from conscripting observers into chores.</w:t>
      </w:r>
      <w:r>
        <w:br/>
      </w:r>
      <w:r>
        <w:rPr>
          <w:rStyle w:val="SpecialStringTok"/>
        </w:rPr>
        <w:t xml:space="preserve">4. </w:t>
      </w:r>
      <w:r>
        <w:rPr>
          <w:rStyle w:val="NormalTok"/>
        </w:rPr>
        <w:t xml:space="preserve">The Sanctuary: The second-floor library is a permanent non-theatrical Safe Zone (no roleplay or propaganda).</w:t>
      </w:r>
    </w:p>
    <w:bookmarkEnd w:id="9"/>
    <w:bookmarkStart w:id="10" w:name="X953c342a150e4735c171e4f3f118d26ed293488"/>
    <w:p>
      <w:pPr>
        <w:pStyle w:val="Heading3"/>
      </w:pPr>
      <w:r>
        <w:t xml:space="preserve">1.2</w:t>
      </w:r>
      <w:r>
        <w:t xml:space="preserve"> </w:t>
      </w:r>
      <w:r>
        <w:rPr>
          <w:rStyle w:val="VerbatimChar"/>
        </w:rPr>
        <w:t xml:space="preserve">/privacy</w:t>
      </w:r>
      <w:r>
        <w:t xml:space="preserve"> </w:t>
      </w:r>
      <w:r>
        <w:t xml:space="preserve">— GDPR Data Controller &amp; Purge Schedule (Drop-In)</w:t>
      </w:r>
    </w:p>
    <w:p>
      <w:pPr>
        <w:pStyle w:val="FirstParagraph"/>
      </w:pPr>
      <w:r>
        <w:t xml:space="preserve">Replace existing draft brackets with:</w:t>
      </w:r>
    </w:p>
    <w:p>
      <w:pPr>
        <w:pStyle w:val="SourceCode"/>
      </w:pPr>
      <w:r>
        <w:rPr>
          <w:rStyle w:val="FunctionTok"/>
        </w:rPr>
        <w:t xml:space="preserve">### 1. Data Controller &amp; Organizing Entity</w:t>
      </w:r>
      <w:r>
        <w:br/>
      </w:r>
      <w:r>
        <w:rPr>
          <w:rStyle w:val="NormalTok"/>
        </w:rPr>
        <w:t xml:space="preserve">Operated by the Ecotopia Organizing Committee in partnership with De Warren Living Cooperative (Archipel 1, 1095 KJ Amsterdam). Data Steward: citizens@join-ecotopia.org.</w:t>
      </w:r>
      <w:r>
        <w:br/>
      </w:r>
      <w:r>
        <w:br/>
      </w:r>
      <w:r>
        <w:rPr>
          <w:rStyle w:val="FunctionTok"/>
        </w:rPr>
        <w:t xml:space="preserve">### 2. Legal Basis (GDPR Art. 6)</w:t>
      </w:r>
      <w:r>
        <w:br/>
      </w:r>
      <w:r>
        <w:rPr>
          <w:rStyle w:val="NormalTok"/>
        </w:rPr>
        <w:t xml:space="preserve">Processed under Contractual Necessity (Art. 6(1)(b)) to administer event entry, assign roles, and print passports.</w:t>
      </w:r>
      <w:r>
        <w:br/>
      </w:r>
      <w:r>
        <w:br/>
      </w:r>
      <w:r>
        <w:rPr>
          <w:rStyle w:val="FunctionTok"/>
        </w:rPr>
        <w:t xml:space="preserve">### 3. Absolute Data Purge Date</w:t>
      </w:r>
      <w:r>
        <w:br/>
      </w:r>
      <w:r>
        <w:rPr>
          <w:rStyle w:val="NormalTok"/>
        </w:rPr>
        <w:t xml:space="preserve">All personal data and quiz responses will be permanently deleted from databases and backups on 19 December 2026.</w:t>
      </w:r>
    </w:p>
    <w:bookmarkEnd w:id="10"/>
    <w:bookmarkStart w:id="11" w:name="X7f6113a7796689dd7683ba8105fe4f8d16e2eec"/>
    <w:p>
      <w:pPr>
        <w:pStyle w:val="Heading3"/>
      </w:pPr>
      <w:r>
        <w:t xml:space="preserve">1.3 Door Check-In Risk — Vercel WAF &amp; Shared NAT IP Jam</w:t>
      </w:r>
    </w:p>
    <w:p>
      <w:pPr>
        <w:pStyle w:val="Compact"/>
        <w:numPr>
          <w:ilvl w:val="0"/>
          <w:numId w:val="1001"/>
        </w:numPr>
      </w:pPr>
      <w:r>
        <w:rPr>
          <w:b/>
          <w:bCs/>
        </w:rPr>
        <w:t xml:space="preserve">The Vulnerability:</w:t>
      </w:r>
      <w:r>
        <w:t xml:space="preserve"> </w:t>
      </w:r>
      <w:r>
        <w:t xml:space="preserve">Automated load testing showed 40 rapid requests trigger Vercel’s</w:t>
      </w:r>
      <w:r>
        <w:t xml:space="preserve"> </w:t>
      </w:r>
      <w:r>
        <w:rPr>
          <w:rStyle w:val="VerbatimChar"/>
        </w:rPr>
        <w:t xml:space="preserve">HTTP 403 Challenge</w:t>
      </w:r>
      <w:r>
        <w:t xml:space="preserve">.</w:t>
      </w:r>
    </w:p>
    <w:p>
      <w:pPr>
        <w:pStyle w:val="Compact"/>
        <w:numPr>
          <w:ilvl w:val="0"/>
          <w:numId w:val="1001"/>
        </w:numPr>
      </w:pPr>
      <w:r>
        <w:rPr>
          <w:b/>
          <w:bCs/>
        </w:rPr>
        <w:t xml:space="preserve">The Risk:</w:t>
      </w:r>
      <w:r>
        <w:t xml:space="preserve"> </w:t>
      </w:r>
      <w:r>
        <w:t xml:space="preserve">When 120 guests connect to De Warren’s local Wi-Fi at the door to load their digital ticket/passport, they will share a single NAT IP. Vercel will interpret this concurrency surge as a DDoS attack and block entrance check-in.</w:t>
      </w:r>
    </w:p>
    <w:p>
      <w:pPr>
        <w:pStyle w:val="Compact"/>
        <w:numPr>
          <w:ilvl w:val="0"/>
          <w:numId w:val="1001"/>
        </w:numPr>
      </w:pPr>
      <w:r>
        <w:rPr>
          <w:b/>
          <w:bCs/>
        </w:rPr>
        <w:t xml:space="preserve">Action for Jack &amp; DevOps:</w:t>
      </w:r>
      <w:r>
        <w:t xml:space="preserve"> </w:t>
      </w:r>
      <w:r>
        <w:t xml:space="preserve">Whitelist De Warren’s external IP in Vercel/Cloudflare and disable aggressive bot challenge rules on</w:t>
      </w:r>
      <w:r>
        <w:t xml:space="preserve"> </w:t>
      </w:r>
      <w:r>
        <w:rPr>
          <w:rStyle w:val="VerbatimChar"/>
        </w:rPr>
        <w:t xml:space="preserve">/citizen</w:t>
      </w:r>
      <w:r>
        <w:t xml:space="preserve">,</w:t>
      </w:r>
      <w:r>
        <w:t xml:space="preserve"> </w:t>
      </w:r>
      <w:r>
        <w:rPr>
          <w:rStyle w:val="VerbatimChar"/>
        </w:rPr>
        <w:t xml:space="preserve">/sign-in</w:t>
      </w:r>
      <w:r>
        <w:t xml:space="preserve">, and</w:t>
      </w:r>
      <w:r>
        <w:t xml:space="preserve"> </w:t>
      </w:r>
      <w:r>
        <w:rPr>
          <w:rStyle w:val="VerbatimChar"/>
        </w:rPr>
        <w:t xml:space="preserve">/apply</w:t>
      </w:r>
      <w:r>
        <w:t xml:space="preserve"> </w:t>
      </w:r>
      <w:r>
        <w:t xml:space="preserve">for the night of Nov 28. Have 120 pre-printed paper passports as an offline fallback.</w:t>
      </w:r>
    </w:p>
    <w:bookmarkEnd w:id="11"/>
    <w:bookmarkEnd w:id="12"/>
    <w:bookmarkStart w:id="17" w:name="intake-application-flow-apply"/>
    <w:p>
      <w:pPr>
        <w:pStyle w:val="Heading1"/>
      </w:pPr>
      <w:r>
        <w:t xml:space="preserve">2. Intake &amp; Application Flow (</w:t>
      </w:r>
      <w:r>
        <w:rPr>
          <w:rStyle w:val="VerbatimChar"/>
        </w:rPr>
        <w:t xml:space="preserve">/apply</w:t>
      </w:r>
      <w:r>
        <w:t xml:space="preserve">)</w:t>
      </w:r>
    </w:p>
    <w:bookmarkStart w:id="13" w:name="preamble-above-login-button"/>
    <w:p>
      <w:pPr>
        <w:pStyle w:val="Heading3"/>
      </w:pPr>
      <w:r>
        <w:t xml:space="preserve">2.1 Preamble Above Login Button</w:t>
      </w:r>
    </w:p>
    <w:p>
      <w:pPr>
        <w:pStyle w:val="FirstParagraph"/>
      </w:pPr>
      <w:r>
        <w:t xml:space="preserve">Prevent drop-off by placing this teaser text directly above the</w:t>
      </w:r>
      <w:r>
        <w:t xml:space="preserve"> </w:t>
      </w:r>
      <w:r>
        <w:rPr>
          <w:rStyle w:val="VerbatimChar"/>
        </w:rPr>
        <w:t xml:space="preserve">"Sign in with Tonomy"</w:t>
      </w:r>
      <w:r>
        <w:t xml:space="preserve"> </w:t>
      </w:r>
      <w:r>
        <w:t xml:space="preserve">button on</w:t>
      </w:r>
      <w:r>
        <w:t xml:space="preserve"> </w:t>
      </w:r>
      <w:r>
        <w:rPr>
          <w:rStyle w:val="VerbatimChar"/>
        </w:rPr>
        <w:t xml:space="preserve">/apply</w:t>
      </w:r>
      <w:r>
        <w:t xml:space="preserve">:</w:t>
      </w:r>
      <w:r>
        <w:t xml:space="preserve"> </w:t>
      </w:r>
      <w:r>
        <w:t xml:space="preserve">&gt;</w:t>
      </w:r>
      <w:r>
        <w:t xml:space="preserve"> </w:t>
      </w:r>
      <w:r>
        <w:rPr>
          <w:b/>
          <w:bCs/>
        </w:rPr>
        <w:t xml:space="preserve">THE THRESHOLD OF ADMISSION:</w:t>
      </w:r>
      <w:r>
        <w:t xml:space="preserve"> </w:t>
      </w:r>
      <w:r>
        <w:rPr>
          <w:i/>
          <w:iCs/>
        </w:rPr>
        <w:t xml:space="preserve">“Before you may confess, you must exist in the ledger. You were born into debt. The water that washed your infant skin, the calories that sustained your youth, the oxygen drawn into your lungs: every milligram is owed to the biosphere. Authenticate your identity to begin the Five Confessions and calculate your starting balance.”</w:t>
      </w:r>
    </w:p>
    <w:bookmarkEnd w:id="13"/>
    <w:bookmarkStart w:id="14" w:name="Xdeacc2e3a872b96454700d2adfb1a106a880a20"/>
    <w:p>
      <w:pPr>
        <w:pStyle w:val="Heading3"/>
      </w:pPr>
      <w:r>
        <w:t xml:space="preserve">2.2 The 5 Carbon Confession Questions (</w:t>
      </w:r>
      <w:r>
        <w:rPr>
          <w:rStyle w:val="VerbatimChar"/>
        </w:rPr>
        <w:t xml:space="preserve">CARBON_QUESTIONS</w:t>
      </w:r>
      <w:r>
        <w:t xml:space="preserve">)</w:t>
      </w:r>
    </w:p>
    <w:p>
      <w:pPr>
        <w:pStyle w:val="FirstParagraph"/>
      </w:pPr>
      <w:r>
        <w:t xml:space="preserve">Update form labels, hints, and option keys from generic carbon metrics to liturgical audits: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Updated Label &amp; Hint</w:t>
            </w:r>
          </w:p>
        </w:tc>
        <w:tc>
          <w:tcPr/>
          <w:p>
            <w:pPr>
              <w:pStyle w:val="Compact"/>
              <w:jc w:val="left"/>
            </w:pPr>
            <w:r>
              <w:t xml:space="preserve">Radio / Dropdown Options</w:t>
            </w:r>
          </w:p>
        </w:tc>
      </w:tr>
      <w:tr>
        <w:tc>
          <w:tcPr/>
          <w:p>
            <w:pPr>
              <w:pStyle w:val="Compact"/>
              <w:jc w:val="left"/>
            </w:pPr>
            <w:r>
              <w:rPr>
                <w:rStyle w:val="VerbatimChar"/>
                <w:b/>
                <w:bCs/>
              </w:rPr>
              <w:t xml:space="preserve">flights</w:t>
            </w:r>
          </w:p>
        </w:tc>
        <w:tc>
          <w:tcPr/>
          <w:p>
            <w:pPr>
              <w:pStyle w:val="Compact"/>
              <w:jc w:val="left"/>
            </w:pPr>
            <w:r>
              <w:rPr>
                <w:b/>
                <w:bCs/>
              </w:rPr>
              <w:t xml:space="preserve">Recreational Kerosene Combustion</w:t>
            </w:r>
            <w:r>
              <w:rPr>
                <w:i/>
                <w:iCs/>
              </w:rPr>
              <w:t xml:space="preserve">Return trips double your debt.</w:t>
            </w:r>
          </w:p>
        </w:tc>
        <w:tc>
          <w:tcPr/>
          <w:p>
            <w:pPr>
              <w:pStyle w:val="Compact"/>
              <w:jc w:val="left"/>
            </w:pPr>
            <w:r>
              <w:rPr>
                <w:rStyle w:val="VerbatimChar"/>
              </w:rPr>
              <w:t xml:space="preserve">f0</w:t>
            </w:r>
            <w:r>
              <w:t xml:space="preserve">: Zero (soil-bound) |</w:t>
            </w:r>
            <w:r>
              <w:t xml:space="preserve"> </w:t>
            </w:r>
            <w:r>
              <w:rPr>
                <w:rStyle w:val="VerbatimChar"/>
              </w:rPr>
              <w:t xml:space="preserve">f1</w:t>
            </w:r>
            <w:r>
              <w:t xml:space="preserve">: 1–2 |</w:t>
            </w:r>
            <w:r>
              <w:t xml:space="preserve"> </w:t>
            </w:r>
            <w:r>
              <w:rPr>
                <w:rStyle w:val="VerbatimChar"/>
              </w:rPr>
              <w:t xml:space="preserve">f2</w:t>
            </w:r>
            <w:r>
              <w:t xml:space="preserve">: 3–5 |</w:t>
            </w:r>
            <w:r>
              <w:t xml:space="preserve"> </w:t>
            </w:r>
            <w:r>
              <w:rPr>
                <w:rStyle w:val="VerbatimChar"/>
              </w:rPr>
              <w:t xml:space="preserve">f3</w:t>
            </w:r>
            <w:r>
              <w:t xml:space="preserve">: 6–10 |</w:t>
            </w:r>
            <w:r>
              <w:t xml:space="preserve"> </w:t>
            </w:r>
            <w:r>
              <w:rPr>
                <w:rStyle w:val="VerbatimChar"/>
              </w:rPr>
              <w:t xml:space="preserve">f4</w:t>
            </w:r>
            <w:r>
              <w:t xml:space="preserve">: &gt;10 (exhaust)</w:t>
            </w:r>
          </w:p>
        </w:tc>
      </w:tr>
      <w:tr>
        <w:tc>
          <w:tcPr/>
          <w:p>
            <w:pPr>
              <w:pStyle w:val="Compact"/>
              <w:jc w:val="left"/>
            </w:pPr>
            <w:r>
              <w:rPr>
                <w:rStyle w:val="VerbatimChar"/>
                <w:b/>
                <w:bCs/>
              </w:rPr>
              <w:t xml:space="preserve">car</w:t>
            </w:r>
          </w:p>
        </w:tc>
        <w:tc>
          <w:tcPr/>
          <w:p>
            <w:pPr>
              <w:pStyle w:val="Compact"/>
              <w:jc w:val="left"/>
            </w:pPr>
            <w:r>
              <w:rPr>
                <w:b/>
                <w:bCs/>
              </w:rPr>
              <w:t xml:space="preserve">Complicity with Internal Combustion</w:t>
            </w:r>
            <w:r>
              <w:rPr>
                <w:i/>
                <w:iCs/>
              </w:rPr>
              <w:t xml:space="preserve">The bitumen martyrs tore their skin. Where were you?</w:t>
            </w:r>
          </w:p>
        </w:tc>
        <w:tc>
          <w:tcPr/>
          <w:p>
            <w:pPr>
              <w:pStyle w:val="Compact"/>
              <w:jc w:val="left"/>
            </w:pPr>
            <w:r>
              <w:rPr>
                <w:rStyle w:val="VerbatimChar"/>
              </w:rPr>
              <w:t xml:space="preserve">c0</w:t>
            </w:r>
            <w:r>
              <w:t xml:space="preserve">: Unmotorized |</w:t>
            </w:r>
            <w:r>
              <w:t xml:space="preserve"> </w:t>
            </w:r>
            <w:r>
              <w:rPr>
                <w:rStyle w:val="VerbatimChar"/>
              </w:rPr>
              <w:t xml:space="preserve">c1</w:t>
            </w:r>
            <w:r>
              <w:t xml:space="preserve">: Shared/borrowed |</w:t>
            </w:r>
            <w:r>
              <w:t xml:space="preserve"> </w:t>
            </w:r>
            <w:r>
              <w:rPr>
                <w:rStyle w:val="VerbatimChar"/>
              </w:rPr>
              <w:t xml:space="preserve">c2</w:t>
            </w:r>
            <w:r>
              <w:t xml:space="preserve">: Owned one machine |</w:t>
            </w:r>
            <w:r>
              <w:t xml:space="preserve"> </w:t>
            </w:r>
            <w:r>
              <w:rPr>
                <w:rStyle w:val="VerbatimChar"/>
              </w:rPr>
              <w:t xml:space="preserve">c3</w:t>
            </w:r>
            <w:r>
              <w:t xml:space="preserve">: Owned &gt;1</w:t>
            </w:r>
          </w:p>
        </w:tc>
      </w:tr>
      <w:tr>
        <w:tc>
          <w:tcPr/>
          <w:p>
            <w:pPr>
              <w:pStyle w:val="Compact"/>
              <w:jc w:val="left"/>
            </w:pPr>
            <w:r>
              <w:rPr>
                <w:rStyle w:val="VerbatimChar"/>
                <w:b/>
                <w:bCs/>
              </w:rPr>
              <w:t xml:space="preserve">meat</w:t>
            </w:r>
          </w:p>
        </w:tc>
        <w:tc>
          <w:tcPr/>
          <w:p>
            <w:pPr>
              <w:pStyle w:val="Compact"/>
              <w:jc w:val="left"/>
            </w:pPr>
            <w:r>
              <w:rPr>
                <w:b/>
                <w:bCs/>
              </w:rPr>
              <w:t xml:space="preserve">Flesh Extraction &amp; Caloric Carnivory</w:t>
            </w:r>
            <w:r>
              <w:rPr>
                <w:i/>
                <w:iCs/>
              </w:rPr>
              <w:t xml:space="preserve">Miniplenty provides algae and pulse paste.</w:t>
            </w:r>
          </w:p>
        </w:tc>
        <w:tc>
          <w:tcPr/>
          <w:p>
            <w:pPr>
              <w:pStyle w:val="Compact"/>
              <w:jc w:val="left"/>
            </w:pPr>
            <w:r>
              <w:rPr>
                <w:rStyle w:val="VerbatimChar"/>
              </w:rPr>
              <w:t xml:space="preserve">m0</w:t>
            </w:r>
            <w:r>
              <w:t xml:space="preserve">: Botanical (zero blood) |</w:t>
            </w:r>
            <w:r>
              <w:t xml:space="preserve"> </w:t>
            </w:r>
            <w:r>
              <w:rPr>
                <w:rStyle w:val="VerbatimChar"/>
              </w:rPr>
              <w:t xml:space="preserve">m1</w:t>
            </w:r>
            <w:r>
              <w:t xml:space="preserve">: Few/month |</w:t>
            </w:r>
            <w:r>
              <w:t xml:space="preserve"> </w:t>
            </w:r>
            <w:r>
              <w:rPr>
                <w:rStyle w:val="VerbatimChar"/>
              </w:rPr>
              <w:t xml:space="preserve">m2</w:t>
            </w:r>
            <w:r>
              <w:t xml:space="preserve">: Few/week |</w:t>
            </w:r>
            <w:r>
              <w:t xml:space="preserve"> </w:t>
            </w:r>
            <w:r>
              <w:rPr>
                <w:rStyle w:val="VerbatimChar"/>
              </w:rPr>
              <w:t xml:space="preserve">m3</w:t>
            </w:r>
            <w:r>
              <w:t xml:space="preserve">: Daily |</w:t>
            </w:r>
            <w:r>
              <w:t xml:space="preserve"> </w:t>
            </w:r>
            <w:r>
              <w:rPr>
                <w:rStyle w:val="VerbatimChar"/>
              </w:rPr>
              <w:t xml:space="preserve">m4</w:t>
            </w:r>
            <w:r>
              <w:t xml:space="preserve">: Every meal</w:t>
            </w:r>
          </w:p>
        </w:tc>
      </w:tr>
      <w:tr>
        <w:tc>
          <w:tcPr/>
          <w:p>
            <w:pPr>
              <w:pStyle w:val="Compact"/>
              <w:jc w:val="left"/>
            </w:pPr>
            <w:r>
              <w:rPr>
                <w:rStyle w:val="VerbatimChar"/>
                <w:b/>
                <w:bCs/>
              </w:rPr>
              <w:t xml:space="preserve">ai</w:t>
            </w:r>
          </w:p>
        </w:tc>
        <w:tc>
          <w:tcPr/>
          <w:p>
            <w:pPr>
              <w:pStyle w:val="Compact"/>
              <w:jc w:val="left"/>
            </w:pPr>
            <w:r>
              <w:rPr>
                <w:b/>
                <w:bCs/>
              </w:rPr>
              <w:t xml:space="preserve">Inquiries to the Silicon Mind (AI Compute)</w:t>
            </w:r>
            <w:r>
              <w:rPr>
                <w:i/>
                <w:iCs/>
              </w:rPr>
              <w:t xml:space="preserve">Every prompt boiled freshwater. R.E.I.G.N. remembers.</w:t>
            </w:r>
          </w:p>
        </w:tc>
        <w:tc>
          <w:tcPr/>
          <w:p>
            <w:pPr>
              <w:pStyle w:val="Compact"/>
              <w:jc w:val="left"/>
            </w:pPr>
            <w:r>
              <w:rPr>
                <w:rStyle w:val="VerbatimChar"/>
              </w:rPr>
              <w:t xml:space="preserve">a0</w:t>
            </w:r>
            <w:r>
              <w:t xml:space="preserve">: Zero (manual thought) |</w:t>
            </w:r>
            <w:r>
              <w:t xml:space="preserve"> </w:t>
            </w:r>
            <w:r>
              <w:rPr>
                <w:rStyle w:val="VerbatimChar"/>
              </w:rPr>
              <w:t xml:space="preserve">a1</w:t>
            </w:r>
            <w:r>
              <w:t xml:space="preserve">: 1–5 (glass) |</w:t>
            </w:r>
            <w:r>
              <w:t xml:space="preserve"> </w:t>
            </w:r>
            <w:r>
              <w:rPr>
                <w:rStyle w:val="VerbatimChar"/>
              </w:rPr>
              <w:t xml:space="preserve">a2</w:t>
            </w:r>
            <w:r>
              <w:t xml:space="preserve">: 6–20 (bucket) |</w:t>
            </w:r>
            <w:r>
              <w:t xml:space="preserve"> </w:t>
            </w:r>
            <w:r>
              <w:rPr>
                <w:rStyle w:val="VerbatimChar"/>
              </w:rPr>
              <w:t xml:space="preserve">a3</w:t>
            </w:r>
            <w:r>
              <w:t xml:space="preserve">: &gt;20 (bath) |</w:t>
            </w:r>
            <w:r>
              <w:t xml:space="preserve"> </w:t>
            </w:r>
            <w:r>
              <w:rPr>
                <w:rStyle w:val="VerbatimChar"/>
              </w:rPr>
              <w:t xml:space="preserve">a4</w:t>
            </w:r>
            <w:r>
              <w:t xml:space="preserve">: AI is helping me</w:t>
            </w:r>
          </w:p>
        </w:tc>
      </w:tr>
      <w:tr>
        <w:tc>
          <w:tcPr/>
          <w:p>
            <w:pPr>
              <w:pStyle w:val="Compact"/>
              <w:jc w:val="left"/>
            </w:pPr>
            <w:r>
              <w:rPr>
                <w:rStyle w:val="VerbatimChar"/>
                <w:b/>
                <w:bCs/>
              </w:rPr>
              <w:t xml:space="preserve">devices</w:t>
            </w:r>
          </w:p>
        </w:tc>
        <w:tc>
          <w:tcPr/>
          <w:p>
            <w:pPr>
              <w:pStyle w:val="Compact"/>
              <w:jc w:val="left"/>
            </w:pPr>
            <w:r>
              <w:rPr>
                <w:b/>
                <w:bCs/>
              </w:rPr>
              <w:t xml:space="preserve">Parasitic Lithium &amp; Listening Hardware</w:t>
            </w:r>
            <w:r>
              <w:rPr>
                <w:i/>
                <w:iCs/>
              </w:rPr>
              <w:t xml:space="preserve">Every sensor transmitted compliance.</w:t>
            </w:r>
          </w:p>
        </w:tc>
        <w:tc>
          <w:tcPr/>
          <w:p>
            <w:pPr>
              <w:pStyle w:val="Compact"/>
              <w:jc w:val="left"/>
            </w:pPr>
            <w:r>
              <w:rPr>
                <w:rStyle w:val="VerbatimChar"/>
              </w:rPr>
              <w:t xml:space="preserve">d0</w:t>
            </w:r>
            <w:r>
              <w:t xml:space="preserve">: 1–2 (essentials) |</w:t>
            </w:r>
            <w:r>
              <w:t xml:space="preserve"> </w:t>
            </w:r>
            <w:r>
              <w:rPr>
                <w:rStyle w:val="VerbatimChar"/>
              </w:rPr>
              <w:t xml:space="preserve">d1</w:t>
            </w:r>
            <w:r>
              <w:t xml:space="preserve">: 3–5 |</w:t>
            </w:r>
            <w:r>
              <w:t xml:space="preserve"> </w:t>
            </w:r>
            <w:r>
              <w:rPr>
                <w:rStyle w:val="VerbatimChar"/>
              </w:rPr>
              <w:t xml:space="preserve">d2</w:t>
            </w:r>
            <w:r>
              <w:t xml:space="preserve">: 6–10 |</w:t>
            </w:r>
            <w:r>
              <w:t xml:space="preserve"> </w:t>
            </w:r>
            <w:r>
              <w:rPr>
                <w:rStyle w:val="VerbatimChar"/>
              </w:rPr>
              <w:t xml:space="preserve">d3</w:t>
            </w:r>
            <w:r>
              <w:t xml:space="preserve">: &gt;I can count (surrounded)</w:t>
            </w:r>
          </w:p>
        </w:tc>
      </w:tr>
    </w:tbl>
    <w:bookmarkEnd w:id="14"/>
    <w:bookmarkStart w:id="15" w:name="starting-debt-backend-calculation"/>
    <w:p>
      <w:pPr>
        <w:pStyle w:val="Heading3"/>
      </w:pPr>
      <w:r>
        <w:t xml:space="preserve">2.3 Starting Debt Backend Calculation</w:t>
      </w:r>
    </w:p>
    <w:p>
      <w:pPr>
        <w:pStyle w:val="FirstParagraph"/>
      </w:pPr>
      <w:r>
        <w:t xml:space="preserve">Formula on submission:</w:t>
      </w:r>
      <w:r>
        <w:t xml:space="preserve"> </w:t>
      </w:r>
      <m:oMath>
        <m:r>
          <m:rPr>
            <m:nor/>
            <m:sty m:val="p"/>
          </m:rPr>
          <m:t>Starting Balance</m:t>
        </m:r>
        <m:r>
          <m:rPr>
            <m:sty m:val="p"/>
          </m:rPr>
          <m:t>=</m:t>
        </m:r>
        <m:r>
          <m:rPr>
            <m:sty m:val="p"/>
          </m:rPr>
          <m:t>−</m:t>
        </m:r>
        <m:r>
          <m:t>100</m:t>
        </m:r>
        <m:r>
          <m:rPr>
            <m:sty m:val="p"/>
          </m:rPr>
          <m:t>−</m:t>
        </m:r>
        <m:r>
          <m:rPr>
            <m:sty m:val="p"/>
          </m:rPr>
          <m:t>∑</m:t>
        </m:r>
        <m:r>
          <m:rPr>
            <m:sty m:val="p"/>
          </m:rPr>
          <m:t>(</m:t>
        </m:r>
        <m:r>
          <m:rPr>
            <m:nor/>
            <m:sty m:val="p"/>
          </m:rPr>
          <m:t>Confession Penalties</m:t>
        </m:r>
        <m:r>
          <m:rPr>
            <m:sty m:val="p"/>
          </m:rPr>
          <m:t>)</m:t>
        </m:r>
      </m:oMath>
      <w:r>
        <w:t xml:space="preserve">. Outputs initial balance between</w:t>
      </w:r>
      <w:r>
        <w:t xml:space="preserve"> </w:t>
      </w:r>
      <m:oMath>
        <m:r>
          <m:rPr>
            <m:sty m:val="p"/>
          </m:rPr>
          <m:t>−</m:t>
        </m:r>
        <m:r>
          <m:t>150</m:t>
        </m:r>
      </m:oMath>
      <w:r>
        <w:rPr>
          <w:b/>
          <w:bCs/>
        </w:rPr>
        <w:t xml:space="preserve"> </w:t>
      </w:r>
      <w:r>
        <w:rPr>
          <w:b/>
          <w:bCs/>
        </w:rPr>
        <w:t xml:space="preserve">and</w:t>
      </w:r>
      <w:r>
        <w:rPr>
          <w:b/>
          <w:bCs/>
        </w:rPr>
        <w:t xml:space="preserve"> </w:t>
      </w:r>
      <m:oMath>
        <m:r>
          <m:rPr>
            <m:sty m:val="p"/>
          </m:rPr>
          <m:t>−</m:t>
        </m:r>
        <m:r>
          <m:t>500</m:t>
        </m:r>
      </m:oMath>
      <w:r>
        <w:rPr>
          <w:b/>
          <w:bCs/>
        </w:rPr>
        <w:t xml:space="preserve"> </w:t>
      </w:r>
      <w:r>
        <w:rPr>
          <w:b/>
          <w:bCs/>
        </w:rPr>
        <w:t xml:space="preserve">Carbon Credits</w:t>
      </w:r>
      <w:r>
        <w:t xml:space="preserve"> </w:t>
      </w:r>
      <w:r>
        <w:t xml:space="preserve">displayed on the confirmation screen.</w:t>
      </w:r>
    </w:p>
    <w:bookmarkEnd w:id="15"/>
    <w:bookmarkStart w:id="16" w:name="X882ea87941a834a44b28744acf0a3c66e50527f"/>
    <w:p>
      <w:pPr>
        <w:pStyle w:val="Heading3"/>
      </w:pPr>
      <w:r>
        <w:t xml:space="preserve">2.4 Sacramental Surrender Keys (</w:t>
      </w:r>
      <w:r>
        <w:rPr>
          <w:rStyle w:val="VerbatimChar"/>
        </w:rPr>
        <w:t xml:space="preserve">INTAKE_SURRENDER</w:t>
      </w:r>
      <w:r>
        <w:t xml:space="preserve">)</w:t>
      </w:r>
    </w:p>
    <w:p>
      <w:pPr>
        <w:pStyle w:val="FirstParagraph"/>
      </w:pPr>
      <w:r>
        <w:t xml:space="preserve">Standardize form options and pass these exact tags to the guest record for door export:</w:t>
      </w:r>
      <w:r>
        <w:br/>
      </w:r>
      <w:r>
        <w:t xml:space="preserve">•</w:t>
      </w:r>
      <w:r>
        <w:t xml:space="preserve"> </w:t>
      </w:r>
      <w:r>
        <w:rPr>
          <w:rStyle w:val="VerbatimChar"/>
        </w:rPr>
        <w:t xml:space="preserve">surname</w:t>
      </w:r>
      <w:r>
        <w:t xml:space="preserve"> </w:t>
      </w:r>
      <w:r>
        <w:t xml:space="preserve">(</w:t>
      </w:r>
      <w:r>
        <w:t xml:space="preserve">“My Surname”</w:t>
      </w:r>
      <w:r>
        <w:t xml:space="preserve">) →</w:t>
      </w:r>
      <w:r>
        <w:t xml:space="preserve"> </w:t>
      </w:r>
      <w:r>
        <w:rPr>
          <w:rStyle w:val="VerbatimChar"/>
        </w:rPr>
        <w:t xml:space="preserve">NAME_STRIKE</w:t>
      </w:r>
      <w:r>
        <w:t xml:space="preserve"> </w:t>
      </w:r>
      <w:r>
        <w:t xml:space="preserve">  |   •</w:t>
      </w:r>
      <w:r>
        <w:t xml:space="preserve"> </w:t>
      </w:r>
      <w:r>
        <w:rPr>
          <w:rStyle w:val="VerbatimChar"/>
        </w:rPr>
        <w:t xml:space="preserve">opinions</w:t>
      </w:r>
      <w:r>
        <w:t xml:space="preserve"> </w:t>
      </w:r>
      <w:r>
        <w:t xml:space="preserve">(</w:t>
      </w:r>
      <w:r>
        <w:t xml:space="preserve">“My Opinions”</w:t>
      </w:r>
      <w:r>
        <w:t xml:space="preserve">) →</w:t>
      </w:r>
      <w:r>
        <w:t xml:space="preserve"> </w:t>
      </w:r>
      <w:r>
        <w:rPr>
          <w:rStyle w:val="VerbatimChar"/>
        </w:rPr>
        <w:t xml:space="preserve">HERESY_RISK</w:t>
      </w:r>
      <w:r>
        <w:br/>
      </w:r>
      <w:r>
        <w:t xml:space="preserve">•</w:t>
      </w:r>
      <w:r>
        <w:t xml:space="preserve"> </w:t>
      </w:r>
      <w:r>
        <w:rPr>
          <w:rStyle w:val="VerbatimChar"/>
        </w:rPr>
        <w:t xml:space="preserve">weekends</w:t>
      </w:r>
      <w:r>
        <w:t xml:space="preserve"> </w:t>
      </w:r>
      <w:r>
        <w:t xml:space="preserve">(</w:t>
      </w:r>
      <w:r>
        <w:t xml:space="preserve">“My Weekends”</w:t>
      </w:r>
      <w:r>
        <w:t xml:space="preserve">) →</w:t>
      </w:r>
      <w:r>
        <w:t xml:space="preserve"> </w:t>
      </w:r>
      <w:r>
        <w:rPr>
          <w:rStyle w:val="VerbatimChar"/>
        </w:rPr>
        <w:t xml:space="preserve">LABOR_DRAFT</w:t>
      </w:r>
      <w:r>
        <w:t xml:space="preserve"> </w:t>
      </w:r>
      <w:r>
        <w:t xml:space="preserve">  |   •</w:t>
      </w:r>
      <w:r>
        <w:t xml:space="preserve"> </w:t>
      </w:r>
      <w:r>
        <w:rPr>
          <w:rStyle w:val="VerbatimChar"/>
        </w:rPr>
        <w:t xml:space="preserve">hotwater</w:t>
      </w:r>
      <w:r>
        <w:t xml:space="preserve"> </w:t>
      </w:r>
      <w:r>
        <w:t xml:space="preserve">(</w:t>
      </w:r>
      <w:r>
        <w:t xml:space="preserve">“Hot Water”</w:t>
      </w:r>
      <w:r>
        <w:t xml:space="preserve">) →</w:t>
      </w:r>
      <w:r>
        <w:t xml:space="preserve"> </w:t>
      </w:r>
      <w:r>
        <w:rPr>
          <w:rStyle w:val="VerbatimChar"/>
        </w:rPr>
        <w:t xml:space="preserve">COLD_RATION</w:t>
      </w:r>
      <w:r>
        <w:br/>
      </w:r>
      <w:r>
        <w:t xml:space="preserve">•</w:t>
      </w:r>
      <w:r>
        <w:t xml:space="preserve"> </w:t>
      </w:r>
      <w:r>
        <w:rPr>
          <w:rStyle w:val="VerbatimChar"/>
        </w:rPr>
        <w:t xml:space="preserve">bedtime</w:t>
      </w:r>
      <w:r>
        <w:t xml:space="preserve"> </w:t>
      </w:r>
      <w:r>
        <w:t xml:space="preserve">(</w:t>
      </w:r>
      <w:r>
        <w:t xml:space="preserve">“My Bedtime”</w:t>
      </w:r>
      <w:r>
        <w:t xml:space="preserve">) →</w:t>
      </w:r>
      <w:r>
        <w:t xml:space="preserve"> </w:t>
      </w:r>
      <w:r>
        <w:rPr>
          <w:rStyle w:val="VerbatimChar"/>
        </w:rPr>
        <w:t xml:space="preserve">NIGHT_SHIFT</w:t>
      </w:r>
      <w:r>
        <w:t xml:space="preserve"> </w:t>
      </w:r>
      <w:r>
        <w:t xml:space="preserve">  |   •</w:t>
      </w:r>
      <w:r>
        <w:t xml:space="preserve"> </w:t>
      </w:r>
      <w:r>
        <w:rPr>
          <w:rStyle w:val="VerbatimChar"/>
        </w:rPr>
        <w:t xml:space="preserve">secrets</w:t>
      </w:r>
      <w:r>
        <w:t xml:space="preserve"> </w:t>
      </w:r>
      <w:r>
        <w:t xml:space="preserve">(</w:t>
      </w:r>
      <w:r>
        <w:t xml:space="preserve">“My Secrets”</w:t>
      </w:r>
      <w:r>
        <w:t xml:space="preserve">) →</w:t>
      </w:r>
      <w:r>
        <w:t xml:space="preserve"> </w:t>
      </w:r>
      <w:r>
        <w:rPr>
          <w:rStyle w:val="VerbatimChar"/>
        </w:rPr>
        <w:t xml:space="preserve">SURVEILLANCE_FOCUS</w:t>
      </w:r>
    </w:p>
    <w:bookmarkEnd w:id="16"/>
    <w:bookmarkEnd w:id="17"/>
    <w:bookmarkStart w:id="21" w:name="content-copy-frontend-fixes"/>
    <w:p>
      <w:pPr>
        <w:pStyle w:val="Heading1"/>
      </w:pPr>
      <w:r>
        <w:t xml:space="preserve">3. Content, Copy &amp; Frontend Fixes</w:t>
      </w:r>
    </w:p>
    <w:bookmarkStart w:id="18" w:name="Xd1ebf7592ed3396090e6a3c1e3840fdf1599715"/>
    <w:p>
      <w:pPr>
        <w:pStyle w:val="Heading3"/>
      </w:pPr>
      <w:r>
        <w:t xml:space="preserve">3.1</w:t>
      </w:r>
      <w:r>
        <w:t xml:space="preserve"> </w:t>
      </w:r>
      <w:r>
        <w:rPr>
          <w:rStyle w:val="VerbatimChar"/>
        </w:rPr>
        <w:t xml:space="preserve">/ministries</w:t>
      </w:r>
      <w:r>
        <w:t xml:space="preserve"> </w:t>
      </w:r>
      <w:r>
        <w:t xml:space="preserve">— Official 10 Newspeak Ministries (Drop-In)</w:t>
      </w:r>
    </w:p>
    <w:p>
      <w:pPr>
        <w:pStyle w:val="FirstParagraph"/>
      </w:pPr>
      <w:r>
        <w:t xml:space="preserve">Replace placeholder ministry names with the official 10 Newspeak Ministries:</w:t>
      </w:r>
      <w:r>
        <w:t xml:space="preserve"> </w:t>
      </w:r>
      <w:r>
        <w:t xml:space="preserve">1.</w:t>
      </w:r>
      <w:r>
        <w:t xml:space="preserve"> </w:t>
      </w:r>
      <w:r>
        <w:rPr>
          <w:b/>
          <w:bCs/>
        </w:rPr>
        <w:t xml:space="preserve">Miniplenty (Ministry of Ecological Bounty):</w:t>
      </w:r>
      <w:r>
        <w:t xml:space="preserve"> </w:t>
      </w:r>
      <w:r>
        <w:t xml:space="preserve">Food rationing, algae/pulse paste, caloric limits.</w:t>
      </w:r>
      <w:r>
        <w:t xml:space="preserve"> </w:t>
      </w:r>
      <w:r>
        <w:t xml:space="preserve">2.</w:t>
      </w:r>
      <w:r>
        <w:t xml:space="preserve"> </w:t>
      </w:r>
      <w:r>
        <w:rPr>
          <w:b/>
          <w:bCs/>
        </w:rPr>
        <w:t xml:space="preserve">Minilove (Ministry of Ecological Harmony):</w:t>
      </w:r>
      <w:r>
        <w:t xml:space="preserve"> </w:t>
      </w:r>
      <w:r>
        <w:t xml:space="preserve">Biometric surveillance, garage interrogation, thought-audits.</w:t>
      </w:r>
      <w:r>
        <w:t xml:space="preserve"> </w:t>
      </w:r>
      <w:r>
        <w:t xml:space="preserve">3.</w:t>
      </w:r>
      <w:r>
        <w:t xml:space="preserve"> </w:t>
      </w:r>
      <w:r>
        <w:rPr>
          <w:b/>
          <w:bCs/>
        </w:rPr>
        <w:t xml:space="preserve">Minijoy (Ministry of Morale):</w:t>
      </w:r>
      <w:r>
        <w:t xml:space="preserve"> </w:t>
      </w:r>
      <w:r>
        <w:t xml:space="preserve">Mandatory cheerfulness, elimination of pre-collapse nostalgia.</w:t>
      </w:r>
      <w:r>
        <w:t xml:space="preserve"> </w:t>
      </w:r>
      <w:r>
        <w:t xml:space="preserve">4.</w:t>
      </w:r>
      <w:r>
        <w:t xml:space="preserve"> </w:t>
      </w:r>
      <w:r>
        <w:rPr>
          <w:b/>
          <w:bCs/>
        </w:rPr>
        <w:t xml:space="preserve">Minirenewal (Ministry of Elemental Reclamation):</w:t>
      </w:r>
      <w:r>
        <w:t xml:space="preserve"> </w:t>
      </w:r>
      <w:r>
        <w:t xml:space="preserve">Identity erasure, upcycling booth, biological composting.</w:t>
      </w:r>
      <w:r>
        <w:t xml:space="preserve"> </w:t>
      </w:r>
      <w:r>
        <w:t xml:space="preserve">5.</w:t>
      </w:r>
      <w:r>
        <w:t xml:space="preserve"> </w:t>
      </w:r>
      <w:r>
        <w:rPr>
          <w:b/>
          <w:bCs/>
        </w:rPr>
        <w:t xml:space="preserve">Minilight (Ministry of Luminescence):</w:t>
      </w:r>
      <w:r>
        <w:t xml:space="preserve"> </w:t>
      </w:r>
      <w:r>
        <w:t xml:space="preserve">Rolling blackouts, kinetic bicycle generators for DJ power.</w:t>
      </w:r>
      <w:r>
        <w:t xml:space="preserve"> </w:t>
      </w:r>
      <w:r>
        <w:t xml:space="preserve">6.</w:t>
      </w:r>
      <w:r>
        <w:t xml:space="preserve"> </w:t>
      </w:r>
      <w:r>
        <w:rPr>
          <w:b/>
          <w:bCs/>
        </w:rPr>
        <w:t xml:space="preserve">Miniflow (Ministry of Hydrological Purity):</w:t>
      </w:r>
      <w:r>
        <w:t xml:space="preserve"> </w:t>
      </w:r>
      <w:r>
        <w:t xml:space="preserve">Moisture metering, graywater recovery, urine audits (</w:t>
      </w:r>
      <w:r>
        <w:rPr>
          <w:i/>
          <w:iCs/>
        </w:rPr>
        <w:t xml:space="preserve">Peetopia</w:t>
      </w:r>
      <w:r>
        <w:t xml:space="preserve">).</w:t>
      </w:r>
      <w:r>
        <w:t xml:space="preserve"> </w:t>
      </w:r>
      <w:r>
        <w:t xml:space="preserve">7.</w:t>
      </w:r>
      <w:r>
        <w:t xml:space="preserve"> </w:t>
      </w:r>
      <w:r>
        <w:rPr>
          <w:b/>
          <w:bCs/>
        </w:rPr>
        <w:t xml:space="preserve">Minibreath (Ministry of Atmospheric Rectitude):</w:t>
      </w:r>
      <w:r>
        <w:t xml:space="preserve"> </w:t>
      </w:r>
      <w:r>
        <w:t xml:space="preserve">Breath quotas, exhalation taxation.</w:t>
      </w:r>
      <w:r>
        <w:t xml:space="preserve"> </w:t>
      </w:r>
      <w:r>
        <w:t xml:space="preserve">8.</w:t>
      </w:r>
      <w:r>
        <w:t xml:space="preserve"> </w:t>
      </w:r>
      <w:r>
        <w:rPr>
          <w:b/>
          <w:bCs/>
        </w:rPr>
        <w:t xml:space="preserve">Minishelter (Ministry of Domestic Confinement):</w:t>
      </w:r>
      <w:r>
        <w:t xml:space="preserve"> </w:t>
      </w:r>
      <w:r>
        <w:t xml:space="preserve">15-minute perimeter enforcement, room curfews.</w:t>
      </w:r>
      <w:r>
        <w:t xml:space="preserve"> </w:t>
      </w:r>
      <w:r>
        <w:t xml:space="preserve">9.</w:t>
      </w:r>
      <w:r>
        <w:t xml:space="preserve"> </w:t>
      </w:r>
      <w:r>
        <w:rPr>
          <w:b/>
          <w:bCs/>
        </w:rPr>
        <w:t xml:space="preserve">Miniservice (Ministry of Restorative Labor):</w:t>
      </w:r>
      <w:r>
        <w:t xml:space="preserve"> </w:t>
      </w:r>
      <w:r>
        <w:t xml:space="preserve">Mandatory dishwashing (</w:t>
      </w:r>
      <w:r>
        <w:t xml:space="preserve">“greenwashing”</w:t>
      </w:r>
      <w:r>
        <w:t xml:space="preserve">) and cleaning shifts.</w:t>
      </w:r>
      <w:r>
        <w:t xml:space="preserve"> </w:t>
      </w:r>
      <w:r>
        <w:t xml:space="preserve">10.</w:t>
      </w:r>
      <w:r>
        <w:t xml:space="preserve"> </w:t>
      </w:r>
      <w:r>
        <w:rPr>
          <w:b/>
          <w:bCs/>
        </w:rPr>
        <w:t xml:space="preserve">Minithrift (Ministry of Material Confiscation):</w:t>
      </w:r>
      <w:r>
        <w:t xml:space="preserve"> </w:t>
      </w:r>
      <w:r>
        <w:t xml:space="preserve">Seizure of petroleum fabrics and private possessions.</w:t>
      </w:r>
    </w:p>
    <w:bookmarkEnd w:id="18"/>
    <w:bookmarkStart w:id="19" w:name="mobile-layout-css-collision-patch"/>
    <w:p>
      <w:pPr>
        <w:pStyle w:val="Heading3"/>
      </w:pPr>
      <w:r>
        <w:t xml:space="preserve">3.2 Mobile Layout &amp; CSS Collision Patch</w:t>
      </w:r>
    </w:p>
    <w:p>
      <w:pPr>
        <w:pStyle w:val="Compact"/>
        <w:numPr>
          <w:ilvl w:val="0"/>
          <w:numId w:val="1002"/>
        </w:numPr>
      </w:pPr>
      <w:r>
        <w:rPr>
          <w:b/>
          <w:bCs/>
        </w:rPr>
        <w:t xml:space="preserve">Bug:</w:t>
      </w:r>
      <w:r>
        <w:t xml:space="preserve"> </w:t>
      </w:r>
      <w:r>
        <w:t xml:space="preserve">The floating sticky</w:t>
      </w:r>
      <w:r>
        <w:t xml:space="preserve"> </w:t>
      </w:r>
      <w:r>
        <w:rPr>
          <w:rStyle w:val="VerbatimChar"/>
        </w:rPr>
        <w:t xml:space="preserve">"VOICE A CONCERN"</w:t>
      </w:r>
      <w:r>
        <w:t xml:space="preserve"> </w:t>
      </w:r>
      <w:r>
        <w:t xml:space="preserve">megaphone button covers footer links and cards on screens &lt;400px (iPhone SE).</w:t>
      </w:r>
    </w:p>
    <w:p>
      <w:pPr>
        <w:pStyle w:val="Compact"/>
        <w:numPr>
          <w:ilvl w:val="0"/>
          <w:numId w:val="1002"/>
        </w:numPr>
      </w:pPr>
      <w:r>
        <w:rPr>
          <w:b/>
          <w:bCs/>
        </w:rPr>
        <w:t xml:space="preserve">Fix:</w:t>
      </w:r>
      <w:r>
        <w:t xml:space="preserve"> </w:t>
      </w:r>
      <w:r>
        <w:t xml:space="preserve">Add to</w:t>
      </w:r>
      <w:r>
        <w:t xml:space="preserve"> </w:t>
      </w:r>
      <w:r>
        <w:rPr>
          <w:rStyle w:val="VerbatimChar"/>
        </w:rPr>
        <w:t xml:space="preserve">styles.css</w:t>
      </w:r>
      <w:r>
        <w:t xml:space="preserve">:</w:t>
      </w:r>
    </w:p>
    <w:p>
      <w:pPr>
        <w:pStyle w:val="SourceCode"/>
      </w:pP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480</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.floating-concern-btn</w:t>
      </w:r>
      <w:r>
        <w:rPr>
          <w:rStyle w:val="NormalTok"/>
        </w:rPr>
        <w:t xml:space="preserve"> { </w:t>
      </w:r>
      <w:r>
        <w:rPr>
          <w:rStyle w:val="KeywordTok"/>
        </w:rPr>
        <w:t xml:space="preserve">position</w:t>
      </w:r>
      <w:r>
        <w:rPr>
          <w:rStyle w:val="CharTok"/>
        </w:rPr>
        <w:t xml:space="preserve">:</w:t>
      </w:r>
      <w:r>
        <w:rPr>
          <w:rStyle w:val="NormalTok"/>
        </w:rPr>
        <w:t xml:space="preserve"> </w:t>
      </w:r>
      <w:r>
        <w:rPr>
          <w:rStyle w:val="DecValTok"/>
        </w:rPr>
        <w:t xml:space="preserve">static</w:t>
      </w:r>
      <w:r>
        <w:rPr>
          <w:rStyle w:val="NormalTok"/>
        </w:rPr>
        <w:t xml:space="preserve"> </w:t>
      </w:r>
      <w:r>
        <w:rPr>
          <w:rStyle w:val="AttributeTok"/>
        </w:rPr>
        <w:t xml:space="preserve">!important</w:t>
      </w:r>
      <w:r>
        <w:rPr>
          <w:rStyle w:val="OperatorTok"/>
        </w:rPr>
        <w:t xml:space="preserve">;</w:t>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block</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0.8</w:t>
      </w:r>
      <w:r>
        <w:rPr>
          <w:rStyle w:val="DataTypeTok"/>
        </w:rPr>
        <w:t xml:space="preserve">rem</w:t>
      </w:r>
      <w:r>
        <w:rPr>
          <w:rStyle w:val="NormalTok"/>
        </w:rPr>
        <w:t xml:space="preserve"> </w:t>
      </w:r>
      <w:r>
        <w:rPr>
          <w:rStyle w:val="BuiltInTok"/>
        </w:rPr>
        <w:t xml:space="preserve">auto</w:t>
      </w:r>
      <w:r>
        <w:rPr>
          <w:rStyle w:val="OperatorTok"/>
        </w:rPr>
        <w:t xml:space="preserve">;</w:t>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90</w:t>
      </w:r>
      <w:r>
        <w:rPr>
          <w:rStyle w:val="DataTypeTok"/>
        </w:rPr>
        <w:t xml:space="preserve">%</w:t>
      </w:r>
      <w:r>
        <w:rPr>
          <w:rStyle w:val="OperatorTok"/>
        </w:rPr>
        <w:t xml:space="preserve">;</w:t>
      </w:r>
      <w:r>
        <w:rPr>
          <w:rStyle w:val="NormalTok"/>
        </w:rPr>
        <w:t xml:space="preserve"> }</w:t>
      </w:r>
      <w:r>
        <w:br/>
      </w:r>
      <w:r>
        <w:rPr>
          <w:rStyle w:val="NormalTok"/>
        </w:rPr>
        <w:t xml:space="preserve">}</w:t>
      </w:r>
    </w:p>
    <w:bookmarkEnd w:id="19"/>
    <w:bookmarkStart w:id="20" w:name="security-response-headers"/>
    <w:p>
      <w:pPr>
        <w:pStyle w:val="Heading3"/>
      </w:pPr>
      <w:r>
        <w:t xml:space="preserve">3.3 Security Response Headers</w:t>
      </w:r>
    </w:p>
    <w:p>
      <w:pPr>
        <w:pStyle w:val="FirstParagraph"/>
      </w:pPr>
      <w:r>
        <w:t xml:space="preserve">Add missing headers to</w:t>
      </w:r>
      <w:r>
        <w:t xml:space="preserve"> </w:t>
      </w:r>
      <w:r>
        <w:rPr>
          <w:rStyle w:val="VerbatimChar"/>
        </w:rPr>
        <w:t xml:space="preserve">next.config.js</w:t>
      </w:r>
      <w:r>
        <w:t xml:space="preserve"> </w:t>
      </w:r>
      <w:r>
        <w:t xml:space="preserve">or</w:t>
      </w:r>
      <w:r>
        <w:t xml:space="preserve"> </w:t>
      </w:r>
      <w:r>
        <w:rPr>
          <w:rStyle w:val="VerbatimChar"/>
        </w:rPr>
        <w:t xml:space="preserve">vercel.json</w:t>
      </w:r>
      <w:r>
        <w:t xml:space="preserve">:</w:t>
      </w:r>
      <w:r>
        <w:t xml:space="preserve"> </w:t>
      </w:r>
      <w:r>
        <w:t xml:space="preserve">*</w:t>
      </w:r>
      <w:r>
        <w:t xml:space="preserve"> </w:t>
      </w:r>
      <w:r>
        <w:rPr>
          <w:rStyle w:val="VerbatimChar"/>
        </w:rPr>
        <w:t xml:space="preserve">X-Content-Type-Options: nosniff</w:t>
      </w:r>
      <w:r>
        <w:t xml:space="preserve"> </w:t>
      </w:r>
      <w:r>
        <w:t xml:space="preserve">  |   *</w:t>
      </w:r>
      <w:r>
        <w:t xml:space="preserve"> </w:t>
      </w:r>
      <w:r>
        <w:rPr>
          <w:rStyle w:val="VerbatimChar"/>
        </w:rPr>
        <w:t xml:space="preserve">Referrer-Policy: strict-origin-when-cross-origin</w:t>
      </w:r>
    </w:p>
    <w:bookmarkEnd w:id="20"/>
    <w:bookmarkEnd w:id="21"/>
    <w:bookmarkStart w:id="22" w:name="master-action-checklist-for-jack"/>
    <w:p>
      <w:pPr>
        <w:pStyle w:val="Heading1"/>
      </w:pPr>
      <w:r>
        <w:t xml:space="preserve">4. Master Action Checklist for Jack</w:t>
      </w:r>
    </w:p>
    <w:tbl>
      <w:tblPr>
        <w:tblStyle w:val="Table"/>
        <w:tblW w:type="pct" w:w="5000"/>
        <w:tblLayout w:type="fixed"/>
        <w:tblLook w:firstRow="1" w:lastRow="0" w:firstColumn="0" w:lastColumn="0" w:noHBand="0" w:noVBand="0" w:val="0020"/>
      </w:tblPr>
      <w:tblGrid>
        <w:gridCol w:w="1080"/>
        <w:gridCol w:w="1440"/>
        <w:gridCol w:w="1440"/>
        <w:gridCol w:w="1440"/>
        <w:gridCol w:w="1080"/>
        <w:gridCol w:w="1440"/>
      </w:tblGrid>
      <w:tr>
        <w:trPr>
          <w:tblHeader w:val="on"/>
        </w:trPr>
        <w:tc>
          <w:tcPr/>
          <w:p>
            <w:pPr>
              <w:pStyle w:val="Compact"/>
              <w:jc w:val="center"/>
            </w:pPr>
            <w:r>
              <w:t xml:space="preserve">#</w:t>
            </w:r>
          </w:p>
        </w:tc>
        <w:tc>
          <w:tcPr/>
          <w:p>
            <w:pPr>
              <w:pStyle w:val="Compact"/>
              <w:jc w:val="left"/>
            </w:pPr>
            <w:r>
              <w:t xml:space="preserve">Item Description</w:t>
            </w:r>
          </w:p>
        </w:tc>
        <w:tc>
          <w:tcPr/>
          <w:p>
            <w:pPr>
              <w:pStyle w:val="Compact"/>
              <w:jc w:val="left"/>
            </w:pPr>
            <w:r>
              <w:t xml:space="preserve">Route / Area</w:t>
            </w:r>
          </w:p>
        </w:tc>
        <w:tc>
          <w:tcPr/>
          <w:p>
            <w:pPr>
              <w:pStyle w:val="Compact"/>
              <w:jc w:val="left"/>
            </w:pPr>
            <w:r>
              <w:t xml:space="preserve">Owner</w:t>
            </w:r>
          </w:p>
        </w:tc>
        <w:tc>
          <w:tcPr/>
          <w:p>
            <w:pPr>
              <w:pStyle w:val="Compact"/>
              <w:jc w:val="center"/>
            </w:pPr>
            <w:r>
              <w:t xml:space="preserve">Priority</w:t>
            </w:r>
          </w:p>
        </w:tc>
        <w:tc>
          <w:tcPr/>
          <w:p>
            <w:pPr>
              <w:pStyle w:val="Compact"/>
              <w:jc w:val="left"/>
            </w:pPr>
            <w:r>
              <w:t xml:space="preserve">Status</w:t>
            </w:r>
          </w:p>
        </w:tc>
      </w:tr>
      <w:tr>
        <w:tc>
          <w:tcPr/>
          <w:p>
            <w:pPr>
              <w:pStyle w:val="Compact"/>
              <w:jc w:val="center"/>
            </w:pPr>
            <w:r>
              <w:rPr>
                <w:b/>
                <w:bCs/>
              </w:rPr>
              <w:t xml:space="preserve">1</w:t>
            </w:r>
          </w:p>
        </w:tc>
        <w:tc>
          <w:tcPr/>
          <w:p>
            <w:pPr>
              <w:pStyle w:val="Compact"/>
              <w:jc w:val="left"/>
            </w:pPr>
            <w:r>
              <w:t xml:space="preserve">Paste €15 fee &amp;</w:t>
            </w:r>
            <w:r>
              <w:t xml:space="preserve"> </w:t>
            </w:r>
            <w:r>
              <w:t xml:space="preserve">“OZONE”</w:t>
            </w:r>
            <w:r>
              <w:t xml:space="preserve"> </w:t>
            </w:r>
            <w:r>
              <w:t xml:space="preserve">safe-word copy</w:t>
            </w:r>
          </w:p>
        </w:tc>
        <w:tc>
          <w:tcPr/>
          <w:p>
            <w:pPr>
              <w:pStyle w:val="Compact"/>
              <w:jc w:val="left"/>
            </w:pPr>
            <w:r>
              <w:rPr>
                <w:rStyle w:val="VerbatimChar"/>
              </w:rPr>
              <w:t xml:space="preserve">/terms</w:t>
            </w:r>
          </w:p>
        </w:tc>
        <w:tc>
          <w:tcPr/>
          <w:p>
            <w:pPr>
              <w:pStyle w:val="Compact"/>
              <w:jc w:val="left"/>
            </w:pPr>
            <w:r>
              <w:t xml:space="preserve">Jack</w:t>
            </w:r>
          </w:p>
        </w:tc>
        <w:tc>
          <w:tcPr/>
          <w:p>
            <w:pPr>
              <w:pStyle w:val="Compact"/>
              <w:jc w:val="center"/>
            </w:pPr>
            <w:r>
              <w:rPr>
                <w:b/>
                <w:bCs/>
              </w:rPr>
              <w:t xml:space="preserve">BLOCKER</w:t>
            </w:r>
          </w:p>
        </w:tc>
        <w:tc>
          <w:tcPr/>
          <w:p>
            <w:pPr>
              <w:pStyle w:val="Compact"/>
              <w:jc w:val="left"/>
            </w:pPr>
            <w:r>
              <w:t xml:space="preserve">Drop-in ready</w:t>
            </w:r>
          </w:p>
        </w:tc>
      </w:tr>
      <w:tr>
        <w:tc>
          <w:tcPr/>
          <w:p>
            <w:pPr>
              <w:pStyle w:val="Compact"/>
              <w:jc w:val="center"/>
            </w:pPr>
            <w:r>
              <w:rPr>
                <w:b/>
                <w:bCs/>
              </w:rPr>
              <w:t xml:space="preserve">2</w:t>
            </w:r>
          </w:p>
        </w:tc>
        <w:tc>
          <w:tcPr/>
          <w:p>
            <w:pPr>
              <w:pStyle w:val="Compact"/>
              <w:jc w:val="left"/>
            </w:pPr>
            <w:r>
              <w:t xml:space="preserve">Paste GDPR controller info &amp; Dec 19 purge date</w:t>
            </w:r>
          </w:p>
        </w:tc>
        <w:tc>
          <w:tcPr/>
          <w:p>
            <w:pPr>
              <w:pStyle w:val="Compact"/>
              <w:jc w:val="left"/>
            </w:pPr>
            <w:r>
              <w:rPr>
                <w:rStyle w:val="VerbatimChar"/>
              </w:rPr>
              <w:t xml:space="preserve">/privacy</w:t>
            </w:r>
          </w:p>
        </w:tc>
        <w:tc>
          <w:tcPr/>
          <w:p>
            <w:pPr>
              <w:pStyle w:val="Compact"/>
              <w:jc w:val="left"/>
            </w:pPr>
            <w:r>
              <w:t xml:space="preserve">Jack</w:t>
            </w:r>
          </w:p>
        </w:tc>
        <w:tc>
          <w:tcPr/>
          <w:p>
            <w:pPr>
              <w:pStyle w:val="Compact"/>
              <w:jc w:val="center"/>
            </w:pPr>
            <w:r>
              <w:rPr>
                <w:b/>
                <w:bCs/>
              </w:rPr>
              <w:t xml:space="preserve">BLOCKER</w:t>
            </w:r>
          </w:p>
        </w:tc>
        <w:tc>
          <w:tcPr/>
          <w:p>
            <w:pPr>
              <w:pStyle w:val="Compact"/>
              <w:jc w:val="left"/>
            </w:pPr>
            <w:r>
              <w:t xml:space="preserve">Drop-in ready</w:t>
            </w:r>
          </w:p>
        </w:tc>
      </w:tr>
      <w:tr>
        <w:tc>
          <w:tcPr/>
          <w:p>
            <w:pPr>
              <w:pStyle w:val="Compact"/>
              <w:jc w:val="center"/>
            </w:pPr>
            <w:r>
              <w:rPr>
                <w:b/>
                <w:bCs/>
              </w:rPr>
              <w:t xml:space="preserve">3</w:t>
            </w:r>
          </w:p>
        </w:tc>
        <w:tc>
          <w:tcPr/>
          <w:p>
            <w:pPr>
              <w:pStyle w:val="Compact"/>
              <w:jc w:val="left"/>
            </w:pPr>
            <w:r>
              <w:t xml:space="preserve">Add Vercel rate-limit bypass for De Warren NAT IP</w:t>
            </w:r>
          </w:p>
        </w:tc>
        <w:tc>
          <w:tcPr/>
          <w:p>
            <w:pPr>
              <w:pStyle w:val="Compact"/>
              <w:jc w:val="left"/>
            </w:pPr>
            <w:r>
              <w:t xml:space="preserve">Hosting / DevOps</w:t>
            </w:r>
          </w:p>
        </w:tc>
        <w:tc>
          <w:tcPr/>
          <w:p>
            <w:pPr>
              <w:pStyle w:val="Compact"/>
              <w:jc w:val="left"/>
            </w:pPr>
            <w:r>
              <w:t xml:space="preserve">Jack / DevOps</w:t>
            </w:r>
          </w:p>
        </w:tc>
        <w:tc>
          <w:tcPr/>
          <w:p>
            <w:pPr>
              <w:pStyle w:val="Compact"/>
              <w:jc w:val="center"/>
            </w:pPr>
            <w:r>
              <w:rPr>
                <w:b/>
                <w:bCs/>
              </w:rPr>
              <w:t xml:space="preserve">BLOCKER</w:t>
            </w:r>
          </w:p>
        </w:tc>
        <w:tc>
          <w:tcPr/>
          <w:p>
            <w:pPr>
              <w:pStyle w:val="Compact"/>
              <w:jc w:val="left"/>
            </w:pPr>
            <w:r>
              <w:t xml:space="preserve">Action required</w:t>
            </w:r>
          </w:p>
        </w:tc>
      </w:tr>
      <w:tr>
        <w:tc>
          <w:tcPr/>
          <w:p>
            <w:pPr>
              <w:pStyle w:val="Compact"/>
              <w:jc w:val="center"/>
            </w:pPr>
            <w:r>
              <w:rPr>
                <w:b/>
                <w:bCs/>
              </w:rPr>
              <w:t xml:space="preserve">4</w:t>
            </w:r>
          </w:p>
        </w:tc>
        <w:tc>
          <w:tcPr/>
          <w:p>
            <w:pPr>
              <w:pStyle w:val="Compact"/>
              <w:jc w:val="left"/>
            </w:pPr>
            <w:r>
              <w:t xml:space="preserve">Add</w:t>
            </w:r>
            <w:r>
              <w:t xml:space="preserve"> </w:t>
            </w:r>
            <w:r>
              <w:t xml:space="preserve">“Threshold of Admission”</w:t>
            </w:r>
            <w:r>
              <w:t xml:space="preserve"> </w:t>
            </w:r>
            <w:r>
              <w:t xml:space="preserve">teaser before sign-in</w:t>
            </w:r>
          </w:p>
        </w:tc>
        <w:tc>
          <w:tcPr/>
          <w:p>
            <w:pPr>
              <w:pStyle w:val="Compact"/>
              <w:jc w:val="left"/>
            </w:pPr>
            <w:r>
              <w:rPr>
                <w:rStyle w:val="VerbatimChar"/>
              </w:rPr>
              <w:t xml:space="preserve">/apply</w:t>
            </w:r>
          </w:p>
        </w:tc>
        <w:tc>
          <w:tcPr/>
          <w:p>
            <w:pPr>
              <w:pStyle w:val="Compact"/>
              <w:jc w:val="left"/>
            </w:pPr>
            <w:r>
              <w:t xml:space="preserve">Web Dev</w:t>
            </w:r>
          </w:p>
        </w:tc>
        <w:tc>
          <w:tcPr/>
          <w:p>
            <w:pPr>
              <w:pStyle w:val="Compact"/>
              <w:jc w:val="center"/>
            </w:pPr>
            <w:r>
              <w:rPr>
                <w:b/>
                <w:bCs/>
              </w:rPr>
              <w:t xml:space="preserve">HIGH</w:t>
            </w:r>
          </w:p>
        </w:tc>
        <w:tc>
          <w:tcPr/>
          <w:p>
            <w:pPr>
              <w:pStyle w:val="Compact"/>
              <w:jc w:val="left"/>
            </w:pPr>
            <w:r>
              <w:t xml:space="preserve">Drop-in ready</w:t>
            </w:r>
          </w:p>
        </w:tc>
      </w:tr>
      <w:tr>
        <w:tc>
          <w:tcPr/>
          <w:p>
            <w:pPr>
              <w:pStyle w:val="Compact"/>
              <w:jc w:val="center"/>
            </w:pPr>
            <w:r>
              <w:rPr>
                <w:b/>
                <w:bCs/>
              </w:rPr>
              <w:t xml:space="preserve">5</w:t>
            </w:r>
          </w:p>
        </w:tc>
        <w:tc>
          <w:tcPr/>
          <w:p>
            <w:pPr>
              <w:pStyle w:val="Compact"/>
              <w:jc w:val="left"/>
            </w:pPr>
            <w:r>
              <w:t xml:space="preserve">Update 5 carbon confession questions &amp; options</w:t>
            </w:r>
          </w:p>
        </w:tc>
        <w:tc>
          <w:tcPr/>
          <w:p>
            <w:pPr>
              <w:pStyle w:val="Compact"/>
              <w:jc w:val="left"/>
            </w:pPr>
            <w:r>
              <w:rPr>
                <w:rStyle w:val="VerbatimChar"/>
              </w:rPr>
              <w:t xml:space="preserve">/apply</w:t>
            </w:r>
            <w:r>
              <w:t xml:space="preserve"> </w:t>
            </w:r>
            <w:r>
              <w:t xml:space="preserve">form</w:t>
            </w:r>
          </w:p>
        </w:tc>
        <w:tc>
          <w:tcPr/>
          <w:p>
            <w:pPr>
              <w:pStyle w:val="Compact"/>
              <w:jc w:val="left"/>
            </w:pPr>
            <w:r>
              <w:t xml:space="preserve">Web Dev</w:t>
            </w:r>
          </w:p>
        </w:tc>
        <w:tc>
          <w:tcPr/>
          <w:p>
            <w:pPr>
              <w:pStyle w:val="Compact"/>
              <w:jc w:val="center"/>
            </w:pPr>
            <w:r>
              <w:rPr>
                <w:b/>
                <w:bCs/>
              </w:rPr>
              <w:t xml:space="preserve">HIGH</w:t>
            </w:r>
          </w:p>
        </w:tc>
        <w:tc>
          <w:tcPr/>
          <w:p>
            <w:pPr>
              <w:pStyle w:val="Compact"/>
              <w:jc w:val="left"/>
            </w:pPr>
            <w:r>
              <w:t xml:space="preserve">Drop-in ready</w:t>
            </w:r>
          </w:p>
        </w:tc>
      </w:tr>
      <w:tr>
        <w:tc>
          <w:tcPr/>
          <w:p>
            <w:pPr>
              <w:pStyle w:val="Compact"/>
              <w:jc w:val="center"/>
            </w:pPr>
            <w:r>
              <w:rPr>
                <w:b/>
                <w:bCs/>
              </w:rPr>
              <w:t xml:space="preserve">6</w:t>
            </w:r>
          </w:p>
        </w:tc>
        <w:tc>
          <w:tcPr/>
          <w:p>
            <w:pPr>
              <w:pStyle w:val="Compact"/>
              <w:jc w:val="left"/>
            </w:pPr>
            <w:r>
              <w:t xml:space="preserve">Update starting debt math formula (</w:t>
            </w:r>
            <m:oMath>
              <m:r>
                <m:rPr>
                  <m:sty m:val="p"/>
                </m:rPr>
                <m:t>−</m:t>
              </m:r>
              <m:r>
                <m:t>150</m:t>
              </m:r>
            </m:oMath>
            <w:r>
              <w:t xml:space="preserve"> </w:t>
            </w:r>
            <w:r>
              <w:t xml:space="preserve">to</w:t>
            </w:r>
            <w:r>
              <w:t xml:space="preserve"> </w:t>
            </w:r>
            <m:oMath>
              <m:r>
                <m:rPr>
                  <m:sty m:val="p"/>
                </m:rPr>
                <m:t>−</m:t>
              </m:r>
              <m:r>
                <m:t>500</m:t>
              </m:r>
            </m:oMath>
            <w:r>
              <w:t xml:space="preserve">)</w:t>
            </w:r>
          </w:p>
        </w:tc>
        <w:tc>
          <w:tcPr/>
          <w:p>
            <w:pPr>
              <w:pStyle w:val="Compact"/>
              <w:jc w:val="left"/>
            </w:pPr>
            <w:r>
              <w:t xml:space="preserve">Backend</w:t>
            </w:r>
          </w:p>
        </w:tc>
        <w:tc>
          <w:tcPr/>
          <w:p>
            <w:pPr>
              <w:pStyle w:val="Compact"/>
              <w:jc w:val="left"/>
            </w:pPr>
            <w:r>
              <w:t xml:space="preserve">Web Dev</w:t>
            </w:r>
          </w:p>
        </w:tc>
        <w:tc>
          <w:tcPr/>
          <w:p>
            <w:pPr>
              <w:pStyle w:val="Compact"/>
              <w:jc w:val="center"/>
            </w:pPr>
            <w:r>
              <w:rPr>
                <w:b/>
                <w:bCs/>
              </w:rPr>
              <w:t xml:space="preserve">MEDIUM</w:t>
            </w:r>
          </w:p>
        </w:tc>
        <w:tc>
          <w:tcPr/>
          <w:p>
            <w:pPr>
              <w:pStyle w:val="Compact"/>
              <w:jc w:val="left"/>
            </w:pPr>
            <w:r>
              <w:t xml:space="preserve">Formula ready</w:t>
            </w:r>
          </w:p>
        </w:tc>
      </w:tr>
      <w:tr>
        <w:tc>
          <w:tcPr/>
          <w:p>
            <w:pPr>
              <w:pStyle w:val="Compact"/>
              <w:jc w:val="center"/>
            </w:pPr>
            <w:r>
              <w:rPr>
                <w:b/>
                <w:bCs/>
              </w:rPr>
              <w:t xml:space="preserve">7</w:t>
            </w:r>
          </w:p>
        </w:tc>
        <w:tc>
          <w:tcPr/>
          <w:p>
            <w:pPr>
              <w:pStyle w:val="Compact"/>
              <w:jc w:val="left"/>
            </w:pPr>
            <w:r>
              <w:t xml:space="preserve">Standardize surrender options &amp; door export tags</w:t>
            </w:r>
          </w:p>
        </w:tc>
        <w:tc>
          <w:tcPr/>
          <w:p>
            <w:pPr>
              <w:pStyle w:val="Compact"/>
              <w:jc w:val="left"/>
            </w:pPr>
            <w:r>
              <w:t xml:space="preserve">Form / DB</w:t>
            </w:r>
          </w:p>
        </w:tc>
        <w:tc>
          <w:tcPr/>
          <w:p>
            <w:pPr>
              <w:pStyle w:val="Compact"/>
              <w:jc w:val="left"/>
            </w:pPr>
            <w:r>
              <w:t xml:space="preserve">Web Dev</w:t>
            </w:r>
          </w:p>
        </w:tc>
        <w:tc>
          <w:tcPr/>
          <w:p>
            <w:pPr>
              <w:pStyle w:val="Compact"/>
              <w:jc w:val="center"/>
            </w:pPr>
            <w:r>
              <w:rPr>
                <w:b/>
                <w:bCs/>
              </w:rPr>
              <w:t xml:space="preserve">MEDIUM</w:t>
            </w:r>
          </w:p>
        </w:tc>
        <w:tc>
          <w:tcPr/>
          <w:p>
            <w:pPr>
              <w:pStyle w:val="Compact"/>
              <w:jc w:val="left"/>
            </w:pPr>
            <w:r>
              <w:t xml:space="preserve">Keys ready</w:t>
            </w:r>
          </w:p>
        </w:tc>
      </w:tr>
      <w:tr>
        <w:tc>
          <w:tcPr/>
          <w:p>
            <w:pPr>
              <w:pStyle w:val="Compact"/>
              <w:jc w:val="center"/>
            </w:pPr>
            <w:r>
              <w:rPr>
                <w:b/>
                <w:bCs/>
              </w:rPr>
              <w:t xml:space="preserve">8</w:t>
            </w:r>
          </w:p>
        </w:tc>
        <w:tc>
          <w:tcPr/>
          <w:p>
            <w:pPr>
              <w:pStyle w:val="Compact"/>
              <w:jc w:val="left"/>
            </w:pPr>
            <w:r>
              <w:t xml:space="preserve">Paste 10 Newspeak Ministries copy</w:t>
            </w:r>
          </w:p>
        </w:tc>
        <w:tc>
          <w:tcPr/>
          <w:p>
            <w:pPr>
              <w:pStyle w:val="Compact"/>
              <w:jc w:val="left"/>
            </w:pPr>
            <w:r>
              <w:rPr>
                <w:rStyle w:val="VerbatimChar"/>
              </w:rPr>
              <w:t xml:space="preserve">/ministries</w:t>
            </w:r>
          </w:p>
        </w:tc>
        <w:tc>
          <w:tcPr/>
          <w:p>
            <w:pPr>
              <w:pStyle w:val="Compact"/>
              <w:jc w:val="left"/>
            </w:pPr>
            <w:r>
              <w:t xml:space="preserve">Web Dev</w:t>
            </w:r>
          </w:p>
        </w:tc>
        <w:tc>
          <w:tcPr/>
          <w:p>
            <w:pPr>
              <w:pStyle w:val="Compact"/>
              <w:jc w:val="center"/>
            </w:pPr>
            <w:r>
              <w:rPr>
                <w:b/>
                <w:bCs/>
              </w:rPr>
              <w:t xml:space="preserve">HIGH</w:t>
            </w:r>
          </w:p>
        </w:tc>
        <w:tc>
          <w:tcPr/>
          <w:p>
            <w:pPr>
              <w:pStyle w:val="Compact"/>
              <w:jc w:val="left"/>
            </w:pPr>
            <w:r>
              <w:t xml:space="preserve">Drop-in ready</w:t>
            </w:r>
          </w:p>
        </w:tc>
      </w:tr>
      <w:tr>
        <w:tc>
          <w:tcPr/>
          <w:p>
            <w:pPr>
              <w:pStyle w:val="Compact"/>
              <w:jc w:val="center"/>
            </w:pPr>
            <w:r>
              <w:rPr>
                <w:b/>
                <w:bCs/>
              </w:rPr>
              <w:t xml:space="preserve">9</w:t>
            </w:r>
          </w:p>
        </w:tc>
        <w:tc>
          <w:tcPr/>
          <w:p>
            <w:pPr>
              <w:pStyle w:val="Compact"/>
              <w:jc w:val="left"/>
            </w:pPr>
            <w:r>
              <w:t xml:space="preserve">Apply mobile CSS fix for floating button</w:t>
            </w:r>
          </w:p>
        </w:tc>
        <w:tc>
          <w:tcPr/>
          <w:p>
            <w:pPr>
              <w:pStyle w:val="Compact"/>
              <w:jc w:val="left"/>
            </w:pPr>
            <w:r>
              <w:rPr>
                <w:rStyle w:val="VerbatimChar"/>
              </w:rPr>
              <w:t xml:space="preserve">styles.css</w:t>
            </w:r>
          </w:p>
        </w:tc>
        <w:tc>
          <w:tcPr/>
          <w:p>
            <w:pPr>
              <w:pStyle w:val="Compact"/>
              <w:jc w:val="left"/>
            </w:pPr>
            <w:r>
              <w:t xml:space="preserve">Web Dev</w:t>
            </w:r>
          </w:p>
        </w:tc>
        <w:tc>
          <w:tcPr/>
          <w:p>
            <w:pPr>
              <w:pStyle w:val="Compact"/>
              <w:jc w:val="center"/>
            </w:pPr>
            <w:r>
              <w:rPr>
                <w:b/>
                <w:bCs/>
              </w:rPr>
              <w:t xml:space="preserve">MEDIUM</w:t>
            </w:r>
          </w:p>
        </w:tc>
        <w:tc>
          <w:tcPr/>
          <w:p>
            <w:pPr>
              <w:pStyle w:val="Compact"/>
              <w:jc w:val="left"/>
            </w:pPr>
            <w:r>
              <w:t xml:space="preserve">Code ready</w:t>
            </w:r>
          </w:p>
        </w:tc>
      </w:tr>
      <w:tr>
        <w:tc>
          <w:tcPr/>
          <w:p>
            <w:pPr>
              <w:pStyle w:val="Compact"/>
              <w:jc w:val="center"/>
            </w:pPr>
            <w:r>
              <w:rPr>
                <w:b/>
                <w:bCs/>
              </w:rPr>
              <w:t xml:space="preserve">10</w:t>
            </w:r>
          </w:p>
        </w:tc>
        <w:tc>
          <w:tcPr/>
          <w:p>
            <w:pPr>
              <w:pStyle w:val="Compact"/>
              <w:jc w:val="left"/>
            </w:pPr>
            <w:r>
              <w:t xml:space="preserve">Add</w:t>
            </w:r>
            <w:r>
              <w:t xml:space="preserve"> </w:t>
            </w:r>
            <w:r>
              <w:rPr>
                <w:rStyle w:val="VerbatimChar"/>
              </w:rPr>
              <w:t xml:space="preserve">nosniff</w:t>
            </w:r>
            <w:r>
              <w:t xml:space="preserve"> </w:t>
            </w:r>
            <w:r>
              <w:t xml:space="preserve">and</w:t>
            </w:r>
            <w:r>
              <w:t xml:space="preserve"> </w:t>
            </w:r>
            <w:r>
              <w:rPr>
                <w:rStyle w:val="VerbatimChar"/>
              </w:rPr>
              <w:t xml:space="preserve">Referrer-Policy</w:t>
            </w:r>
            <w:r>
              <w:t xml:space="preserve"> </w:t>
            </w:r>
            <w:r>
              <w:t xml:space="preserve">headers</w:t>
            </w:r>
          </w:p>
        </w:tc>
        <w:tc>
          <w:tcPr/>
          <w:p>
            <w:pPr>
              <w:pStyle w:val="Compact"/>
              <w:jc w:val="left"/>
            </w:pPr>
            <w:r>
              <w:t xml:space="preserve">Server config</w:t>
            </w:r>
          </w:p>
        </w:tc>
        <w:tc>
          <w:tcPr/>
          <w:p>
            <w:pPr>
              <w:pStyle w:val="Compact"/>
              <w:jc w:val="left"/>
            </w:pPr>
            <w:r>
              <w:t xml:space="preserve">Web Dev</w:t>
            </w:r>
          </w:p>
        </w:tc>
        <w:tc>
          <w:tcPr/>
          <w:p>
            <w:pPr>
              <w:pStyle w:val="Compact"/>
              <w:jc w:val="center"/>
            </w:pPr>
            <w:r>
              <w:rPr>
                <w:b/>
                <w:bCs/>
              </w:rPr>
              <w:t xml:space="preserve">LOW</w:t>
            </w:r>
          </w:p>
        </w:tc>
        <w:tc>
          <w:tcPr/>
          <w:p>
            <w:pPr>
              <w:pStyle w:val="Compact"/>
              <w:jc w:val="left"/>
            </w:pPr>
            <w:r>
              <w:t xml:space="preserve">Code ready</w:t>
            </w:r>
          </w:p>
        </w:tc>
      </w:tr>
    </w:tbl>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Change Requests — Actionable Punch List for Jack</dc:title>
  <dc:creator>Chris (Storytelling, Narrative &amp; Design Lead)</dc:creator>
  <cp:keywords/>
  <dcterms:created xsi:type="dcterms:W3CDTF">2026-10-09T10:43:13Z</dcterms:created>
  <dcterms:modified xsi:type="dcterms:W3CDTF">2026-10-09T10:43:13Z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Target: staging.join-ecotopia.org (Staging Audit &amp; Pre-Launch Review)</vt:lpwstr>
  </property>
</Properties>
</file>