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SOP-05: Client Onboarding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after="40" w:before="12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Purpose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systematically collect the business context, documentation, and stakeholder information needed to begin project delivery — ensuring the project team (human and agentic) has everything required to commence work without delays or avoidable back-and-forth.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Scope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Applies from contract execution and deposit receipt (output of SOP-04) through to the client completing FORM-02 and the admin confirming all required information is received, triggering project kickoff (SOP-06).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FORM-02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Client Onboarding &amp; Context Capture form — a token-gated digital form at `/client-onboarding.html?token=[token]`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unique, single-use URL parameter generated for each client that gates access to their onboarding form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Complete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state where FORM-02 is submitted, admin has reviewed the submission, and the project file is ready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File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organised collection of client documents and context that the delivery team works from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Roles &amp; Responsibilities</w:t>
      </w: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🧑  Human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Gravesande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onboarding invitation; reviews completed form; confirms project readiness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(Primary Contact)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FORM-02; uploads requested documents; designates internal project champion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</w:tbl>
    <w:p>
      <w:pPr>
        <w:spacing w:after="40" w:before="60"/>
      </w:pP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🤖  Agentic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Monitor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`client_onboarding` table for new submissions; sends admin notification immediately on completion; updates `crm_clients.onboarding_stage` → `complete`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</w:tbl>
    <w:p>
      <w:pPr>
        <w:spacing w:after="40" w:before="6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Process Overview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Within 24 hours of contract execution, admin sends the client the onboarding invitation (TPL-08) containing their unique FORM-02 link. The client completes the form — providing business background, existing documentation, key contacts, and service-specific context. On submission, admin is automatically notified, reviews the submission for completeness, and either requests missing information or declares onboarding complete and proceeds to SOP-06.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Inputs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Signed contract and confirmed deposit (from SOP-04)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CRM record with `pipeline_stage = Contracted`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Client's primary email address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Generated onboarding token (from Admin Dashboard)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Procedure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Generate Onboarding Token &amp; Link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1.1.  </w:t>
      </w:r>
      <w:r>
        <w:rPr>
          <w:rFonts w:ascii="Arial" w:cs="Arial" w:eastAsia="Arial" w:hAnsi="Arial"/>
          <w:sz w:val="22"/>
          <w:szCs w:val="22"/>
        </w:rPr>
        <w:t xml:space="preserve">In Admin Dashboard → CRM tab, locate the client record.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1.2.  </w:t>
      </w:r>
      <w:r>
        <w:rPr>
          <w:rFonts w:ascii="Arial" w:cs="Arial" w:eastAsia="Arial" w:hAnsi="Arial"/>
          <w:sz w:val="22"/>
          <w:szCs w:val="22"/>
        </w:rPr>
        <w:t xml:space="preserve">Click "Send Onboarding Invitation" — this generates a unique token and constructs the URL: `preqal.org/client-onboarding.html?token=[token]`.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1.3.  </w:t>
      </w:r>
      <w:r>
        <w:rPr>
          <w:rFonts w:ascii="Arial" w:cs="Arial" w:eastAsia="Arial" w:hAnsi="Arial"/>
          <w:sz w:val="22"/>
          <w:szCs w:val="22"/>
        </w:rPr>
        <w:t xml:space="preserve">The token is stored in `crm_clients.onboarding_token`. It is single-use and expires after 30 days.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1.4.  </w:t>
      </w:r>
      <w:r>
        <w:rPr>
          <w:rFonts w:ascii="Arial" w:cs="Arial" w:eastAsia="Arial" w:hAnsi="Arial"/>
          <w:sz w:val="22"/>
          <w:szCs w:val="22"/>
        </w:rPr>
        <w:t xml:space="preserve">If the token expires before the client completes the form, generate a new one and re-send.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Completed and verified FORM-02 record in Supabase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Client project file in Google Drive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CRM: `onboarding_stage = complete-verified`, `pipeline_stage = Scoping`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Kickoff scheduled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Quality Controls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invitation sent within 24hr of contract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client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completes FORM-02 within 5 business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80% (follow up if not)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client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 of submission within 24hr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client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file created before kickoff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client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10.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Non-Conformance Handling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Client does not complete FORM-02 after 7 days:</w:t>
      </w:r>
      <w:r>
        <w:rPr>
          <w:rFonts w:ascii="Arial" w:cs="Arial" w:eastAsia="Arial" w:hAnsi="Arial"/>
          <w:sz w:val="22"/>
          <w:szCs w:val="22"/>
        </w:rPr>
        <w:t xml:space="preserve">: Follow up with a direct phone call. If still unresponsive after 14 days, flag in REG-06 and consider delaying project start (per POL-03 Service Delivery Policy).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Documents uploaded are unreadable or corrupt:</w:t>
      </w:r>
      <w:r>
        <w:rPr>
          <w:rFonts w:ascii="Arial" w:cs="Arial" w:eastAsia="Arial" w:hAnsi="Arial"/>
          <w:sz w:val="22"/>
          <w:szCs w:val="22"/>
        </w:rPr>
        <w:t xml:space="preserve">: Notify the client immediately via email with the specific file name(s) and request a re-upload.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Client Onboarding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2026-05-08T00:08:10.935Z</dcterms:created>
  <dcterms:modified xsi:type="dcterms:W3CDTF">2026-05-08T00:08:10.936Z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