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hd w:fill="0F172A" w:val="clear"/>
        <w:spacing w:after="140" w:before="140"/>
        <w:ind w:left="200"/>
      </w:pPr>
      <w:r>
        <w:rPr>
          <w:rFonts w:ascii="Arial" w:cs="Arial" w:eastAsia="Arial" w:hAnsi="Arial"/>
          <w:b/>
          <w:bCs/>
          <w:color w:val="FFFFFF"/>
          <w:sz w:val="22"/>
          <w:szCs w:val="22"/>
        </w:rPr>
        <w:t xml:space="preserve">PREQAL INTEGRATED MANAGEMENT SYSTEM  ·  Controlled Document — Internal Use Only</w:t>
      </w:r>
    </w:p>
    <w:p>
      <w:pPr>
        <w:spacing w:after="60" w:before="120"/>
      </w:pPr>
    </w:p>
    <w:p>
      <w:pPr>
        <w:spacing w:after="60" w:before="240"/>
      </w:pPr>
      <w:r>
        <w:rPr>
          <w:rFonts w:ascii="Arial" w:cs="Arial" w:eastAsia="Arial" w:hAnsi="Arial"/>
          <w:b/>
          <w:bCs/>
          <w:color w:val="0F172A"/>
          <w:sz w:val="44"/>
          <w:szCs w:val="44"/>
        </w:rPr>
        <w:t xml:space="preserve">SOP-08: Billing &amp; Accounts Receivable</w:t>
      </w:r>
    </w:p>
    <w:p>
      <w:pPr>
        <w:spacing w:after="200" w:before="0"/>
      </w:pPr>
      <w:r>
        <w:rPr>
          <w:rFonts w:ascii="Arial" w:cs="Arial" w:eastAsia="Arial" w:hAnsi="Arial"/>
          <w:color w:val="64748B"/>
          <w:sz w:val="24"/>
          <w:szCs w:val="24"/>
        </w:rPr>
        <w:t xml:space="preserve">Standard Operating Procedure</w:t>
      </w:r>
    </w:p>
    <w:p>
      <w:pPr>
        <w:spacing w:after="80" w:before="40"/>
      </w:pP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7480"/>
      </w:tblGrid>
      <w:tr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F172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Document No</w:t>
            </w:r>
          </w:p>
        </w:tc>
        <w:tc>
          <w:tcPr>
            <w:tcW w:type="dxa" w:w="74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F172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Version</w:t>
            </w:r>
          </w:p>
        </w:tc>
        <w:tc>
          <w:tcPr>
            <w:tcW w:type="dxa" w:w="74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1.0</w:t>
            </w:r>
          </w:p>
        </w:tc>
      </w:tr>
      <w:tr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F172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Effective Date</w:t>
            </w:r>
          </w:p>
        </w:tc>
        <w:tc>
          <w:tcPr>
            <w:tcW w:type="dxa" w:w="74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2026-05-07</w:t>
            </w:r>
          </w:p>
        </w:tc>
      </w:tr>
      <w:tr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F172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Document Owner</w:t>
            </w:r>
          </w:p>
        </w:tc>
        <w:tc>
          <w:tcPr>
            <w:tcW w:type="dxa" w:w="74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Dr. Stefan Gravesande</w:t>
            </w:r>
          </w:p>
        </w:tc>
      </w:tr>
      <w:tr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F172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ISO Reference</w:t>
            </w:r>
          </w:p>
        </w:tc>
        <w:tc>
          <w:tcPr>
            <w:tcW w:type="dxa" w:w="74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F172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Related Documents</w:t>
            </w:r>
          </w:p>
        </w:tc>
        <w:tc>
          <w:tcPr>
            <w:tcW w:type="dxa" w:w="74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F172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Classification</w:t>
            </w:r>
          </w:p>
        </w:tc>
        <w:tc>
          <w:tcPr>
            <w:tcW w:type="dxa" w:w="74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Internal — Controlled Document</w:t>
            </w:r>
          </w:p>
        </w:tc>
      </w:tr>
    </w:tbl>
    <w:p>
      <w:pPr>
        <w:spacing w:after="40" w:before="120"/>
      </w:pPr>
    </w:p>
    <w:p>
      <w:pPr>
        <w:pBdr>
          <w:bottom w:val="single" w:color="D97706" w:sz="4"/>
        </w:pBdr>
        <w:spacing w:after="100" w:before="320"/>
      </w:pPr>
      <w:r>
        <w:rPr>
          <w:rFonts w:ascii="Arial" w:cs="Arial" w:eastAsia="Arial" w:hAnsi="Arial"/>
          <w:b/>
          <w:bCs/>
          <w:color w:val="D97706"/>
          <w:sz w:val="27"/>
          <w:szCs w:val="27"/>
        </w:rPr>
        <w:t xml:space="preserve">1. </w:t>
      </w:r>
      <w:r>
        <w:rPr>
          <w:rFonts w:ascii="Arial" w:cs="Arial" w:eastAsia="Arial" w:hAnsi="Arial"/>
          <w:b/>
          <w:bCs/>
          <w:color w:val="0F172A"/>
          <w:sz w:val="27"/>
          <w:szCs w:val="27"/>
        </w:rPr>
        <w:t xml:space="preserve">Purpose</w:t>
      </w:r>
    </w:p>
    <w:p>
      <w:pPr>
        <w:spacing w:after="60" w:before="40"/>
      </w:pPr>
      <w:r>
        <w:rPr>
          <w:rFonts w:ascii="Arial" w:cs="Arial" w:eastAsia="Arial" w:hAnsi="Arial"/>
          <w:sz w:val="22"/>
          <w:szCs w:val="22"/>
        </w:rPr>
        <w:t xml:space="preserve">To ensure all Preqal invoices are issued promptly, tracked systematically, and collected within agreed payment terms — maintaining healthy cash flow and zero tolerance for untracked receivables.</w:t>
      </w:r>
    </w:p>
    <w:p>
      <w:pPr>
        <w:spacing w:after="40" w:before="40"/>
      </w:pPr>
    </w:p>
    <w:p>
      <w:pPr>
        <w:pBdr>
          <w:bottom w:val="single" w:color="D97706" w:sz="4"/>
        </w:pBdr>
        <w:spacing w:after="100" w:before="320"/>
      </w:pPr>
      <w:r>
        <w:rPr>
          <w:rFonts w:ascii="Arial" w:cs="Arial" w:eastAsia="Arial" w:hAnsi="Arial"/>
          <w:b/>
          <w:bCs/>
          <w:color w:val="D97706"/>
          <w:sz w:val="27"/>
          <w:szCs w:val="27"/>
        </w:rPr>
        <w:t xml:space="preserve">2. </w:t>
      </w:r>
      <w:r>
        <w:rPr>
          <w:rFonts w:ascii="Arial" w:cs="Arial" w:eastAsia="Arial" w:hAnsi="Arial"/>
          <w:b/>
          <w:bCs/>
          <w:color w:val="0F172A"/>
          <w:sz w:val="27"/>
          <w:szCs w:val="27"/>
        </w:rPr>
        <w:t xml:space="preserve">Scope</w:t>
      </w:r>
    </w:p>
    <w:p>
      <w:pPr>
        <w:spacing w:after="60" w:before="40"/>
      </w:pPr>
      <w:r>
        <w:rPr>
          <w:rFonts w:ascii="Arial" w:cs="Arial" w:eastAsia="Arial" w:hAnsi="Arial"/>
          <w:sz w:val="22"/>
          <w:szCs w:val="22"/>
        </w:rPr>
        <w:t xml:space="preserve">Applies to all invoices issued by Preqal: deposit invoices (triggered by SOP-04), milestone invoices (triggered during SOP-06), and final invoices (triggered by SOP-07). Includes payment tracking, reminders, and overdue handling.</w:t>
      </w:r>
    </w:p>
    <w:p>
      <w:pPr>
        <w:spacing w:after="40" w:before="40"/>
      </w:pPr>
    </w:p>
    <w:p>
      <w:pPr>
        <w:pBdr>
          <w:bottom w:val="single" w:color="D97706" w:sz="4"/>
        </w:pBdr>
        <w:spacing w:after="100" w:before="320"/>
      </w:pPr>
      <w:r>
        <w:rPr>
          <w:rFonts w:ascii="Arial" w:cs="Arial" w:eastAsia="Arial" w:hAnsi="Arial"/>
          <w:b/>
          <w:bCs/>
          <w:color w:val="D97706"/>
          <w:sz w:val="27"/>
          <w:szCs w:val="27"/>
        </w:rPr>
        <w:t xml:space="preserve">3. </w:t>
      </w:r>
      <w:r>
        <w:rPr>
          <w:rFonts w:ascii="Arial" w:cs="Arial" w:eastAsia="Arial" w:hAnsi="Arial"/>
          <w:b/>
          <w:bCs/>
          <w:color w:val="0F172A"/>
          <w:sz w:val="27"/>
          <w:szCs w:val="27"/>
        </w:rPr>
        <w:t xml:space="preserve">Definitions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40"/>
        <w:gridCol w:w="5040"/>
      </w:tblGrid>
      <w:tr>
        <w:trPr>
          <w:tblHeader/>
        </w:trPr>
        <w:tc>
          <w:tcPr>
            <w:tcW w:type="dxa" w:w="50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F172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Term</w:t>
            </w:r>
          </w:p>
        </w:tc>
        <w:tc>
          <w:tcPr>
            <w:tcW w:type="dxa" w:w="50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F172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Definition</w:t>
            </w:r>
          </w:p>
        </w:tc>
      </w:tr>
      <w:tr>
        <w:trPr>
          <w:tblHeader w:val="false"/>
        </w:trPr>
        <w:tc>
          <w:tcPr>
            <w:tcW w:type="dxa" w:w="50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Invoice</w:t>
            </w:r>
          </w:p>
        </w:tc>
        <w:tc>
          <w:tcPr>
            <w:tcW w:type="dxa" w:w="50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 formal request for payment issued to the client (TPL-04)</w:t>
            </w:r>
          </w:p>
        </w:tc>
      </w:tr>
      <w:tr>
        <w:trPr>
          <w:tblHeader w:val="false"/>
        </w:trPr>
        <w:tc>
          <w:tcPr>
            <w:tcW w:type="dxa" w:w="50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Accounts Receivable (AR)</w:t>
            </w:r>
          </w:p>
        </w:tc>
        <w:tc>
          <w:tcPr>
            <w:tcW w:type="dxa" w:w="50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The total of all invoices issued but not yet paid</w:t>
            </w:r>
          </w:p>
        </w:tc>
      </w:tr>
      <w:tr>
        <w:trPr>
          <w:tblHeader w:val="false"/>
        </w:trPr>
        <w:tc>
          <w:tcPr>
            <w:tcW w:type="dxa" w:w="50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Payment Terms</w:t>
            </w:r>
          </w:p>
        </w:tc>
        <w:tc>
          <w:tcPr>
            <w:tcW w:type="dxa" w:w="50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The number of days within which payment is due after invoice date (default: 14 days)</w:t>
            </w:r>
          </w:p>
        </w:tc>
      </w:tr>
      <w:tr>
        <w:trPr>
          <w:tblHeader w:val="false"/>
        </w:trPr>
        <w:tc>
          <w:tcPr>
            <w:tcW w:type="dxa" w:w="50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Overdue</w:t>
            </w:r>
          </w:p>
        </w:tc>
        <w:tc>
          <w:tcPr>
            <w:tcW w:type="dxa" w:w="50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An invoice where payment terms have been exceeded</w:t>
            </w:r>
          </w:p>
        </w:tc>
      </w:tr>
      <w:tr>
        <w:trPr>
          <w:tblHeader w:val="false"/>
        </w:trPr>
        <w:tc>
          <w:tcPr>
            <w:tcW w:type="dxa" w:w="50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REG-05</w:t>
            </w:r>
          </w:p>
        </w:tc>
        <w:tc>
          <w:tcPr>
            <w:tcW w:type="dxa" w:w="50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The Invoice &amp; Payment Register — the live record of all invoices, amounts, and payment status</w:t>
            </w:r>
          </w:p>
        </w:tc>
      </w:tr>
    </w:tbl>
    <w:p>
      <w:pPr>
        <w:spacing w:after="60" w:before="40"/>
      </w:pPr>
    </w:p>
    <w:p>
      <w:pPr>
        <w:spacing w:after="40" w:before="40"/>
      </w:pPr>
    </w:p>
    <w:p>
      <w:pPr>
        <w:pBdr>
          <w:bottom w:val="single" w:color="D97706" w:sz="4"/>
        </w:pBdr>
        <w:spacing w:after="100" w:before="320"/>
      </w:pPr>
      <w:r>
        <w:rPr>
          <w:rFonts w:ascii="Arial" w:cs="Arial" w:eastAsia="Arial" w:hAnsi="Arial"/>
          <w:b/>
          <w:bCs/>
          <w:color w:val="D97706"/>
          <w:sz w:val="27"/>
          <w:szCs w:val="27"/>
        </w:rPr>
        <w:t xml:space="preserve">4. </w:t>
      </w:r>
      <w:r>
        <w:rPr>
          <w:rFonts w:ascii="Arial" w:cs="Arial" w:eastAsia="Arial" w:hAnsi="Arial"/>
          <w:b/>
          <w:bCs/>
          <w:color w:val="0F172A"/>
          <w:sz w:val="27"/>
          <w:szCs w:val="27"/>
        </w:rPr>
        <w:t xml:space="preserve">Roles &amp; Responsibilities</w:t>
      </w:r>
    </w:p>
    <w:p>
      <w:pPr>
        <w:shd w:fill="F8FAFC" w:val="clear"/>
        <w:spacing w:after="60" w:before="160"/>
        <w:ind w:left="0"/>
      </w:pPr>
      <w:r>
        <w:rPr>
          <w:rFonts w:ascii="Arial" w:cs="Arial" w:eastAsia="Arial" w:hAnsi="Arial"/>
          <w:b/>
          <w:bCs/>
          <w:color w:val="0F172A"/>
          <w:sz w:val="22"/>
          <w:szCs w:val="22"/>
        </w:rPr>
        <w:t xml:space="preserve">🧑  Human Employee Roles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140"/>
        <w:gridCol w:w="4140"/>
        <w:gridCol w:w="1800"/>
      </w:tblGrid>
      <w:tr>
        <w:trPr>
          <w:tblHeader/>
        </w:trPr>
        <w:tc>
          <w:tcPr>
            <w:tcW w:type="dxa" w:w="41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F172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Role</w:t>
            </w:r>
          </w:p>
        </w:tc>
        <w:tc>
          <w:tcPr>
            <w:tcW w:type="dxa" w:w="41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F172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Responsibility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F172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</w:tr>
      <w:tr>
        <w:trPr>
          <w:tblHeader w:val="false"/>
        </w:trPr>
        <w:tc>
          <w:tcPr>
            <w:tcW w:type="dxa" w:w="41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Dr. Gravesande</w:t>
            </w:r>
          </w:p>
        </w:tc>
        <w:tc>
          <w:tcPr>
            <w:tcW w:type="dxa" w:w="41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Issues all invoices; approves write-offs; handles escalated overdue accounts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Human Employee</w:t>
            </w:r>
          </w:p>
        </w:tc>
      </w:tr>
    </w:tbl>
    <w:p>
      <w:pPr>
        <w:spacing w:after="40" w:before="60"/>
      </w:pPr>
    </w:p>
    <w:p>
      <w:pPr>
        <w:shd w:fill="F8FAFC" w:val="clear"/>
        <w:spacing w:after="60" w:before="160"/>
        <w:ind w:left="0"/>
      </w:pPr>
      <w:r>
        <w:rPr>
          <w:rFonts w:ascii="Arial" w:cs="Arial" w:eastAsia="Arial" w:hAnsi="Arial"/>
          <w:b/>
          <w:bCs/>
          <w:color w:val="0F172A"/>
          <w:sz w:val="22"/>
          <w:szCs w:val="22"/>
        </w:rPr>
        <w:t xml:space="preserve">🤖  Agentic Employee Roles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140"/>
        <w:gridCol w:w="4140"/>
        <w:gridCol w:w="1800"/>
      </w:tblGrid>
      <w:tr>
        <w:trPr>
          <w:tblHeader/>
        </w:trPr>
        <w:tc>
          <w:tcPr>
            <w:tcW w:type="dxa" w:w="41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F172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Agent</w:t>
            </w:r>
          </w:p>
        </w:tc>
        <w:tc>
          <w:tcPr>
            <w:tcW w:type="dxa" w:w="41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F172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Responsibility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F172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</w:tr>
      <w:tr>
        <w:trPr>
          <w:tblHeader w:val="false"/>
        </w:trPr>
        <w:tc>
          <w:tcPr>
            <w:tcW w:type="dxa" w:w="41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AR Monitor Agent</w:t>
            </w:r>
          </w:p>
        </w:tc>
        <w:tc>
          <w:tcPr>
            <w:tcW w:type="dxa" w:w="41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Checks REG-05 daily; flags invoices approaching due date (T-2 days); sends automated payment reminders at T+7, T+14; escalates to Dr. Gravesande at T+30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Agentic Employee</w:t>
            </w:r>
          </w:p>
        </w:tc>
      </w:tr>
      <w:tr>
        <w:trPr>
          <w:tblHeader w:val="false"/>
        </w:trPr>
        <w:tc>
          <w:tcPr>
            <w:tcW w:type="dxa" w:w="41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Invoice Agent</w:t>
            </w:r>
          </w:p>
        </w:tc>
        <w:tc>
          <w:tcPr>
            <w:tcW w:type="dxa" w:w="41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Drafts invoices using TPL-04 from project data; submits for Dr. Gravesande review before sending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Agentic Employee</w:t>
            </w:r>
          </w:p>
        </w:tc>
      </w:tr>
    </w:tbl>
    <w:p>
      <w:pPr>
        <w:spacing w:after="40" w:before="60"/>
      </w:pPr>
    </w:p>
    <w:p>
      <w:pPr>
        <w:pBdr>
          <w:left w:val="single" w:color="D97706" w:sz="8"/>
        </w:pBdr>
        <w:shd w:fill="FEF3C7" w:val="clear"/>
        <w:spacing w:after="100" w:before="100"/>
        <w:ind w:left="360" w:right="200"/>
      </w:pPr>
      <w:r>
        <w:rPr>
          <w:rFonts w:ascii="Arial" w:cs="Arial" w:eastAsia="Arial" w:hAnsi="Arial"/>
          <w:i/>
          <w:iCs/>
          <w:color w:val="64748B"/>
          <w:sz w:val="20"/>
          <w:szCs w:val="20"/>
        </w:rPr>
        <w:t xml:space="preserve">⚠  Agentic Note: Agents monitor and remind — they do NOT negotiate payment terms, extend deadlines, or write off balances. These decisions are human-only.</w:t>
      </w:r>
    </w:p>
    <w:p>
      <w:pPr>
        <w:spacing w:after="40" w:before="40"/>
      </w:pPr>
    </w:p>
    <w:p>
      <w:pPr>
        <w:pBdr>
          <w:bottom w:val="single" w:color="D97706" w:sz="4"/>
        </w:pBdr>
        <w:spacing w:after="100" w:before="320"/>
      </w:pPr>
      <w:r>
        <w:rPr>
          <w:rFonts w:ascii="Arial" w:cs="Arial" w:eastAsia="Arial" w:hAnsi="Arial"/>
          <w:b/>
          <w:bCs/>
          <w:color w:val="D97706"/>
          <w:sz w:val="27"/>
          <w:szCs w:val="27"/>
        </w:rPr>
        <w:t xml:space="preserve">5. </w:t>
      </w:r>
      <w:r>
        <w:rPr>
          <w:rFonts w:ascii="Arial" w:cs="Arial" w:eastAsia="Arial" w:hAnsi="Arial"/>
          <w:b/>
          <w:bCs/>
          <w:color w:val="0F172A"/>
          <w:sz w:val="27"/>
          <w:szCs w:val="27"/>
        </w:rPr>
        <w:t xml:space="preserve">Invoice Schedule</w:t>
      </w:r>
    </w:p>
    <w:p>
      <w:pPr>
        <w:spacing w:after="60" w:before="40"/>
      </w:pPr>
      <w:r>
        <w:rPr>
          <w:rFonts w:ascii="Arial" w:cs="Arial" w:eastAsia="Arial" w:hAnsi="Arial"/>
          <w:sz w:val="22"/>
          <w:szCs w:val="22"/>
        </w:rPr>
        <w:t xml:space="preserve">Every project generates the following invoices in sequence: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20"/>
        <w:gridCol w:w="2520"/>
        <w:gridCol w:w="2520"/>
        <w:gridCol w:w="2520"/>
      </w:tblGrid>
      <w:tr>
        <w:trPr>
          <w:tblHeader/>
        </w:trPr>
        <w:tc>
          <w:tcPr>
            <w:tcW w:type="dxa" w:w="25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F172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Invoice Type</w:t>
            </w:r>
          </w:p>
        </w:tc>
        <w:tc>
          <w:tcPr>
            <w:tcW w:type="dxa" w:w="25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F172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Trigger</w:t>
            </w:r>
          </w:p>
        </w:tc>
        <w:tc>
          <w:tcPr>
            <w:tcW w:type="dxa" w:w="25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F172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% of Total</w:t>
            </w:r>
          </w:p>
        </w:tc>
        <w:tc>
          <w:tcPr>
            <w:tcW w:type="dxa" w:w="25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F172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Due</w:t>
            </w:r>
          </w:p>
        </w:tc>
      </w:tr>
      <w:tr>
        <w:trPr>
          <w:tblHeader w:val="false"/>
        </w:trPr>
        <w:tc>
          <w:tcPr>
            <w:tcW w:type="dxa" w:w="25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Deposit Invoice</w:t>
            </w:r>
          </w:p>
        </w:tc>
        <w:tc>
          <w:tcPr>
            <w:tcW w:type="dxa" w:w="25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Contract execution (SOP-04)</w:t>
            </w:r>
          </w:p>
        </w:tc>
        <w:tc>
          <w:tcPr>
            <w:tcW w:type="dxa" w:w="25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30–50%</w:t>
            </w:r>
          </w:p>
        </w:tc>
        <w:tc>
          <w:tcPr>
            <w:tcW w:type="dxa" w:w="25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5 business days</w:t>
            </w:r>
          </w:p>
        </w:tc>
      </w:tr>
      <w:tr>
        <w:trPr>
          <w:tblHeader w:val="false"/>
        </w:trPr>
        <w:tc>
          <w:tcPr>
            <w:tcW w:type="dxa" w:w="25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Milestone Invoice(s)</w:t>
            </w:r>
          </w:p>
        </w:tc>
        <w:tc>
          <w:tcPr>
            <w:tcW w:type="dxa" w:w="25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Defined in contract (e.g., phase completion)</w:t>
            </w:r>
          </w:p>
        </w:tc>
        <w:tc>
          <w:tcPr>
            <w:tcW w:type="dxa" w:w="25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As per contract</w:t>
            </w:r>
          </w:p>
        </w:tc>
        <w:tc>
          <w:tcPr>
            <w:tcW w:type="dxa" w:w="25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14 days</w:t>
            </w:r>
          </w:p>
        </w:tc>
      </w:tr>
      <w:tr>
        <w:trPr>
          <w:tblHeader w:val="false"/>
        </w:trPr>
        <w:tc>
          <w:tcPr>
            <w:tcW w:type="dxa" w:w="25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Final Invoice</w:t>
            </w:r>
          </w:p>
        </w:tc>
        <w:tc>
          <w:tcPr>
            <w:tcW w:type="dxa" w:w="25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Handover acceptance (SOP-07)</w:t>
            </w:r>
          </w:p>
        </w:tc>
        <w:tc>
          <w:tcPr>
            <w:tcW w:type="dxa" w:w="25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Remaining balance</w:t>
            </w:r>
          </w:p>
        </w:tc>
        <w:tc>
          <w:tcPr>
            <w:tcW w:type="dxa" w:w="25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14 days</w:t>
            </w:r>
          </w:p>
        </w:tc>
      </w:tr>
    </w:tbl>
    <w:p>
      <w:pPr>
        <w:spacing w:after="60" w:before="40"/>
      </w:pPr>
    </w:p>
    <w:p>
      <w:pPr>
        <w:spacing w:after="40" w:before="40"/>
      </w:pPr>
    </w:p>
    <w:p>
      <w:pPr>
        <w:pBdr>
          <w:bottom w:val="single" w:color="D97706" w:sz="4"/>
        </w:pBdr>
        <w:spacing w:after="100" w:before="320"/>
      </w:pPr>
      <w:r>
        <w:rPr>
          <w:rFonts w:ascii="Arial" w:cs="Arial" w:eastAsia="Arial" w:hAnsi="Arial"/>
          <w:b/>
          <w:bCs/>
          <w:color w:val="D97706"/>
          <w:sz w:val="27"/>
          <w:szCs w:val="27"/>
        </w:rPr>
        <w:t xml:space="preserve">6. </w:t>
      </w:r>
      <w:r>
        <w:rPr>
          <w:rFonts w:ascii="Arial" w:cs="Arial" w:eastAsia="Arial" w:hAnsi="Arial"/>
          <w:b/>
          <w:bCs/>
          <w:color w:val="0F172A"/>
          <w:sz w:val="27"/>
          <w:szCs w:val="27"/>
        </w:rPr>
        <w:t xml:space="preserve">Procedure</w:t>
      </w:r>
    </w:p>
    <w:p>
      <w:pPr>
        <w:pBdr>
          <w:left w:val="single" w:color="F59E0B" w:sz="6"/>
        </w:pBdr>
        <w:spacing w:after="60" w:before="180"/>
        <w:ind w:left="120"/>
      </w:pPr>
      <w:r>
        <w:rPr>
          <w:rFonts w:ascii="Arial" w:cs="Arial" w:eastAsia="Arial" w:hAnsi="Arial"/>
          <w:b/>
          <w:bCs/>
          <w:color w:val="334155"/>
          <w:sz w:val="22"/>
          <w:szCs w:val="22"/>
        </w:rPr>
        <w:t xml:space="preserve">Step 1 — Issue Invoice</w:t>
      </w:r>
    </w:p>
    <w:p>
      <w:pPr>
        <w:spacing w:after="60" w:before="60"/>
        <w:ind w:left="360"/>
      </w:pPr>
      <w:r>
        <w:rPr>
          <w:rFonts w:ascii="Arial" w:cs="Arial" w:eastAsia="Arial" w:hAnsi="Arial"/>
          <w:b/>
          <w:bCs/>
          <w:color w:val="D97706"/>
          <w:sz w:val="22"/>
          <w:szCs w:val="22"/>
        </w:rPr>
        <w:t xml:space="preserve">1.1.  </w:t>
      </w:r>
      <w:r>
        <w:rPr>
          <w:rFonts w:ascii="Arial" w:cs="Arial" w:eastAsia="Arial" w:hAnsi="Arial"/>
          <w:sz w:val="22"/>
          <w:szCs w:val="22"/>
        </w:rPr>
        <w:t xml:space="preserve">Prepare invoice using TPL-04 (Invoice Template). Each invoice must include:</w:t>
      </w:r>
    </w:p>
    <w:p>
      <w:pPr>
        <w:pStyle w:val="ListParagraph"/>
        <w:numPr>
          <w:ilvl w:val="0"/>
          <w:numId w:val="1"/>
        </w:numPr>
        <w:spacing w:after="30" w:before="30"/>
        <w:ind w:left="540" w:hanging="360"/>
      </w:pPr>
      <w:r>
        <w:rPr>
          <w:rFonts w:ascii="Arial" w:cs="Arial" w:eastAsia="Arial" w:hAnsi="Arial"/>
          <w:sz w:val="22"/>
          <w:szCs w:val="22"/>
        </w:rPr>
        <w:t xml:space="preserve">Invoice number (format: PRQ-[YEAR]-[###] e.g., PRQ-2026-001)</w:t>
      </w:r>
    </w:p>
    <w:p>
      <w:pPr>
        <w:pStyle w:val="ListParagraph"/>
        <w:numPr>
          <w:ilvl w:val="0"/>
          <w:numId w:val="1"/>
        </w:numPr>
        <w:spacing w:after="30" w:before="30"/>
        <w:ind w:left="540" w:hanging="360"/>
      </w:pPr>
      <w:r>
        <w:rPr>
          <w:rFonts w:ascii="Arial" w:cs="Arial" w:eastAsia="Arial" w:hAnsi="Arial"/>
          <w:sz w:val="22"/>
          <w:szCs w:val="22"/>
        </w:rPr>
        <w:t xml:space="preserve">Invoice date</w:t>
      </w:r>
    </w:p>
    <w:p>
      <w:pPr>
        <w:pStyle w:val="ListParagraph"/>
        <w:numPr>
          <w:ilvl w:val="0"/>
          <w:numId w:val="1"/>
        </w:numPr>
        <w:spacing w:after="30" w:before="30"/>
        <w:ind w:left="540" w:hanging="360"/>
      </w:pPr>
      <w:r>
        <w:rPr>
          <w:rFonts w:ascii="Arial" w:cs="Arial" w:eastAsia="Arial" w:hAnsi="Arial"/>
          <w:sz w:val="22"/>
          <w:szCs w:val="22"/>
        </w:rPr>
        <w:t xml:space="preserve">Client company name and billing address</w:t>
      </w:r>
    </w:p>
    <w:p>
      <w:pPr>
        <w:pStyle w:val="ListParagraph"/>
        <w:numPr>
          <w:ilvl w:val="0"/>
          <w:numId w:val="1"/>
        </w:numPr>
        <w:spacing w:after="30" w:before="30"/>
        <w:ind w:left="540" w:hanging="360"/>
      </w:pPr>
      <w:r>
        <w:rPr>
          <w:rFonts w:ascii="Arial" w:cs="Arial" w:eastAsia="Arial" w:hAnsi="Arial"/>
          <w:sz w:val="22"/>
          <w:szCs w:val="22"/>
        </w:rPr>
        <w:t xml:space="preserve">Preqal name, address, and contact details</w:t>
      </w:r>
    </w:p>
    <w:p>
      <w:pPr>
        <w:pStyle w:val="ListParagraph"/>
        <w:numPr>
          <w:ilvl w:val="0"/>
          <w:numId w:val="1"/>
        </w:numPr>
        <w:spacing w:after="30" w:before="30"/>
        <w:ind w:left="540" w:hanging="360"/>
      </w:pPr>
      <w:r>
        <w:rPr>
          <w:rFonts w:ascii="Arial" w:cs="Arial" w:eastAsia="Arial" w:hAnsi="Arial"/>
          <w:sz w:val="22"/>
          <w:szCs w:val="22"/>
        </w:rPr>
        <w:t xml:space="preserve">Description of services (reference the project phase or milestone)</w:t>
      </w:r>
    </w:p>
    <w:p>
      <w:pPr>
        <w:pStyle w:val="ListParagraph"/>
        <w:numPr>
          <w:ilvl w:val="0"/>
          <w:numId w:val="1"/>
        </w:numPr>
        <w:spacing w:after="30" w:before="30"/>
        <w:ind w:left="540" w:hanging="360"/>
      </w:pPr>
      <w:r>
        <w:rPr>
          <w:rFonts w:ascii="Arial" w:cs="Arial" w:eastAsia="Arial" w:hAnsi="Arial"/>
          <w:sz w:val="22"/>
          <w:szCs w:val="22"/>
        </w:rPr>
        <w:t xml:space="preserve">Amount (excluding and including applicable taxes)</w:t>
      </w:r>
    </w:p>
    <w:p>
      <w:pPr>
        <w:pStyle w:val="ListParagraph"/>
        <w:numPr>
          <w:ilvl w:val="0"/>
          <w:numId w:val="1"/>
        </w:numPr>
        <w:spacing w:after="30" w:before="30"/>
        <w:ind w:left="540" w:hanging="360"/>
      </w:pPr>
      <w:r>
        <w:rPr>
          <w:rFonts w:ascii="Arial" w:cs="Arial" w:eastAsia="Arial" w:hAnsi="Arial"/>
          <w:sz w:val="22"/>
          <w:szCs w:val="22"/>
        </w:rPr>
        <w:t xml:space="preserve">Payment terms: "Payment due within [X] days of invoice date"</w:t>
      </w:r>
    </w:p>
    <w:p>
      <w:pPr>
        <w:pStyle w:val="ListParagraph"/>
        <w:numPr>
          <w:ilvl w:val="0"/>
          <w:numId w:val="1"/>
        </w:numPr>
        <w:spacing w:after="30" w:before="30"/>
        <w:ind w:left="540" w:hanging="360"/>
      </w:pPr>
      <w:r>
        <w:rPr>
          <w:rFonts w:ascii="Arial" w:cs="Arial" w:eastAsia="Arial" w:hAnsi="Arial"/>
          <w:sz w:val="22"/>
          <w:szCs w:val="22"/>
        </w:rPr>
        <w:t xml:space="preserve">Bank/payment details (account name, account number, bank name, branch)</w:t>
      </w:r>
    </w:p>
    <w:p>
      <w:pPr>
        <w:spacing w:after="60" w:before="60"/>
        <w:ind w:left="360"/>
      </w:pPr>
      <w:r>
        <w:rPr>
          <w:rFonts w:ascii="Arial" w:cs="Arial" w:eastAsia="Arial" w:hAnsi="Arial"/>
          <w:b/>
          <w:bCs/>
          <w:color w:val="D97706"/>
          <w:sz w:val="22"/>
          <w:szCs w:val="22"/>
        </w:rPr>
        <w:t xml:space="preserve">1.2.  </w:t>
      </w:r>
      <w:r>
        <w:rPr>
          <w:rFonts w:ascii="Arial" w:cs="Arial" w:eastAsia="Arial" w:hAnsi="Arial"/>
          <w:sz w:val="22"/>
          <w:szCs w:val="22"/>
        </w:rPr>
        <w:t xml:space="preserve">Dr. Gravesande reviews draft invoice before sending.</w:t>
      </w:r>
    </w:p>
    <w:p>
      <w:pPr>
        <w:spacing w:after="60" w:before="60"/>
        <w:ind w:left="360"/>
      </w:pPr>
      <w:r>
        <w:rPr>
          <w:rFonts w:ascii="Arial" w:cs="Arial" w:eastAsia="Arial" w:hAnsi="Arial"/>
          <w:b/>
          <w:bCs/>
          <w:color w:val="D97706"/>
          <w:sz w:val="22"/>
          <w:szCs w:val="22"/>
        </w:rPr>
        <w:t xml:space="preserve">1.3.  </w:t>
      </w:r>
      <w:r>
        <w:rPr>
          <w:rFonts w:ascii="Arial" w:cs="Arial" w:eastAsia="Arial" w:hAnsi="Arial"/>
          <w:sz w:val="22"/>
          <w:szCs w:val="22"/>
        </w:rPr>
        <w:t xml:space="preserve">Send via email using TPL-12 (Invoice Cover Email template).</w:t>
      </w:r>
    </w:p>
    <w:p>
      <w:pPr>
        <w:spacing w:after="60" w:before="60"/>
        <w:ind w:left="360"/>
      </w:pPr>
      <w:r>
        <w:rPr>
          <w:rFonts w:ascii="Arial" w:cs="Arial" w:eastAsia="Arial" w:hAnsi="Arial"/>
          <w:b/>
          <w:bCs/>
          <w:color w:val="D97706"/>
          <w:sz w:val="22"/>
          <w:szCs w:val="22"/>
        </w:rPr>
        <w:t xml:space="preserve">1.4.  </w:t>
      </w:r>
      <w:r>
        <w:rPr>
          <w:rFonts w:ascii="Arial" w:cs="Arial" w:eastAsia="Arial" w:hAnsi="Arial"/>
          <w:sz w:val="22"/>
          <w:szCs w:val="22"/>
        </w:rPr>
        <w:t xml:space="preserve">Attach invoice as PDF.</w:t>
      </w:r>
    </w:p>
    <w:p>
      <w:pPr>
        <w:spacing w:after="40" w:before="40"/>
      </w:pPr>
    </w:p>
    <w:p>
      <w:pPr>
        <w:pBdr>
          <w:bottom w:val="single" w:color="D97706" w:sz="4"/>
        </w:pBdr>
        <w:spacing w:after="100" w:before="320"/>
      </w:pPr>
      <w:r>
        <w:rPr>
          <w:rFonts w:ascii="Arial" w:cs="Arial" w:eastAsia="Arial" w:hAnsi="Arial"/>
          <w:b/>
          <w:bCs/>
          <w:color w:val="D97706"/>
          <w:sz w:val="27"/>
          <w:szCs w:val="27"/>
        </w:rPr>
        <w:t xml:space="preserve">7. </w:t>
      </w:r>
      <w:r>
        <w:rPr>
          <w:rFonts w:ascii="Arial" w:cs="Arial" w:eastAsia="Arial" w:hAnsi="Arial"/>
          <w:b/>
          <w:bCs/>
          <w:color w:val="0F172A"/>
          <w:sz w:val="27"/>
          <w:szCs w:val="27"/>
        </w:rPr>
        <w:t xml:space="preserve">Outputs</w:t>
      </w:r>
    </w:p>
    <w:p>
      <w:pPr>
        <w:pStyle w:val="ListParagraph"/>
        <w:numPr>
          <w:ilvl w:val="0"/>
          <w:numId w:val="1"/>
        </w:numPr>
        <w:spacing w:after="30" w:before="30"/>
        <w:ind w:left="540" w:hanging="360"/>
      </w:pPr>
      <w:r>
        <w:rPr>
          <w:rFonts w:ascii="Arial" w:cs="Arial" w:eastAsia="Arial" w:hAnsi="Arial"/>
          <w:sz w:val="22"/>
          <w:szCs w:val="22"/>
        </w:rPr>
        <w:t xml:space="preserve">Invoice sent and recorded in REG-05</w:t>
      </w:r>
    </w:p>
    <w:p>
      <w:pPr>
        <w:pStyle w:val="ListParagraph"/>
        <w:numPr>
          <w:ilvl w:val="0"/>
          <w:numId w:val="1"/>
        </w:numPr>
        <w:spacing w:after="30" w:before="30"/>
        <w:ind w:left="540" w:hanging="360"/>
      </w:pPr>
      <w:r>
        <w:rPr>
          <w:rFonts w:ascii="Arial" w:cs="Arial" w:eastAsia="Arial" w:hAnsi="Arial"/>
          <w:sz w:val="22"/>
          <w:szCs w:val="22"/>
        </w:rPr>
        <w:t xml:space="preserve">Payment confirmation sent on receipt</w:t>
      </w:r>
    </w:p>
    <w:p>
      <w:pPr>
        <w:pStyle w:val="ListParagraph"/>
        <w:numPr>
          <w:ilvl w:val="0"/>
          <w:numId w:val="1"/>
        </w:numPr>
        <w:spacing w:after="30" w:before="30"/>
        <w:ind w:left="540" w:hanging="360"/>
      </w:pPr>
      <w:r>
        <w:rPr>
          <w:rFonts w:ascii="Arial" w:cs="Arial" w:eastAsia="Arial" w:hAnsi="Arial"/>
          <w:sz w:val="22"/>
          <w:szCs w:val="22"/>
        </w:rPr>
        <w:t xml:space="preserve">Overdue invoices escalated and resolved</w:t>
      </w:r>
    </w:p>
    <w:p>
      <w:pPr>
        <w:pStyle w:val="ListParagraph"/>
        <w:numPr>
          <w:ilvl w:val="0"/>
          <w:numId w:val="1"/>
        </w:numPr>
        <w:spacing w:after="30" w:before="30"/>
        <w:ind w:left="540" w:hanging="360"/>
      </w:pPr>
      <w:r>
        <w:rPr>
          <w:rFonts w:ascii="Arial" w:cs="Arial" w:eastAsia="Arial" w:hAnsi="Arial"/>
          <w:sz w:val="22"/>
          <w:szCs w:val="22"/>
        </w:rPr>
        <w:t xml:space="preserve">Monthly AR review completed</w:t>
      </w:r>
    </w:p>
    <w:p>
      <w:pPr>
        <w:spacing w:after="40" w:before="40"/>
      </w:pPr>
    </w:p>
    <w:p>
      <w:pPr>
        <w:pBdr>
          <w:bottom w:val="single" w:color="D97706" w:sz="4"/>
        </w:pBdr>
        <w:spacing w:after="100" w:before="320"/>
      </w:pPr>
      <w:r>
        <w:rPr>
          <w:rFonts w:ascii="Arial" w:cs="Arial" w:eastAsia="Arial" w:hAnsi="Arial"/>
          <w:b/>
          <w:bCs/>
          <w:color w:val="D97706"/>
          <w:sz w:val="27"/>
          <w:szCs w:val="27"/>
        </w:rPr>
        <w:t xml:space="preserve">8. </w:t>
      </w:r>
      <w:r>
        <w:rPr>
          <w:rFonts w:ascii="Arial" w:cs="Arial" w:eastAsia="Arial" w:hAnsi="Arial"/>
          <w:b/>
          <w:bCs/>
          <w:color w:val="0F172A"/>
          <w:sz w:val="27"/>
          <w:szCs w:val="27"/>
        </w:rPr>
        <w:t xml:space="preserve">Quality Controls &amp; KPIs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360"/>
        <w:gridCol w:w="3360"/>
        <w:gridCol w:w="3360"/>
      </w:tblGrid>
      <w:tr>
        <w:trPr>
          <w:tblHeader/>
        </w:trPr>
        <w:tc>
          <w:tcPr>
            <w:tcW w:type="dxa" w:w="3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F172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Metric</w:t>
            </w:r>
          </w:p>
        </w:tc>
        <w:tc>
          <w:tcPr>
            <w:tcW w:type="dxa" w:w="3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F172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Target</w:t>
            </w:r>
          </w:p>
        </w:tc>
        <w:tc>
          <w:tcPr>
            <w:tcW w:type="dxa" w:w="3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F172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Review Frequency</w:t>
            </w:r>
          </w:p>
        </w:tc>
      </w:tr>
      <w:tr>
        <w:trPr>
          <w:tblHeader w:val="false"/>
        </w:trPr>
        <w:tc>
          <w:tcPr>
            <w:tcW w:type="dxa" w:w="3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Invoice issued within 24hr of trigger event</w:t>
            </w:r>
          </w:p>
        </w:tc>
        <w:tc>
          <w:tcPr>
            <w:tcW w:type="dxa" w:w="3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100%</w:t>
            </w:r>
          </w:p>
        </w:tc>
        <w:tc>
          <w:tcPr>
            <w:tcW w:type="dxa" w:w="3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Per invoice</w:t>
            </w:r>
          </w:p>
        </w:tc>
      </w:tr>
      <w:tr>
        <w:trPr>
          <w:tblHeader w:val="false"/>
        </w:trPr>
        <w:tc>
          <w:tcPr>
            <w:tcW w:type="dxa" w:w="3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Days Sales Outstanding (DSO)</w:t>
            </w:r>
          </w:p>
        </w:tc>
        <w:tc>
          <w:tcPr>
            <w:tcW w:type="dxa" w:w="3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≤ 21 days</w:t>
            </w:r>
          </w:p>
        </w:tc>
        <w:tc>
          <w:tcPr>
            <w:tcW w:type="dxa" w:w="3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Monthly</w:t>
            </w:r>
          </w:p>
        </w:tc>
      </w:tr>
      <w:tr>
        <w:trPr>
          <w:tblHeader w:val="false"/>
        </w:trPr>
        <w:tc>
          <w:tcPr>
            <w:tcW w:type="dxa" w:w="3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Invoices paid within terms</w:t>
            </w:r>
          </w:p>
        </w:tc>
        <w:tc>
          <w:tcPr>
            <w:tcW w:type="dxa" w:w="3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≥ 85%</w:t>
            </w:r>
          </w:p>
        </w:tc>
        <w:tc>
          <w:tcPr>
            <w:tcW w:type="dxa" w:w="3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Monthly</w:t>
            </w:r>
          </w:p>
        </w:tc>
      </w:tr>
      <w:tr>
        <w:trPr>
          <w:tblHeader w:val="false"/>
        </w:trPr>
        <w:tc>
          <w:tcPr>
            <w:tcW w:type="dxa" w:w="3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Overdue invoices (30+ days)</w:t>
            </w:r>
          </w:p>
        </w:tc>
        <w:tc>
          <w:tcPr>
            <w:tcW w:type="dxa" w:w="3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0 unmanaged</w:t>
            </w:r>
          </w:p>
        </w:tc>
        <w:tc>
          <w:tcPr>
            <w:tcW w:type="dxa" w:w="3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Monthly</w:t>
            </w:r>
          </w:p>
        </w:tc>
      </w:tr>
      <w:tr>
        <w:trPr>
          <w:tblHeader w:val="false"/>
        </w:trPr>
        <w:tc>
          <w:tcPr>
            <w:tcW w:type="dxa" w:w="3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Invoice recording completeness</w:t>
            </w:r>
          </w:p>
        </w:tc>
        <w:tc>
          <w:tcPr>
            <w:tcW w:type="dxa" w:w="3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100% in REG-05</w:t>
            </w:r>
          </w:p>
        </w:tc>
        <w:tc>
          <w:tcPr>
            <w:tcW w:type="dxa" w:w="3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Per invoice</w:t>
            </w:r>
          </w:p>
        </w:tc>
      </w:tr>
    </w:tbl>
    <w:p>
      <w:pPr>
        <w:spacing w:after="60" w:before="40"/>
      </w:pPr>
    </w:p>
    <w:p>
      <w:pPr>
        <w:spacing w:after="40" w:before="40"/>
      </w:pPr>
    </w:p>
    <w:p>
      <w:pPr>
        <w:pBdr>
          <w:bottom w:val="single" w:color="D97706" w:sz="4"/>
        </w:pBdr>
        <w:spacing w:after="100" w:before="320"/>
      </w:pPr>
      <w:r>
        <w:rPr>
          <w:rFonts w:ascii="Arial" w:cs="Arial" w:eastAsia="Arial" w:hAnsi="Arial"/>
          <w:b/>
          <w:bCs/>
          <w:color w:val="D97706"/>
          <w:sz w:val="27"/>
          <w:szCs w:val="27"/>
        </w:rPr>
        <w:t xml:space="preserve">9. </w:t>
      </w:r>
      <w:r>
        <w:rPr>
          <w:rFonts w:ascii="Arial" w:cs="Arial" w:eastAsia="Arial" w:hAnsi="Arial"/>
          <w:b/>
          <w:bCs/>
          <w:color w:val="0F172A"/>
          <w:sz w:val="27"/>
          <w:szCs w:val="27"/>
        </w:rPr>
        <w:t xml:space="preserve">Non-Conformance Handling</w:t>
      </w:r>
    </w:p>
    <w:p>
      <w:pPr>
        <w:spacing w:after="40" w:before="60"/>
      </w:pPr>
      <w:r>
        <w:rPr>
          <w:rFonts w:ascii="Arial" w:cs="Arial" w:eastAsia="Arial" w:hAnsi="Arial"/>
          <w:b/>
          <w:bCs/>
          <w:color w:val="334155"/>
          <w:sz w:val="22"/>
          <w:szCs w:val="22"/>
        </w:rPr>
        <w:t xml:space="preserve">Invoice sent with wrong amount:</w:t>
      </w:r>
      <w:r>
        <w:rPr>
          <w:rFonts w:ascii="Arial" w:cs="Arial" w:eastAsia="Arial" w:hAnsi="Arial"/>
          <w:sz w:val="22"/>
          <w:szCs w:val="22"/>
        </w:rPr>
        <w:t xml:space="preserve">: Issue a credit note for the original invoice and reissue with the correct amount. Log in REG-06. Never simply send a "corrected" version without voiding the original.</w:t>
      </w:r>
    </w:p>
    <w:p>
      <w:pPr>
        <w:spacing w:after="40" w:before="60"/>
      </w:pPr>
      <w:r>
        <w:rPr>
          <w:rFonts w:ascii="Arial" w:cs="Arial" w:eastAsia="Arial" w:hAnsi="Arial"/>
          <w:b/>
          <w:bCs/>
          <w:color w:val="334155"/>
          <w:sz w:val="22"/>
          <w:szCs w:val="22"/>
        </w:rPr>
        <w:t xml:space="preserve">Client disputes a charge:</w:t>
      </w:r>
      <w:r>
        <w:rPr>
          <w:rFonts w:ascii="Arial" w:cs="Arial" w:eastAsia="Arial" w:hAnsi="Arial"/>
          <w:sz w:val="22"/>
          <w:szCs w:val="22"/>
        </w:rPr>
        <w:t xml:space="preserve">: Investigate within 2 business days. If error is Preqal's: correct and reissue. If dispute is unfounded: provide written evidence of services rendered and request payment.</w:t>
      </w:r>
    </w:p>
    <w:p>
      <w:pPr>
        <w:spacing w:after="40" w:before="40"/>
      </w:pPr>
    </w:p>
    <w:sectPr>
      <w:headerReference w:type="default" r:id="rId7"/>
      <w:footerReference w:type="default" r:id="rId8"/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E2E8F0" w:sz="1"/>
      </w:pBdr>
      <w:tabs>
        <w:tab w:val="right" w:pos="9880"/>
      </w:tabs>
      <w:spacing w:after="60" w:before="80"/>
    </w:pPr>
    <w:r>
      <w:rPr>
        <w:rFonts w:ascii="Arial" w:cs="Arial" w:eastAsia="Arial" w:hAnsi="Arial"/>
        <w:color w:val="94A3B8"/>
        <w:sz w:val="18"/>
        <w:szCs w:val="18"/>
      </w:rPr>
      <w:t xml:space="preserve">  ·  v1.0  ·  2026-05-07</w:t>
    </w:r>
    <w:r>
      <w:rPr>
        <w:rFonts w:ascii="Arial" w:cs="Arial" w:eastAsia="Arial" w:hAnsi="Arial"/>
        <w:sz w:val="18"/>
        <w:szCs w:val="18"/>
      </w:rPr>
      <w:t xml:space="preserve">	</w:t>
    </w:r>
    <w:r>
      <w:rPr>
        <w:rFonts w:ascii="Arial" w:cs="Arial" w:eastAsia="Arial" w:hAnsi="Arial"/>
        <w:color w:val="94A3B8"/>
        <w:sz w:val="18"/>
        <w:szCs w:val="18"/>
      </w:rPr>
      <w:t xml:space="preserve">Page </w:t>
    </w:r>
    <w:r>
      <w:rPr>
        <w:rFonts w:ascii="Arial" w:cs="Arial" w:eastAsia="Arial" w:hAnsi="Arial"/>
        <w:color w:val="94A3B8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94A3B8"/>
        <w:sz w:val="18"/>
        <w:szCs w:val="18"/>
      </w:rPr>
      <w:t xml:space="preserve"> / </w:t>
    </w:r>
    <w:r>
      <w:rPr>
        <w:rFonts w:ascii="Arial" w:cs="Arial" w:eastAsia="Arial" w:hAnsi="Arial"/>
        <w:color w:val="94A3B8"/>
        <w:sz w:val="18"/>
        <w:szCs w:val="18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E2E8F0" w:sz="1"/>
      </w:pBdr>
      <w:tabs>
        <w:tab w:val="right" w:pos="9880"/>
      </w:tabs>
      <w:spacing w:after="80" w:before="80"/>
    </w:pPr>
    <w:r>
      <w:rPr>
        <w:rFonts w:ascii="Arial" w:cs="Arial" w:eastAsia="Arial" w:hAnsi="Arial"/>
        <w:b/>
        <w:bCs/>
        <w:color w:val="D97706"/>
        <w:sz w:val="24"/>
        <w:szCs w:val="24"/>
      </w:rPr>
      <w:t xml:space="preserve">PREQAL</w:t>
    </w:r>
    <w:r>
      <w:rPr>
        <w:rFonts w:ascii="Arial" w:cs="Arial" w:eastAsia="Arial" w:hAnsi="Arial"/>
        <w:color w:val="475569"/>
        <w:sz w:val="22"/>
        <w:szCs w:val="22"/>
      </w:rPr>
      <w:t xml:space="preserve">  ·  </w:t>
    </w:r>
    <w:r>
      <w:rPr>
        <w:rFonts w:ascii="Arial" w:cs="Arial" w:eastAsia="Arial" w:hAnsi="Arial"/>
        <w:color w:val="CBD5E1"/>
        <w:sz w:val="20"/>
        <w:szCs w:val="20"/>
      </w:rPr>
      <w:t xml:space="preserve"> — Billing &amp; Accounts Receivable</w:t>
    </w:r>
    <w:r>
      <w:rPr>
        <w:rFonts w:ascii="Arial" w:cs="Arial" w:eastAsia="Arial" w:hAnsi="Arial"/>
        <w:sz w:val="18"/>
        <w:szCs w:val="18"/>
      </w:rPr>
      <w:t xml:space="preserve">	</w:t>
    </w:r>
    <w:r>
      <w:rPr>
        <w:rFonts w:ascii="Arial" w:cs="Arial" w:eastAsia="Arial" w:hAnsi="Arial"/>
        <w:i/>
        <w:iCs/>
        <w:color w:val="94A3B8"/>
        <w:sz w:val="16"/>
        <w:szCs w:val="16"/>
      </w:rPr>
      <w:t xml:space="preserve">Confidential — Internal Use Only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2026-05-08T00:08:11.006Z</dcterms:created>
  <dcterms:modified xsi:type="dcterms:W3CDTF">2026-05-08T00:08:11.006Z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