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60" w:before="12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SOP-01: Marketing &amp; Lead Generation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p>
      <w:pPr>
        <w:spacing w:after="8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after="40" w:before="120"/>
      </w:pPr>
    </w:p>
    <w:p>
      <w:pPr>
        <w:pBdr>
          <w:bottom w:val="single" w:color="D97706" w:sz="4"/>
        </w:pBdr>
        <w:spacing w:after="100" w:before="320"/>
      </w:pPr>
      <w:r>
        <w:rPr>
          <w:rFonts w:ascii="Arial" w:cs="Arial" w:eastAsia="Arial" w:hAnsi="Arial"/>
          <w:b/>
          <w:bCs/>
          <w:color w:val="D97706"/>
          <w:sz w:val="27"/>
          <w:szCs w:val="27"/>
        </w:rPr>
        <w:t xml:space="preserve">1. </w:t>
      </w: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Purpose</w:t>
      </w:r>
    </w:p>
    <w:p>
      <w:p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To define how Preqal attracts, engages, and directs qualified prospects toward the lead capture entry point (FORM-01). This SOP ensures all marketing activity is consistent with the Preqal brand, produces measurable results, and feeds a healthy, qualified pipeline.</w:t>
      </w:r>
    </w:p>
    <w:p>
      <w:pPr>
        <w:spacing w:after="40" w:before="40"/>
      </w:pPr>
    </w:p>
    <w:p>
      <w:pPr>
        <w:pBdr>
          <w:bottom w:val="single" w:color="D97706" w:sz="4"/>
        </w:pBdr>
        <w:spacing w:after="100" w:before="320"/>
      </w:pPr>
      <w:r>
        <w:rPr>
          <w:rFonts w:ascii="Arial" w:cs="Arial" w:eastAsia="Arial" w:hAnsi="Arial"/>
          <w:b/>
          <w:bCs/>
          <w:color w:val="D97706"/>
          <w:sz w:val="27"/>
          <w:szCs w:val="27"/>
        </w:rPr>
        <w:t xml:space="preserve">2. </w:t>
      </w: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Scope</w:t>
      </w:r>
    </w:p>
    <w:p>
      <w:p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Applies to all inbound and outbound marketing activities including: website content, blog posts, resource downloads, social media, SEO, referrals, and direct outreach. Applies to human staff and any agentic worker executing marketing tasks.</w:t>
      </w:r>
    </w:p>
    <w:p>
      <w:pPr>
        <w:spacing w:after="40" w:before="40"/>
      </w:pPr>
    </w:p>
    <w:p>
      <w:pPr>
        <w:pBdr>
          <w:bottom w:val="single" w:color="D97706" w:sz="4"/>
        </w:pBdr>
        <w:spacing w:after="100" w:before="320"/>
      </w:pPr>
      <w:r>
        <w:rPr>
          <w:rFonts w:ascii="Arial" w:cs="Arial" w:eastAsia="Arial" w:hAnsi="Arial"/>
          <w:b/>
          <w:bCs/>
          <w:color w:val="D97706"/>
          <w:sz w:val="27"/>
          <w:szCs w:val="27"/>
        </w:rPr>
        <w:t xml:space="preserve">3. </w:t>
      </w: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Definitions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Prospect</w:t>
            </w:r>
          </w:p>
        </w:tc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Any individual or organisation that has not yet submitted FORM-01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Lead</w:t>
            </w:r>
          </w:p>
        </w:tc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prospect who has submitted FORM-01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MQL (Marketing Qualified Lead)</w:t>
            </w:r>
          </w:p>
        </w:tc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lead whose form responses indicate a genuine service need and budget potential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Inbound</w:t>
            </w:r>
          </w:p>
        </w:tc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Prospect contacts Preqal first (via website, referral, search)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Outbound</w:t>
            </w:r>
          </w:p>
        </w:tc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Preqal contacts the prospect first (direct outreach, networking)</w:t>
            </w:r>
          </w:p>
        </w:tc>
      </w:tr>
      <w:tr>
        <w:trPr>
          <w:tblHeader w:val="false"/>
        </w:trPr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CTA</w:t>
            </w:r>
          </w:p>
        </w:tc>
        <w:tc>
          <w:tcPr>
            <w:tcW w:type="dxa" w:w="50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Call to Action — a button, link, or phrase directing the prospect to take the next step</w:t>
            </w:r>
          </w:p>
        </w:tc>
      </w:tr>
    </w:tbl>
    <w:p>
      <w:pPr>
        <w:spacing w:after="60" w:before="40"/>
      </w:pPr>
    </w:p>
    <w:p>
      <w:pPr>
        <w:spacing w:after="40" w:before="40"/>
      </w:pPr>
    </w:p>
    <w:p>
      <w:pPr>
        <w:pBdr>
          <w:bottom w:val="single" w:color="D97706" w:sz="4"/>
        </w:pBdr>
        <w:spacing w:after="100" w:before="320"/>
      </w:pPr>
      <w:r>
        <w:rPr>
          <w:rFonts w:ascii="Arial" w:cs="Arial" w:eastAsia="Arial" w:hAnsi="Arial"/>
          <w:b/>
          <w:bCs/>
          <w:color w:val="D97706"/>
          <w:sz w:val="27"/>
          <w:szCs w:val="27"/>
        </w:rPr>
        <w:t xml:space="preserve">4. </w:t>
      </w: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Roles &amp; Responsibilities</w:t>
      </w:r>
    </w:p>
    <w:p>
      <w:pPr>
        <w:shd w:fill="F8FAFC" w:val="clear"/>
        <w:spacing w:after="60" w:before="160"/>
        <w:ind w:left="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🧑  Human Employee Roles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40"/>
        <w:gridCol w:w="4140"/>
        <w:gridCol w:w="1800"/>
      </w:tblGrid>
      <w:tr>
        <w:trPr>
          <w:tblHeader/>
        </w:trPr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</w:tr>
      <w:tr>
        <w:trPr>
          <w:tblHeader w:val="false"/>
        </w:trPr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Gravesande (Principal)</w:t>
            </w:r>
          </w:p>
        </w:tc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Approves all published content; leads outbound outreach; owns brand voice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Human Employee</w:t>
            </w:r>
          </w:p>
        </w:tc>
      </w:tr>
      <w:tr>
        <w:trPr>
          <w:tblHeader w:val="false"/>
        </w:trPr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Marketing Staff (if applicable)</w:t>
            </w:r>
          </w:p>
        </w:tc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Drafts content, manages social media scheduling, monitors analytics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Human Employee</w:t>
            </w:r>
          </w:p>
        </w:tc>
      </w:tr>
    </w:tbl>
    <w:p>
      <w:pPr>
        <w:spacing w:after="40" w:before="60"/>
      </w:pPr>
    </w:p>
    <w:p>
      <w:pPr>
        <w:shd w:fill="F8FAFC" w:val="clear"/>
        <w:spacing w:after="60" w:before="160"/>
        <w:ind w:left="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🤖  Agentic Employee Roles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40"/>
        <w:gridCol w:w="4140"/>
        <w:gridCol w:w="1800"/>
      </w:tblGrid>
      <w:tr>
        <w:trPr>
          <w:tblHeader/>
        </w:trPr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Agent</w:t>
            </w:r>
          </w:p>
        </w:tc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</w:tr>
      <w:tr>
        <w:trPr>
          <w:tblHeader w:val="false"/>
        </w:trPr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Content Agent</w:t>
            </w:r>
          </w:p>
        </w:tc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Drafts blog posts, social media captions, resource descriptions on instruction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Agentic Employee</w:t>
            </w:r>
          </w:p>
        </w:tc>
      </w:tr>
      <w:tr>
        <w:trPr>
          <w:tblHeader w:val="false"/>
        </w:trPr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SEO Agent</w:t>
            </w:r>
          </w:p>
        </w:tc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Audits on-page SEO, suggests metadata improvements, identifies keyword gaps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Agentic Employee</w:t>
            </w:r>
          </w:p>
        </w:tc>
      </w:tr>
      <w:tr>
        <w:trPr>
          <w:tblHeader w:val="false"/>
        </w:trPr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Analytics Agent</w:t>
            </w:r>
          </w:p>
        </w:tc>
        <w:tc>
          <w:tcPr>
            <w:tcW w:type="dxa" w:w="41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Pulls GA4 traffic data weekly; flags pages with high bounce or declining traffic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Agentic Employee</w:t>
            </w:r>
          </w:p>
        </w:tc>
      </w:tr>
    </w:tbl>
    <w:p>
      <w:pPr>
        <w:spacing w:after="40" w:before="60"/>
      </w:pPr>
    </w:p>
    <w:p>
      <w:pPr>
        <w:pBdr>
          <w:left w:val="single" w:color="D97706" w:sz="8"/>
        </w:pBdr>
        <w:shd w:fill="FEF3C7" w:val="clear"/>
        <w:spacing w:after="100" w:before="100"/>
        <w:ind w:left="360" w:right="200"/>
      </w:pPr>
      <w:r>
        <w:rPr>
          <w:rFonts w:ascii="Arial" w:cs="Arial" w:eastAsia="Arial" w:hAnsi="Arial"/>
          <w:i/>
          <w:iCs/>
          <w:color w:val="64748B"/>
          <w:sz w:val="20"/>
          <w:szCs w:val="20"/>
        </w:rPr>
        <w:t xml:space="preserve">⚠  Agentic Note: No content may be published without explicit approval from Dr. Gravesande. Agents DRAFT and SURFACE — they do not publish autonomously.</w:t>
      </w:r>
    </w:p>
    <w:p>
      <w:pPr>
        <w:spacing w:after="40" w:before="40"/>
      </w:pPr>
    </w:p>
    <w:p>
      <w:pPr>
        <w:pBdr>
          <w:bottom w:val="single" w:color="D97706" w:sz="4"/>
        </w:pBdr>
        <w:spacing w:after="100" w:before="320"/>
      </w:pPr>
      <w:r>
        <w:rPr>
          <w:rFonts w:ascii="Arial" w:cs="Arial" w:eastAsia="Arial" w:hAnsi="Arial"/>
          <w:b/>
          <w:bCs/>
          <w:color w:val="D97706"/>
          <w:sz w:val="27"/>
          <w:szCs w:val="27"/>
        </w:rPr>
        <w:t xml:space="preserve">5. </w:t>
      </w: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Process Overview</w:t>
      </w:r>
    </w:p>
    <w:p>
      <w:p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Marketing at Preqal operates on three parallel tracks: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Track A — Organic / Content:</w:t>
      </w:r>
      <w:r>
        <w:rPr>
          <w:rFonts w:ascii="Arial" w:cs="Arial" w:eastAsia="Arial" w:hAnsi="Arial"/>
          <w:sz w:val="22"/>
          <w:szCs w:val="22"/>
        </w:rPr>
        <w:t xml:space="preserve">: Website pages, blog posts on `/resources`, downloadable templates, and SEO optimisation drive search-engine-led discovery. The Resources page template download form doubles as a soft lead capture.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Track B — Referral &amp; Network:</w:t>
      </w:r>
      <w:r>
        <w:rPr>
          <w:rFonts w:ascii="Arial" w:cs="Arial" w:eastAsia="Arial" w:hAnsi="Arial"/>
          <w:sz w:val="22"/>
          <w:szCs w:val="22"/>
        </w:rPr>
        <w:t xml:space="preserve">: Satisfied clients and professional contacts refer prospects directly. Every project closure (SOP-07) includes an explicit ask for referrals.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Track C — Direct Outreach:</w:t>
      </w:r>
      <w:r>
        <w:rPr>
          <w:rFonts w:ascii="Arial" w:cs="Arial" w:eastAsia="Arial" w:hAnsi="Arial"/>
          <w:sz w:val="22"/>
          <w:szCs w:val="22"/>
        </w:rPr>
        <w:t xml:space="preserve">: Targeted outreach to businesses in Preqal's core sectors (poultry, agri-food, eco-hospitality, oil &amp; gas, construction) via LinkedIn and professional networks.</w:t>
      </w:r>
    </w:p>
    <w:p>
      <w:p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All three tracks have a single destination: the **Business Growth Assessment (FORM-01)** at `preqal.org/business-growth-assessment`.</w:t>
      </w:r>
    </w:p>
    <w:p>
      <w:pPr>
        <w:spacing w:after="40" w:before="40"/>
      </w:pPr>
    </w:p>
    <w:p>
      <w:pPr>
        <w:pBdr>
          <w:bottom w:val="single" w:color="D97706" w:sz="4"/>
        </w:pBdr>
        <w:spacing w:after="100" w:before="320"/>
      </w:pPr>
      <w:r>
        <w:rPr>
          <w:rFonts w:ascii="Arial" w:cs="Arial" w:eastAsia="Arial" w:hAnsi="Arial"/>
          <w:b/>
          <w:bCs/>
          <w:color w:val="D97706"/>
          <w:sz w:val="27"/>
          <w:szCs w:val="27"/>
        </w:rPr>
        <w:t xml:space="preserve">6. </w:t>
      </w: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Procedure</w:t>
      </w:r>
    </w:p>
    <w:p>
      <w:pPr>
        <w:pBdr>
          <w:left w:val="single" w:color="F59E0B" w:sz="6"/>
        </w:pBdr>
        <w:spacing w:after="60" w:before="180"/>
        <w:ind w:left="12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Step 1 — Maintain Website as Primary Marketing Asset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D97706"/>
          <w:sz w:val="22"/>
          <w:szCs w:val="22"/>
        </w:rPr>
        <w:t xml:space="preserve">1.1.  </w:t>
      </w:r>
      <w:r>
        <w:rPr>
          <w:rFonts w:ascii="Arial" w:cs="Arial" w:eastAsia="Arial" w:hAnsi="Arial"/>
          <w:sz w:val="22"/>
          <w:szCs w:val="22"/>
        </w:rPr>
        <w:t xml:space="preserve">Verify all CTAs on every page link to `/business-growth-assessment` or `/book`.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D97706"/>
          <w:sz w:val="22"/>
          <w:szCs w:val="22"/>
        </w:rPr>
        <w:t xml:space="preserve">1.2.  </w:t>
      </w:r>
      <w:r>
        <w:rPr>
          <w:rFonts w:ascii="Arial" w:cs="Arial" w:eastAsia="Arial" w:hAnsi="Arial"/>
          <w:sz w:val="22"/>
          <w:szCs w:val="22"/>
        </w:rPr>
        <w:t xml:space="preserve">Confirm the homepage hero CTA reads "Get a Free Risk Scan" or equivalent.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D97706"/>
          <w:sz w:val="22"/>
          <w:szCs w:val="22"/>
        </w:rPr>
        <w:t xml:space="preserve">1.3.  </w:t>
      </w:r>
      <w:r>
        <w:rPr>
          <w:rFonts w:ascii="Arial" w:cs="Arial" w:eastAsia="Arial" w:hAnsi="Arial"/>
          <w:sz w:val="22"/>
          <w:szCs w:val="22"/>
        </w:rPr>
        <w:t xml:space="preserve">Confirm the Navbar CTA button is visible and links to `/book`.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D97706"/>
          <w:sz w:val="22"/>
          <w:szCs w:val="22"/>
        </w:rPr>
        <w:t xml:space="preserve">1.4.  </w:t>
      </w:r>
      <w:r>
        <w:rPr>
          <w:rFonts w:ascii="Arial" w:cs="Arial" w:eastAsia="Arial" w:hAnsi="Arial"/>
          <w:sz w:val="22"/>
          <w:szCs w:val="22"/>
        </w:rPr>
        <w:t xml:space="preserve">Review Google Analytics monthly (or use Analytics Agent): check traffic sources, top pages, and conversion events.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color w:val="334155"/>
          <w:sz w:val="22"/>
          <w:szCs w:val="22"/>
        </w:rPr>
        <w:t xml:space="preserve">Quality check:</w:t>
      </w:r>
      <w:r>
        <w:rPr>
          <w:rFonts w:ascii="Arial" w:cs="Arial" w:eastAsia="Arial" w:hAnsi="Arial"/>
          <w:sz w:val="22"/>
          <w:szCs w:val="22"/>
        </w:rPr>
        <w:t xml:space="preserve">: At least one primary CTA must appear above the fold on every service-related page.</w:t>
      </w:r>
    </w:p>
    <w:p>
      <w:pPr>
        <w:spacing w:after="40" w:before="40"/>
      </w:pPr>
    </w:p>
    <w:p>
      <w:pPr>
        <w:pBdr>
          <w:bottom w:val="single" w:color="D97706" w:sz="4"/>
        </w:pBdr>
        <w:spacing w:after="100" w:before="320"/>
      </w:pPr>
      <w:r>
        <w:rPr>
          <w:rFonts w:ascii="Arial" w:cs="Arial" w:eastAsia="Arial" w:hAnsi="Arial"/>
          <w:b/>
          <w:bCs/>
          <w:color w:val="D97706"/>
          <w:sz w:val="27"/>
          <w:szCs w:val="27"/>
        </w:rPr>
        <w:t xml:space="preserve">7. </w:t>
      </w: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Inputs</w:t>
      </w:r>
    </w:p>
    <w:p>
      <w:pPr>
        <w:pStyle w:val="ListParagraph"/>
        <w:numPr>
          <w:ilvl w:val="0"/>
          <w:numId w:val="1"/>
        </w:numPr>
        <w:spacing w:after="30" w:before="30"/>
        <w:ind w:left="540" w:hanging="360"/>
      </w:pPr>
      <w:r>
        <w:rPr>
          <w:rFonts w:ascii="Arial" w:cs="Arial" w:eastAsia="Arial" w:hAnsi="Arial"/>
          <w:sz w:val="22"/>
          <w:szCs w:val="22"/>
        </w:rPr>
        <w:t xml:space="preserve">Preqal brand guidelines (CLAUDE.md design system)</w:t>
      </w:r>
    </w:p>
    <w:p>
      <w:pPr>
        <w:pStyle w:val="ListParagraph"/>
        <w:numPr>
          <w:ilvl w:val="0"/>
          <w:numId w:val="1"/>
        </w:numPr>
        <w:spacing w:after="30" w:before="30"/>
        <w:ind w:left="540" w:hanging="360"/>
      </w:pPr>
      <w:r>
        <w:rPr>
          <w:rFonts w:ascii="Arial" w:cs="Arial" w:eastAsia="Arial" w:hAnsi="Arial"/>
          <w:sz w:val="22"/>
          <w:szCs w:val="22"/>
        </w:rPr>
        <w:t xml:space="preserve">Google Analytics data</w:t>
      </w:r>
    </w:p>
    <w:p>
      <w:pPr>
        <w:pStyle w:val="ListParagraph"/>
        <w:numPr>
          <w:ilvl w:val="0"/>
          <w:numId w:val="1"/>
        </w:numPr>
        <w:spacing w:after="30" w:before="30"/>
        <w:ind w:left="540" w:hanging="360"/>
      </w:pPr>
      <w:r>
        <w:rPr>
          <w:rFonts w:ascii="Arial" w:cs="Arial" w:eastAsia="Arial" w:hAnsi="Arial"/>
          <w:sz w:val="22"/>
          <w:szCs w:val="22"/>
        </w:rPr>
        <w:t xml:space="preserve">Client feedback and testimonials (from SOP-09)</w:t>
      </w:r>
    </w:p>
    <w:p>
      <w:pPr>
        <w:spacing w:after="40" w:before="40"/>
      </w:pPr>
    </w:p>
    <w:p>
      <w:pPr>
        <w:pBdr>
          <w:bottom w:val="single" w:color="D97706" w:sz="4"/>
        </w:pBdr>
        <w:spacing w:after="100" w:before="320"/>
      </w:pPr>
      <w:r>
        <w:rPr>
          <w:rFonts w:ascii="Arial" w:cs="Arial" w:eastAsia="Arial" w:hAnsi="Arial"/>
          <w:b/>
          <w:bCs/>
          <w:color w:val="D97706"/>
          <w:sz w:val="27"/>
          <w:szCs w:val="27"/>
        </w:rPr>
        <w:t xml:space="preserve">8. </w:t>
      </w: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Outputs</w:t>
      </w:r>
    </w:p>
    <w:p>
      <w:pPr>
        <w:pStyle w:val="ListParagraph"/>
        <w:numPr>
          <w:ilvl w:val="0"/>
          <w:numId w:val="1"/>
        </w:numPr>
        <w:spacing w:after="30" w:before="30"/>
        <w:ind w:left="540" w:hanging="360"/>
      </w:pPr>
      <w:r>
        <w:rPr>
          <w:rFonts w:ascii="Arial" w:cs="Arial" w:eastAsia="Arial" w:hAnsi="Arial"/>
          <w:sz w:val="22"/>
          <w:szCs w:val="22"/>
        </w:rPr>
        <w:t xml:space="preserve">Qualified prospects directed to FORM-01</w:t>
      </w:r>
    </w:p>
    <w:p>
      <w:pPr>
        <w:pStyle w:val="ListParagraph"/>
        <w:numPr>
          <w:ilvl w:val="0"/>
          <w:numId w:val="1"/>
        </w:numPr>
        <w:spacing w:after="30" w:before="30"/>
        <w:ind w:left="540" w:hanging="360"/>
      </w:pPr>
      <w:r>
        <w:rPr>
          <w:rFonts w:ascii="Arial" w:cs="Arial" w:eastAsia="Arial" w:hAnsi="Arial"/>
          <w:sz w:val="22"/>
          <w:szCs w:val="22"/>
        </w:rPr>
        <w:t xml:space="preserve">Published content on preqal.org</w:t>
      </w:r>
    </w:p>
    <w:p>
      <w:pPr>
        <w:pStyle w:val="ListParagraph"/>
        <w:numPr>
          <w:ilvl w:val="0"/>
          <w:numId w:val="1"/>
        </w:numPr>
        <w:spacing w:after="30" w:before="30"/>
        <w:ind w:left="540" w:hanging="360"/>
      </w:pPr>
      <w:r>
        <w:rPr>
          <w:rFonts w:ascii="Arial" w:cs="Arial" w:eastAsia="Arial" w:hAnsi="Arial"/>
          <w:sz w:val="22"/>
          <w:szCs w:val="22"/>
        </w:rPr>
        <w:t xml:space="preserve">Monthly marketing performance summary</w:t>
      </w:r>
    </w:p>
    <w:p>
      <w:pPr>
        <w:spacing w:after="40" w:before="40"/>
      </w:pPr>
    </w:p>
    <w:p>
      <w:pPr>
        <w:pBdr>
          <w:bottom w:val="single" w:color="D97706" w:sz="4"/>
        </w:pBdr>
        <w:spacing w:after="100" w:before="320"/>
      </w:pPr>
      <w:r>
        <w:rPr>
          <w:rFonts w:ascii="Arial" w:cs="Arial" w:eastAsia="Arial" w:hAnsi="Arial"/>
          <w:b/>
          <w:bCs/>
          <w:color w:val="D97706"/>
          <w:sz w:val="27"/>
          <w:szCs w:val="27"/>
        </w:rPr>
        <w:t xml:space="preserve">9. </w:t>
      </w: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Quality Controls &amp; KPIs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Review Frequency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Monthly website sessions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Growth MoM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Form 1 completion rate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≥ 2% of BGA page visitors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Time from lead submission to first contact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≤ 4 hours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 lead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New resources published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≥ 1 per month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Referral leads as % of total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≥ 20%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Quarterly</w:t>
            </w:r>
          </w:p>
        </w:tc>
      </w:tr>
    </w:tbl>
    <w:p>
      <w:pPr>
        <w:spacing w:after="60" w:before="40"/>
      </w:pPr>
    </w:p>
    <w:p>
      <w:pPr>
        <w:spacing w:after="40" w:before="40"/>
      </w:pPr>
    </w:p>
    <w:p>
      <w:pPr>
        <w:pBdr>
          <w:bottom w:val="single" w:color="D97706" w:sz="4"/>
        </w:pBdr>
        <w:spacing w:after="100" w:before="320"/>
      </w:pPr>
      <w:r>
        <w:rPr>
          <w:rFonts w:ascii="Arial" w:cs="Arial" w:eastAsia="Arial" w:hAnsi="Arial"/>
          <w:b/>
          <w:bCs/>
          <w:color w:val="D97706"/>
          <w:sz w:val="27"/>
          <w:szCs w:val="27"/>
        </w:rPr>
        <w:t xml:space="preserve">10. </w:t>
      </w:r>
      <w:r>
        <w:rPr>
          <w:rFonts w:ascii="Arial" w:cs="Arial" w:eastAsia="Arial" w:hAnsi="Arial"/>
          <w:b/>
          <w:bCs/>
          <w:color w:val="0F172A"/>
          <w:sz w:val="27"/>
          <w:szCs w:val="27"/>
        </w:rPr>
        <w:t xml:space="preserve">Non-Conformance Handling</w:t>
      </w:r>
    </w:p>
    <w:p>
      <w:p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If a marketing channel is producing zero qualified leads for 2+ consecutive months:</w:t>
      </w:r>
    </w:p>
    <w:p>
      <w:p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1. Flag in the Non-Conformance Register (REG-06) as a quality event.</w:t>
      </w:r>
    </w:p>
    <w:p>
      <w:p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2. Conduct root cause analysis — is the problem: messaging, targeting, CTA placement, or content quality?</w:t>
      </w:r>
    </w:p>
    <w:p>
      <w:p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3. Implement corrective action within 14 days.</w:t>
      </w:r>
    </w:p>
    <w:p>
      <w:p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4. Review effectiveness at next monthly report.</w:t>
      </w:r>
    </w:p>
    <w:p>
      <w:pPr>
        <w:spacing w:after="40" w:before="40"/>
      </w:pP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Marketing &amp; Lead Generation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2026-05-08T00:08:10.752Z</dcterms:created>
  <dcterms:modified xsi:type="dcterms:W3CDTF">2026-05-08T00:08:10.765Z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