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0" w:before="480"/>
      </w:pPr>
    </w:p>
    <w:p>
      <w:pPr>
        <w:jc w:val="center"/>
        <w:spacing w:after="100" w:before="0"/>
      </w:pPr>
      <w:r>
        <w:drawing>
          <wp:inline xmlns:wp="http://schemas.openxmlformats.org/drawingml/2006/wordprocessingDrawing" distT="0" distB="0" distL="0" distR="0">
            <wp:extent cx="1238250" cy="1390650"/>
            <wp:effectExtent l="0" t="0" r="0" b="0"/>
            <wp:docPr id="9" name="fav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avicon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0" w:before="0"/>
      </w:pPr>
      <w:r>
        <w:drawing>
          <wp:inline xmlns:wp="http://schemas.openxmlformats.org/drawingml/2006/wordprocessingDrawing" distT="0" distB="0" distL="0" distR="0">
            <wp:extent cx="2095500" cy="914400"/>
            <wp:effectExtent l="0" t="0" r="0" b="0"/>
            <wp:docPr id="10" name="word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ordmark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POL-01: Quality Policy</w:t>
      </w:r>
    </w:p>
    <w:p>
      <w:pPr>
        <w:jc w:val="center"/>
        <w:spacing w:after="32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Policy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Preqal exists to help organizations in the agri-foods, poultry, and eco-hospitality sectors build management systems that actually work — systems that protect people, satisfy customers, and drive measurable improvements.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Our Quality Commitment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Preqal is fully committed to: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a) Delivering services that fully meet or exceed the requirements agreed with each client.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b) Applying ISO 9001:2015 and related standards with rigour, accuracy, and integrity.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c) Maintaining a culture of continual improvement in all our processes, tools, and outputs.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d) Meeting applicable statutory and regulatory requirements in all jurisdictions we operate.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e) Setting measurable quality objectives and reviewing them regularly to ensure they remain relevant and achievable.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Quality Objectives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Preqal's current quality objectives include: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  • 100% of proposals delivered within 48 hours of lead qualification (SOP-03)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  • Average client NPS score ≥ 8 (SOP-07)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  • 100% of invoices issued within 24 hours of trigger event (SOP-08)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  • Client renewal rate ≥ 60% (SOP-09)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These objectives are reviewed at each annual management review.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Responsibility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Stefan Gravesande, as Managing Director, is personally responsible for establishing, maintaining, and communicating this Quality Policy. All workers — human and agentic — are expected to understand and apply this policy in their roles.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This policy is available to all relevant parties at preqal.org and through the Preqal QMS document pack. It is reviewed annually and updated whenever the strategic context changes.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Signed: _________________  |  Name: Dr. Stefan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drawing>
        <wp:inline xmlns:wp="http://schemas.openxmlformats.org/drawingml/2006/wordprocessingDrawing" distT="0" distB="0" distL="0" distR="0">
          <wp:extent cx="209550" cy="238125"/>
          <wp:effectExtent l="0" t="0" r="0" b="0"/>
          <wp:docPr id="1" name="header-favic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-favicon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95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sz w:val="18"/>
      </w:rPr>
      <w:t xml:space="preserve">  </w:t>
    </w: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64748B"/>
        <w:sz w:val="20"/>
        <w:szCs w:val="20"/>
      </w:rPr>
      <w:t xml:space="preserve">— Quality Policy</w:t>
    </w:r>
    <w:r>
      <w:rPr>
        <w:rFonts w:ascii="Arial" w:cs="Arial" w:eastAsia="Arial" w:hAnsi="Arial"/>
        <w:sz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favicon.png"/><Relationship Id="rId10" Type="http://schemas.openxmlformats.org/officeDocument/2006/relationships/image" Target="media/wordmark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favico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2026-05-08T08:55:29.147Z</dcterms:created>
  <dcterms:modified xsi:type="dcterms:W3CDTF">2026-05-08T08:55:29.148Z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