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172A" w:val="clear"/>
        <w:spacing w:after="140" w:before="14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PREQAL INTEGRATED MANAGEMENT SYSTEM  ·  Controlled Document — Internal Use Only</w:t>
      </w:r>
    </w:p>
    <w:p>
      <w:pPr>
        <w:spacing w:after="0" w:before="480"/>
      </w:pPr>
    </w:p>
    <w:p>
      <w:pPr>
        <w:jc w:val="center"/>
        <w:spacing w:after="100" w:before="0"/>
      </w:pPr>
      <w:r>
        <w:drawing>
          <wp:inline xmlns:wp="http://schemas.openxmlformats.org/drawingml/2006/wordprocessingDrawing" distT="0" distB="0" distL="0" distR="0">
            <wp:extent cx="1238250" cy="1390650"/>
            <wp:effectExtent l="0" t="0" r="0" b="0"/>
            <wp:docPr id="10" name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avicon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0" w:before="0"/>
      </w:pPr>
      <w:r>
        <w:drawing>
          <wp:inline xmlns:wp="http://schemas.openxmlformats.org/drawingml/2006/wordprocessingDrawing" distT="0" distB="0" distL="0" distR="0">
            <wp:extent cx="2095500" cy="914400"/>
            <wp:effectExtent l="0" t="0" r="0" b="0"/>
            <wp:docPr id="11" name="word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ordmark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before="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PRO-02: Marketing &amp; Lead Generation</w:t>
      </w:r>
    </w:p>
    <w:p>
      <w:pPr>
        <w:jc w:val="center"/>
        <w:spacing w:after="32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Standard Operating Procedure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No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2026-05-07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Stefan Gravesande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Reference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— Controlled Document</w:t>
            </w:r>
          </w:p>
        </w:tc>
      </w:tr>
    </w:tbl>
    <w:p>
      <w:pPr>
        <w:spacing w:line="276" w:lineRule="auto" w:before="120" w:after="40"/>
        <w:keepLines/>
        <w:pageBreakBefore/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Purpose</w:t>
      </w:r>
    </w:p>
    <w:p>
      <w:pPr>
        <w:spacing w:line="276" w:lineRule="auto" w:after="40"/>
        <w:keepLines/>
      </w:pPr>
      <w:r>
        <w:rPr>
          <w:rFonts w:ascii="Times New Roman" w:hAnsi="Times New Roman" w:cs="Times New Roman"/>
          <w:sz w:val="24"/>
          <w:szCs w:val="24"/>
        </w:rPr>
        <w:t xml:space="preserve">To define how Preqal attracts, engages, and directs qualified prospects toward the lead capture entry point (FORM-01). This SOP ensures all marketing activity is consistent with the Preqal brand, produces measurable results, and feeds a healthy, qualified pipeline.</w:t>
      </w:r>
    </w:p>
    <w:p>
      <w:pPr>
        <w:spacing w:line="276" w:lineRule="auto" w:before="120" w:after="40"/>
        <w:keepLines/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Scope</w:t>
      </w:r>
    </w:p>
    <w:p>
      <w:pPr>
        <w:spacing w:line="276" w:lineRule="auto" w:after="40"/>
        <w:keepLines/>
      </w:pPr>
      <w:r>
        <w:rPr>
          <w:rFonts w:ascii="Times New Roman" w:hAnsi="Times New Roman" w:cs="Times New Roman"/>
          <w:sz w:val="24"/>
          <w:szCs w:val="24"/>
        </w:rPr>
        <w:t xml:space="preserve">Applies to all inbound and outbound marketing activities including: website content, blog posts, resource downloads, social media, SEO, referrals, and direct outreach. Applies to human staff and any agentic worker executing marketing tasks.</w:t>
      </w:r>
    </w:p>
    <w:p>
      <w:pPr>
        <w:spacing w:line="276" w:lineRule="auto" w:before="120" w:after="40"/>
        <w:keepLines/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Responsibilities</w:t>
      </w:r>
    </w:p>
    <w:p>
      <w:pPr>
        <w:spacing w:line="276" w:lineRule="auto" w:after="4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🧑  Human Employee Roles</w:t>
      </w:r>
    </w:p>
    <w:p>
      <w:pPr>
        <w:spacing w:line="276" w:lineRule="auto" w:after="40"/>
        <w:keepLines/>
      </w:pPr>
      <w:r>
        <w:rPr>
          <w:rFonts w:ascii="Times New Roman" w:hAnsi="Times New Roman" w:cs="Times New Roman"/>
          <w:sz w:val="24"/>
          <w:szCs w:val="24"/>
        </w:rPr>
        <w:t xml:space="preserve">Role | Responsibility | Type</w:t>
      </w:r>
    </w:p>
    <w:p>
      <w:pPr>
        <w:spacing w:line="276" w:lineRule="auto" w:after="40"/>
        <w:keepLines/>
      </w:pPr>
      <w:r>
        <w:rPr>
          <w:rFonts w:ascii="Times New Roman" w:hAnsi="Times New Roman" w:cs="Times New Roman"/>
          <w:sz w:val="24"/>
          <w:szCs w:val="24"/>
        </w:rPr>
        <w:t xml:space="preserve">Dr. Gravesande (Principal) | Approves all published content; leads outbound outreach; owns brand voice | Human Employee</w:t>
      </w:r>
    </w:p>
    <w:p>
      <w:pPr>
        <w:spacing w:line="276" w:lineRule="auto" w:after="40"/>
        <w:keepLines/>
      </w:pPr>
      <w:r>
        <w:rPr>
          <w:rFonts w:ascii="Times New Roman" w:hAnsi="Times New Roman" w:cs="Times New Roman"/>
          <w:sz w:val="24"/>
          <w:szCs w:val="24"/>
        </w:rPr>
        <w:t xml:space="preserve">Marketing Staff (if applicable) | Drafts content, manages social media scheduling, monitors analytics | Human Employee</w:t>
      </w:r>
    </w:p>
    <w:p>
      <w:pPr>
        <w:spacing w:line="276" w:lineRule="auto" w:after="4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🤖  Agentic Employee Roles</w:t>
      </w:r>
    </w:p>
    <w:p>
      <w:pPr>
        <w:spacing w:line="276" w:lineRule="auto" w:after="40"/>
        <w:keepLines/>
      </w:pPr>
      <w:r>
        <w:rPr>
          <w:rFonts w:ascii="Times New Roman" w:hAnsi="Times New Roman" w:cs="Times New Roman"/>
          <w:sz w:val="24"/>
          <w:szCs w:val="24"/>
        </w:rPr>
        <w:t xml:space="preserve">Agent | Responsibility | Type</w:t>
      </w:r>
    </w:p>
    <w:p>
      <w:pPr>
        <w:spacing w:line="276" w:lineRule="auto" w:after="40"/>
        <w:keepLines/>
      </w:pPr>
      <w:r>
        <w:rPr>
          <w:rFonts w:ascii="Times New Roman" w:hAnsi="Times New Roman" w:cs="Times New Roman"/>
          <w:sz w:val="24"/>
          <w:szCs w:val="24"/>
        </w:rPr>
        <w:t xml:space="preserve">Content Agent | Drafts blog posts, social media captions, resource descriptions on instruction | Agentic Employee</w:t>
      </w:r>
    </w:p>
    <w:p>
      <w:pPr>
        <w:spacing w:line="276" w:lineRule="auto" w:after="40"/>
        <w:keepLines/>
      </w:pPr>
      <w:r>
        <w:rPr>
          <w:rFonts w:ascii="Times New Roman" w:hAnsi="Times New Roman" w:cs="Times New Roman"/>
          <w:sz w:val="24"/>
          <w:szCs w:val="24"/>
        </w:rPr>
        <w:t xml:space="preserve">SEO Agent | Audits on-page SEO, suggests metadata improvements, identifies keyword gaps | Agentic Employee</w:t>
      </w:r>
    </w:p>
    <w:p>
      <w:pPr>
        <w:spacing w:line="276" w:lineRule="auto" w:after="40"/>
        <w:keepLines/>
      </w:pPr>
      <w:r>
        <w:rPr>
          <w:rFonts w:ascii="Times New Roman" w:hAnsi="Times New Roman" w:cs="Times New Roman"/>
          <w:sz w:val="24"/>
          <w:szCs w:val="24"/>
        </w:rPr>
        <w:t xml:space="preserve">Analytics Agent | Pulls GA4 traffic data weekly; flags pages with high bounce or declining traffic | Agentic Employee</w:t>
      </w:r>
    </w:p>
    <w:p>
      <w:pPr>
        <w:spacing w:line="276" w:lineRule="auto" w:after="40"/>
        <w:keepLines/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⚠  Agentic Note: No content may be published without explicit approval from Dr. Gravesande. Agents DRAFT and SURFACE — they do not publish autonomously.</w:t>
      </w:r>
    </w:p>
    <w:p>
      <w:pPr>
        <w:spacing w:line="276" w:lineRule="auto" w:before="120" w:after="40"/>
        <w:keepLines/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Definitions</w:t>
      </w:r>
    </w:p>
    <w:p>
      <w:pPr>
        <w:spacing w:line="276" w:lineRule="auto" w:after="4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Term</w:t>
      </w:r>
      <w:r>
        <w:rPr>
          <w:rFonts w:ascii="Times New Roman" w:hAnsi="Times New Roman" w:cs="Times New Roman"/>
          <w:sz w:val="24"/>
          <w:szCs w:val="24"/>
        </w:rPr>
        <w:t xml:space="preserve"> — Definition</w:t>
      </w:r>
    </w:p>
    <w:p>
      <w:pPr>
        <w:spacing w:line="276" w:lineRule="auto" w:after="4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Prospect</w:t>
      </w:r>
      <w:r>
        <w:rPr>
          <w:rFonts w:ascii="Times New Roman" w:hAnsi="Times New Roman" w:cs="Times New Roman"/>
          <w:sz w:val="24"/>
          <w:szCs w:val="24"/>
        </w:rPr>
        <w:t xml:space="preserve"> — Any individual or organisation that has not yet submitted FORM-01</w:t>
      </w:r>
    </w:p>
    <w:p>
      <w:pPr>
        <w:spacing w:line="276" w:lineRule="auto" w:after="4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Lead</w:t>
      </w:r>
      <w:r>
        <w:rPr>
          <w:rFonts w:ascii="Times New Roman" w:hAnsi="Times New Roman" w:cs="Times New Roman"/>
          <w:sz w:val="24"/>
          <w:szCs w:val="24"/>
        </w:rPr>
        <w:t xml:space="preserve"> — A prospect who has submitted FORM-01</w:t>
      </w:r>
    </w:p>
    <w:p>
      <w:pPr>
        <w:spacing w:line="276" w:lineRule="auto" w:after="4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MQL (Marketing Qualified Lead)</w:t>
      </w:r>
      <w:r>
        <w:rPr>
          <w:rFonts w:ascii="Times New Roman" w:hAnsi="Times New Roman" w:cs="Times New Roman"/>
          <w:sz w:val="24"/>
          <w:szCs w:val="24"/>
        </w:rPr>
        <w:t xml:space="preserve"> — A lead whose form responses indicate a genuine service need and budget potential</w:t>
      </w:r>
    </w:p>
    <w:p>
      <w:pPr>
        <w:spacing w:line="276" w:lineRule="auto" w:after="4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Inbound</w:t>
      </w:r>
      <w:r>
        <w:rPr>
          <w:rFonts w:ascii="Times New Roman" w:hAnsi="Times New Roman" w:cs="Times New Roman"/>
          <w:sz w:val="24"/>
          <w:szCs w:val="24"/>
        </w:rPr>
        <w:t xml:space="preserve"> — Prospect contacts Preqal first (via website, referral, search)</w:t>
      </w:r>
    </w:p>
    <w:p>
      <w:pPr>
        <w:spacing w:line="276" w:lineRule="auto" w:after="4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Outbound</w:t>
      </w:r>
      <w:r>
        <w:rPr>
          <w:rFonts w:ascii="Times New Roman" w:hAnsi="Times New Roman" w:cs="Times New Roman"/>
          <w:sz w:val="24"/>
          <w:szCs w:val="24"/>
        </w:rPr>
        <w:t xml:space="preserve"> — Preqal contacts the prospect first (direct outreach, networking)</w:t>
      </w:r>
    </w:p>
    <w:p>
      <w:pPr>
        <w:spacing w:line="276" w:lineRule="auto" w:after="4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CTA</w:t>
      </w:r>
      <w:r>
        <w:rPr>
          <w:rFonts w:ascii="Times New Roman" w:hAnsi="Times New Roman" w:cs="Times New Roman"/>
          <w:sz w:val="24"/>
          <w:szCs w:val="24"/>
        </w:rPr>
        <w:t xml:space="preserve"> — Call to Action — a button, link, or phrase directing the prospect to take the next step</w:t>
      </w:r>
    </w:p>
    <w:p>
      <w:pPr>
        <w:spacing w:line="360" w:lineRule="auto" w:before="240" w:after="80"/>
        <w:keepLines/>
        <w:pageBreakBefore/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Overview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Marketing at Preqal operates on three parallel tracks: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Track A — Organic / Content:</w:t>
      </w:r>
      <w:r>
        <w:rPr>
          <w:rFonts w:ascii="Times New Roman" w:hAnsi="Times New Roman" w:cs="Times New Roman"/>
          <w:sz w:val="24"/>
          <w:szCs w:val="24"/>
        </w:rPr>
        <w:t xml:space="preserve">: Website pages, blog posts on `/resources`, downloadable templates, and SEO optimisation drive search-engine-led discovery. The Resources page template download form doubles as a soft lead capture.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Track B — Referral &amp; Network:</w:t>
      </w:r>
      <w:r>
        <w:rPr>
          <w:rFonts w:ascii="Times New Roman" w:hAnsi="Times New Roman" w:cs="Times New Roman"/>
          <w:sz w:val="24"/>
          <w:szCs w:val="24"/>
        </w:rPr>
        <w:t xml:space="preserve">: Satisfied clients and professional contacts refer prospects directly. Every project closure (SOP-07) includes an explicit ask for referrals.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Track C — Direct Outreach:</w:t>
      </w:r>
      <w:r>
        <w:rPr>
          <w:rFonts w:ascii="Times New Roman" w:hAnsi="Times New Roman" w:cs="Times New Roman"/>
          <w:sz w:val="24"/>
          <w:szCs w:val="24"/>
        </w:rPr>
        <w:t xml:space="preserve">: Targeted outreach to businesses in Preqal's core sectors (poultry, agri-food, eco-hospitality, oil &amp; gas, construction) via LinkedIn and professional networks.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All three tracks have a single destination: the **Business Growth Assessment (FORM-01)** at `preqal.org/business-growth-assessment`.</w:t>
      </w:r>
    </w:p>
    <w:p>
      <w:pPr>
        <w:spacing w:line="360" w:lineRule="auto" w:before="240" w:after="80"/>
        <w:keepLines/>
        <w:pageBreakBefore/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Procedure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1 — Maintain Website as Primary Marketing Asset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1.1.  </w:t>
      </w:r>
      <w:r>
        <w:rPr>
          <w:rFonts w:ascii="Times New Roman" w:hAnsi="Times New Roman" w:cs="Times New Roman"/>
          <w:sz w:val="24"/>
          <w:szCs w:val="24"/>
        </w:rPr>
        <w:t xml:space="preserve">Verify all CTAs on every page link to `/business-growth-assessment` or `/book`.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1.2.  </w:t>
      </w:r>
      <w:r>
        <w:rPr>
          <w:rFonts w:ascii="Times New Roman" w:hAnsi="Times New Roman" w:cs="Times New Roman"/>
          <w:sz w:val="24"/>
          <w:szCs w:val="24"/>
        </w:rPr>
        <w:t xml:space="preserve">Confirm the homepage hero CTA reads "Get a Free Risk Scan" or equivalent.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1.3.  </w:t>
      </w:r>
      <w:r>
        <w:rPr>
          <w:rFonts w:ascii="Times New Roman" w:hAnsi="Times New Roman" w:cs="Times New Roman"/>
          <w:sz w:val="24"/>
          <w:szCs w:val="24"/>
        </w:rPr>
        <w:t xml:space="preserve">Confirm the Navbar CTA button is visible and links to `/book`.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1.4.  </w:t>
      </w:r>
      <w:r>
        <w:rPr>
          <w:rFonts w:ascii="Times New Roman" w:hAnsi="Times New Roman" w:cs="Times New Roman"/>
          <w:sz w:val="24"/>
          <w:szCs w:val="24"/>
        </w:rPr>
        <w:t xml:space="preserve">Review Google Analytics monthly (or use Analytics Agent): check traffic sources, top pages, and conversion events.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Quality check:</w:t>
      </w:r>
      <w:r>
        <w:rPr>
          <w:rFonts w:ascii="Times New Roman" w:hAnsi="Times New Roman" w:cs="Times New Roman"/>
          <w:sz w:val="24"/>
          <w:szCs w:val="24"/>
        </w:rPr>
        <w:t xml:space="preserve">: At least one primary CTA must appear above the fold on every service-related page.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7. Inputs</w:t>
      </w:r>
    </w:p>
    <w:p>
      <w:pPr>
        <w:spacing w:line="360" w:lineRule="auto" w:after="60"/>
        <w:keepLines/>
        <w:ind w:left="720" w:hanging="360"/>
      </w:pPr>
      <w:r>
        <w:rPr>
          <w:rFonts w:ascii="Times New Roman" w:hAnsi="Times New Roman" w:cs="Times New Roman"/>
          <w:sz w:val="24"/>
          <w:szCs w:val="24"/>
        </w:rPr>
        <w:t xml:space="preserve">•	</w:t>
      </w:r>
      <w:r>
        <w:rPr>
          <w:rFonts w:ascii="Times New Roman" w:hAnsi="Times New Roman" w:cs="Times New Roman"/>
          <w:sz w:val="24"/>
          <w:szCs w:val="24"/>
        </w:rPr>
        <w:t xml:space="preserve">Preqal brand guidelines (CLAUDE.md design system)</w:t>
      </w:r>
    </w:p>
    <w:p>
      <w:pPr>
        <w:spacing w:line="360" w:lineRule="auto" w:after="60"/>
        <w:keepLines/>
        <w:ind w:left="720" w:hanging="360"/>
      </w:pPr>
      <w:r>
        <w:rPr>
          <w:rFonts w:ascii="Times New Roman" w:hAnsi="Times New Roman" w:cs="Times New Roman"/>
          <w:sz w:val="24"/>
          <w:szCs w:val="24"/>
        </w:rPr>
        <w:t xml:space="preserve">•	</w:t>
      </w:r>
      <w:r>
        <w:rPr>
          <w:rFonts w:ascii="Times New Roman" w:hAnsi="Times New Roman" w:cs="Times New Roman"/>
          <w:sz w:val="24"/>
          <w:szCs w:val="24"/>
        </w:rPr>
        <w:t xml:space="preserve">Google Analytics data</w:t>
      </w:r>
    </w:p>
    <w:p>
      <w:pPr>
        <w:spacing w:line="360" w:lineRule="auto" w:after="60"/>
        <w:keepLines/>
        <w:ind w:left="720" w:hanging="360"/>
      </w:pPr>
      <w:r>
        <w:rPr>
          <w:rFonts w:ascii="Times New Roman" w:hAnsi="Times New Roman" w:cs="Times New Roman"/>
          <w:sz w:val="24"/>
          <w:szCs w:val="24"/>
        </w:rPr>
        <w:t xml:space="preserve">•	</w:t>
      </w:r>
      <w:r>
        <w:rPr>
          <w:rFonts w:ascii="Times New Roman" w:hAnsi="Times New Roman" w:cs="Times New Roman"/>
          <w:sz w:val="24"/>
          <w:szCs w:val="24"/>
        </w:rPr>
        <w:t xml:space="preserve">Client feedback and testimonials (from SOP-09)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8. Outputs</w:t>
      </w:r>
    </w:p>
    <w:p>
      <w:pPr>
        <w:spacing w:line="360" w:lineRule="auto" w:after="60"/>
        <w:keepLines/>
        <w:ind w:left="720" w:hanging="360"/>
      </w:pPr>
      <w:r>
        <w:rPr>
          <w:rFonts w:ascii="Times New Roman" w:hAnsi="Times New Roman" w:cs="Times New Roman"/>
          <w:sz w:val="24"/>
          <w:szCs w:val="24"/>
        </w:rPr>
        <w:t xml:space="preserve">•	</w:t>
      </w:r>
      <w:r>
        <w:rPr>
          <w:rFonts w:ascii="Times New Roman" w:hAnsi="Times New Roman" w:cs="Times New Roman"/>
          <w:sz w:val="24"/>
          <w:szCs w:val="24"/>
        </w:rPr>
        <w:t xml:space="preserve">Qualified prospects directed to FORM-01</w:t>
      </w:r>
    </w:p>
    <w:p>
      <w:pPr>
        <w:spacing w:line="360" w:lineRule="auto" w:after="60"/>
        <w:keepLines/>
        <w:ind w:left="720" w:hanging="360"/>
      </w:pPr>
      <w:r>
        <w:rPr>
          <w:rFonts w:ascii="Times New Roman" w:hAnsi="Times New Roman" w:cs="Times New Roman"/>
          <w:sz w:val="24"/>
          <w:szCs w:val="24"/>
        </w:rPr>
        <w:t xml:space="preserve">•	</w:t>
      </w:r>
      <w:r>
        <w:rPr>
          <w:rFonts w:ascii="Times New Roman" w:hAnsi="Times New Roman" w:cs="Times New Roman"/>
          <w:sz w:val="24"/>
          <w:szCs w:val="24"/>
        </w:rPr>
        <w:t xml:space="preserve">Published content on preqal.org</w:t>
      </w:r>
    </w:p>
    <w:p>
      <w:pPr>
        <w:spacing w:line="360" w:lineRule="auto" w:after="60"/>
        <w:keepLines/>
        <w:ind w:left="720" w:hanging="360"/>
      </w:pPr>
      <w:r>
        <w:rPr>
          <w:rFonts w:ascii="Times New Roman" w:hAnsi="Times New Roman" w:cs="Times New Roman"/>
          <w:sz w:val="24"/>
          <w:szCs w:val="24"/>
        </w:rPr>
        <w:t xml:space="preserve">•	</w:t>
      </w:r>
      <w:r>
        <w:rPr>
          <w:rFonts w:ascii="Times New Roman" w:hAnsi="Times New Roman" w:cs="Times New Roman"/>
          <w:sz w:val="24"/>
          <w:szCs w:val="24"/>
        </w:rPr>
        <w:t xml:space="preserve">Monthly marketing performance summary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9. Quality Controls &amp; KPIs</w:t>
      </w:r>
    </w:p>
    <w:tbl>
      <w:tblPr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Metric</w:t>
            </w:r>
          </w:p>
        </w:tc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Target</w:t>
            </w:r>
          </w:p>
        </w:tc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Review Frequency</w:t>
            </w:r>
          </w:p>
        </w:tc>
      </w:tr>
      <w:tr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Monthly website sessions</w:t>
            </w:r>
          </w:p>
        </w:tc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Growth MoM</w:t>
            </w:r>
          </w:p>
        </w:tc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Monthly</w:t>
            </w:r>
          </w:p>
        </w:tc>
      </w:tr>
      <w:tr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Form 1 completion rate</w:t>
            </w:r>
          </w:p>
        </w:tc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≥ 2% of BGA page visitors</w:t>
            </w:r>
          </w:p>
        </w:tc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Monthly</w:t>
            </w:r>
          </w:p>
        </w:tc>
      </w:tr>
      <w:tr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Time from lead submission to first contact</w:t>
            </w:r>
          </w:p>
        </w:tc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≤ 4 hours</w:t>
            </w:r>
          </w:p>
        </w:tc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Per lead</w:t>
            </w:r>
          </w:p>
        </w:tc>
      </w:tr>
      <w:tr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New resources published</w:t>
            </w:r>
          </w:p>
        </w:tc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≥ 1 per month</w:t>
            </w:r>
          </w:p>
        </w:tc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Monthly</w:t>
            </w:r>
          </w:p>
        </w:tc>
      </w:tr>
      <w:tr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Referral leads as % of total</w:t>
            </w:r>
          </w:p>
        </w:tc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≥ 20%</w:t>
            </w:r>
          </w:p>
        </w:tc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Quarterly</w:t>
            </w:r>
          </w:p>
        </w:tc>
      </w:tr>
    </w:tbl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10. Non-Conformance Handling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If a marketing channel is producing zero qualified leads for 2+ consecutive months: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1. Flag in the Non-Conformance Register (REG-06) as a quality event.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2. Conduct root cause analysis — is the problem: messaging, targeting, CTA placement, or content quality?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3. Implement corrective action within 14 days.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4. Review effectiveness at next monthly report.</w:t>
      </w:r>
    </w:p>
    <w:p>
      <w:pPr>
        <w:spacing w:line="360" w:lineRule="auto" w:before="240" w:after="80"/>
        <w:keepLines/>
        <w:pageBreakBefore/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Communication (of this procedure)</w:t>
      </w:r>
    </w:p>
    <w:p/>
    <w:p>
      <w:pPr>
        <w:spacing w:line="360" w:lineRule="auto" w:before="240" w:after="80"/>
        <w:keepLines/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Related Documents</w:t>
      </w:r>
    </w:p>
    <w:p/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tabs>
        <w:tab w:val="right" w:pos="9880"/>
      </w:tabs>
      <w:spacing w:after="60" w:before="80"/>
    </w:pPr>
    <w:r>
      <w:rPr>
        <w:rFonts w:ascii="Arial" w:cs="Arial" w:eastAsia="Arial" w:hAnsi="Arial"/>
        <w:color w:val="94A3B8"/>
        <w:sz w:val="18"/>
        <w:szCs w:val="18"/>
      </w:rPr>
      <w:t xml:space="preserve">  ·  v1.0  ·  2026-05-07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/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>
  <w:p>
    <w:pPr>
      <w:pBdr>
        <w:bottom w:val="single" w:color="E2E8F0" w:sz="1"/>
      </w:pBdr>
      <w:tabs>
        <w:tab w:val="right" w:pos="9880"/>
      </w:tabs>
      <w:spacing w:after="80" w:before="80"/>
    </w:pPr>
    <w:r>
      <w:drawing>
        <wp:inline xmlns:wp="http://schemas.openxmlformats.org/drawingml/2006/wordprocessingDrawing" distT="0" distB="0" distL="0" distR="0">
          <wp:extent cx="209550" cy="238125"/>
          <wp:effectExtent l="0" t="0" r="0" b="0"/>
          <wp:docPr id="1" name="header-fav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-favicon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95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sz w:val="18"/>
      </w:rPr>
      <w:t xml:space="preserve">  </w:t>
    </w:r>
    <w:r>
      <w:rPr>
        <w:rFonts w:ascii="Arial" w:cs="Arial" w:eastAsia="Arial" w:hAnsi="Arial"/>
        <w:b/>
        <w:bCs/>
        <w:color w:val="D97706"/>
        <w:sz w:val="24"/>
        <w:szCs w:val="24"/>
      </w:rPr>
      <w:t xml:space="preserve">PREQAL</w:t>
    </w:r>
    <w:r>
      <w:rPr>
        <w:rFonts w:ascii="Arial" w:cs="Arial" w:eastAsia="Arial" w:hAnsi="Arial"/>
        <w:color w:val="475569"/>
        <w:sz w:val="22"/>
        <w:szCs w:val="22"/>
      </w:rPr>
      <w:t xml:space="preserve">  ·  </w:t>
    </w:r>
    <w:r>
      <w:rPr>
        <w:rFonts w:ascii="Arial" w:cs="Arial" w:eastAsia="Arial" w:hAnsi="Arial"/>
        <w:color w:val="64748B"/>
        <w:sz w:val="20"/>
        <w:szCs w:val="20"/>
      </w:rPr>
      <w:t xml:space="preserve">— Marketing &amp; Lead Generation</w:t>
    </w:r>
    <w:r>
      <w:rPr>
        <w:rFonts w:ascii="Arial" w:cs="Arial" w:eastAsia="Arial" w:hAnsi="Arial"/>
        <w:sz w:val="18"/>
      </w:rPr>
      <w:t xml:space="preserve">	</w:t>
    </w: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favicon.png"/><Relationship Id="rId11" Type="http://schemas.openxmlformats.org/officeDocument/2006/relationships/image" Target="media/wordmark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favicon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2026-05-08T00:08:10.752Z</dcterms:created>
  <dcterms:modified xsi:type="dcterms:W3CDTF">2026-05-08T00:08:10.765Z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