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F172A" w:val="clear"/>
        <w:spacing w:after="140" w:before="140"/>
        <w:ind w:left="20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PREQAL INTEGRATED MANAGEMENT SYSTEM  ·  Controlled Document — Internal Use Only</w:t>
      </w:r>
    </w:p>
    <w:p>
      <w:pPr>
        <w:spacing w:after="60" w:before="12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0F172A"/>
          <w:sz w:val="44"/>
          <w:szCs w:val="44"/>
        </w:rPr>
        <w:t xml:space="preserve">SOP-08: Billing &amp; Accounts Receivable</w:t>
      </w:r>
    </w:p>
    <w:p>
      <w:pPr>
        <w:spacing w:after="200" w:before="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Standard Operating Procedure</w:t>
      </w:r>
    </w:p>
    <w:p>
      <w:pPr>
        <w:spacing w:after="80" w:before="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No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2026-05-07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Owner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Stefan Gravesande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ISO Reference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Related Documents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Internal — Controlled Document</w:t>
            </w:r>
          </w:p>
        </w:tc>
      </w:tr>
    </w:tbl>
    <w:p>
      <w:pPr>
        <w:spacing w:line="276" w:lineRule="auto" w:before="120" w:after="4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Purpose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To ensure all Preqal invoices are issued promptly, tracked systematically, and collected within agreed payment terms — maintaining healthy cash flow and zero tolerance for untracked receivables.</w:t>
      </w:r>
    </w:p>
    <w:p>
      <w:pPr>
        <w:spacing w:line="276" w:lineRule="auto" w:before="120" w:after="4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Scope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Applies to all invoices issued by Preqal: deposit invoices (triggered by SOP-04), milestone invoices (triggered during SOP-06), and final invoices (triggered by SOP-07). Includes payment tracking, reminders, and overdue handling.</w:t>
      </w:r>
    </w:p>
    <w:p>
      <w:pPr>
        <w:spacing w:line="276" w:lineRule="auto" w:before="120" w:after="4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Responsibilities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🧑  Human Employee Roles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Role | Responsibility | Type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Dr. Gravesande | Issues all invoices; approves write-offs; handles escalated overdue accounts | Human Employee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🤖  Agentic Employee Roles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Agent | Responsibility | Type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AR Monitor Agent | Checks REG-05 daily; flags invoices approaching due date (T-2 days); sends automated payment reminders at T+7, T+14; escalates to Dr. Gravesande at T+30 | Agentic Employee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Invoice Agent | Drafts invoices using TPL-04 from project data; submits for Dr. Gravesande review before sending | Agentic Employee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⚠  Agentic Note: Agents monitor and remind — they do NOT negotiate payment terms, extend deadlines, or write off balances. These decisions are human-only.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5. Invoice Schedule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Every project generates the following invoices in sequence: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Invoice Type | Trigger | % of Total | Due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Deposit Invoice | Contract execution (SOP-04) | 30–50% | 5 business days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Milestone Invoice(s) | Defined in contract (e.g., phase completion) | As per contract | 14 days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Final Invoice | Handover acceptance (SOP-07) | Remaining balance | 14 days</w:t>
      </w:r>
    </w:p>
    <w:p>
      <w:pPr>
        <w:spacing w:line="276" w:lineRule="auto" w:before="120" w:after="4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Definitions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Term</w:t>
      </w:r>
      <w:r>
        <w:rPr>
          <w:rFonts w:ascii="Times New Roman" w:hAnsi="Times New Roman" w:cs="Times New Roman"/>
          <w:sz w:val="24"/>
          <w:szCs w:val="24"/>
        </w:rPr>
        <w:t xml:space="preserve"> — Definition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Invoice</w:t>
      </w:r>
      <w:r>
        <w:rPr>
          <w:rFonts w:ascii="Times New Roman" w:hAnsi="Times New Roman" w:cs="Times New Roman"/>
          <w:sz w:val="24"/>
          <w:szCs w:val="24"/>
        </w:rPr>
        <w:t xml:space="preserve"> — A formal request for payment issued to the client (TPL-04)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Accounts Receivable (AR)</w:t>
      </w:r>
      <w:r>
        <w:rPr>
          <w:rFonts w:ascii="Times New Roman" w:hAnsi="Times New Roman" w:cs="Times New Roman"/>
          <w:sz w:val="24"/>
          <w:szCs w:val="24"/>
        </w:rPr>
        <w:t xml:space="preserve"> — The total of all invoices issued but not yet paid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Payment Terms</w:t>
      </w:r>
      <w:r>
        <w:rPr>
          <w:rFonts w:ascii="Times New Roman" w:hAnsi="Times New Roman" w:cs="Times New Roman"/>
          <w:sz w:val="24"/>
          <w:szCs w:val="24"/>
        </w:rPr>
        <w:t xml:space="preserve"> — The number of days within which payment is due after invoice date (default: 14 days)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Overdue</w:t>
      </w:r>
      <w:r>
        <w:rPr>
          <w:rFonts w:ascii="Times New Roman" w:hAnsi="Times New Roman" w:cs="Times New Roman"/>
          <w:sz w:val="24"/>
          <w:szCs w:val="24"/>
        </w:rPr>
        <w:t xml:space="preserve"> — An invoice where payment terms have been exceeded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REG-05</w:t>
      </w:r>
      <w:r>
        <w:rPr>
          <w:rFonts w:ascii="Times New Roman" w:hAnsi="Times New Roman" w:cs="Times New Roman"/>
          <w:sz w:val="24"/>
          <w:szCs w:val="24"/>
        </w:rPr>
        <w:t xml:space="preserve"> — The Invoice &amp; Payment Register — the live record of all invoices, amounts, and payment status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Overview</w:t>
      </w:r>
    </w:p>
    <w:p/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Procedure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Step 1 — Issue Invoice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1.1.  </w:t>
      </w:r>
      <w:r>
        <w:rPr>
          <w:rFonts w:ascii="Times New Roman" w:hAnsi="Times New Roman" w:cs="Times New Roman"/>
          <w:sz w:val="24"/>
          <w:szCs w:val="24"/>
        </w:rPr>
        <w:t xml:space="preserve">Prepare invoice using TPL-04 (Invoice Template). Each invoice must include: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Invoice number (format: PRQ-[YEAR]-[###] e.g., PRQ-2026-001)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Invoice date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Client company name and billing address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Preqal name, address, and contact details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Description of services (reference the project phase or milestone)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Amount (excluding and including applicable taxes)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Payment terms: "Payment due within [X] days of invoice date"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Bank/payment details (account name, account number, bank name, branch)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1.2.  </w:t>
      </w:r>
      <w:r>
        <w:rPr>
          <w:rFonts w:ascii="Times New Roman" w:hAnsi="Times New Roman" w:cs="Times New Roman"/>
          <w:sz w:val="24"/>
          <w:szCs w:val="24"/>
        </w:rPr>
        <w:t xml:space="preserve">Dr. Gravesande reviews draft invoice before sending.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1.3.  </w:t>
      </w:r>
      <w:r>
        <w:rPr>
          <w:rFonts w:ascii="Times New Roman" w:hAnsi="Times New Roman" w:cs="Times New Roman"/>
          <w:sz w:val="24"/>
          <w:szCs w:val="24"/>
        </w:rPr>
        <w:t xml:space="preserve">Send via email using TPL-12 (Invoice Cover Email template).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1.4.  </w:t>
      </w:r>
      <w:r>
        <w:rPr>
          <w:rFonts w:ascii="Times New Roman" w:hAnsi="Times New Roman" w:cs="Times New Roman"/>
          <w:sz w:val="24"/>
          <w:szCs w:val="24"/>
        </w:rPr>
        <w:t xml:space="preserve">Attach invoice as PDF.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7. Outputs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Invoice sent and recorded in REG-05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Payment confirmation sent on receipt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Overdue invoices escalated and resolved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Monthly AR review completed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8. Quality Controls &amp; KPIs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Metric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Target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Review Frequency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Invoice issued within 24hr of trigger event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invoice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Days Sales Outstanding (DSO)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≤ 21 days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Monthly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Invoices paid within terms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≥ 85%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Monthly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Overdue invoices (30+ days)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0 unmanaged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Monthly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Invoice recording completeness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 in REG-05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invoice</w:t>
            </w:r>
          </w:p>
        </w:tc>
      </w:tr>
    </w:tbl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9. Non-Conformance Handling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Invoice sent with wrong amount:</w:t>
      </w:r>
      <w:r>
        <w:rPr>
          <w:rFonts w:ascii="Times New Roman" w:hAnsi="Times New Roman" w:cs="Times New Roman"/>
          <w:sz w:val="24"/>
          <w:szCs w:val="24"/>
        </w:rPr>
        <w:t xml:space="preserve">: Issue a credit note for the original invoice and reissue with the correct amount. Log in REG-06. Never simply send a "corrected" version without voiding the original.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Client disputes a charge:</w:t>
      </w:r>
      <w:r>
        <w:rPr>
          <w:rFonts w:ascii="Times New Roman" w:hAnsi="Times New Roman" w:cs="Times New Roman"/>
          <w:sz w:val="24"/>
          <w:szCs w:val="24"/>
        </w:rPr>
        <w:t xml:space="preserve">: Investigate within 2 business days. If error is Preqal's: correct and reissue. If dispute is unfounded: provide written evidence of services rendered and request payment.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Communication (of this procedure)</w:t>
      </w:r>
    </w:p>
    <w:p/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Related Documents</w:t>
      </w:r>
    </w:p>
    <w:p/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/>
      </w:pBdr>
      <w:tabs>
        <w:tab w:val="right" w:pos="9880"/>
      </w:tabs>
      <w:spacing w:after="60" w:before="80"/>
    </w:pPr>
    <w:r>
      <w:rPr>
        <w:rFonts w:ascii="Arial" w:cs="Arial" w:eastAsia="Arial" w:hAnsi="Arial"/>
        <w:color w:val="94A3B8"/>
        <w:sz w:val="18"/>
        <w:szCs w:val="18"/>
      </w:rPr>
      <w:t xml:space="preserve">  ·  v1.0  ·  2026-05-07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94A3B8"/>
        <w:sz w:val="18"/>
        <w:szCs w:val="18"/>
      </w:rPr>
      <w:t xml:space="preserve">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8"/>
        <w:szCs w:val="18"/>
      </w:rPr>
      <w:t xml:space="preserve"> /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1"/>
      </w:pBdr>
      <w:tabs>
        <w:tab w:val="right" w:pos="9880"/>
      </w:tabs>
      <w:spacing w:after="80" w:before="80"/>
    </w:pPr>
    <w:r>
      <w:rPr>
        <w:rFonts w:ascii="Arial" w:cs="Arial" w:eastAsia="Arial" w:hAnsi="Arial"/>
        <w:b/>
        <w:bCs/>
        <w:color w:val="D97706"/>
        <w:sz w:val="24"/>
        <w:szCs w:val="24"/>
      </w:rPr>
      <w:t xml:space="preserve">PREQAL</w:t>
    </w:r>
    <w:r>
      <w:rPr>
        <w:rFonts w:ascii="Arial" w:cs="Arial" w:eastAsia="Arial" w:hAnsi="Arial"/>
        <w:color w:val="475569"/>
        <w:sz w:val="22"/>
        <w:szCs w:val="22"/>
      </w:rPr>
      <w:t xml:space="preserve">  ·  </w:t>
    </w:r>
    <w:r>
      <w:rPr>
        <w:rFonts w:ascii="Arial" w:cs="Arial" w:eastAsia="Arial" w:hAnsi="Arial"/>
        <w:color w:val="CBD5E1"/>
        <w:sz w:val="20"/>
        <w:szCs w:val="20"/>
      </w:rPr>
      <w:t xml:space="preserve"> — Billing &amp; Accounts Receivable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2026-05-08T00:08:11.006Z</dcterms:created>
  <dcterms:modified xsi:type="dcterms:W3CDTF">2026-05-08T00:08:11.006Z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