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POL-02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pipeline test — Policy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32"/>
                <w:szCs w:val="32"/>
              </w:rPr>
              <w:t xml:space="preserve">PREQAL</w:t>
            </w:r>
          </w:p>
        </w:tc>
        <w:tc>
          <w:tcPr>
            <w:tcW w:type="dxa" w:w="808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POL-02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Data pipeline test — Policy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POL-02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browser-saved Gravesande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2027-05-08</w:t>
            </w:r>
          </w:p>
        </w:tc>
      </w:tr>
      <w:tr>
        <w:tc>
          <w:tcPr>
            <w:tcW w:type="dxa" w:w="250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5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 9001:2015 §7.5; TT Data pipeline Act 2011</w:t>
            </w:r>
          </w:p>
        </w:tc>
      </w:tr>
    </w:tbl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Purpose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This policy sets out how Preqal collects, stores, uses, and protects personal and confidential data belonging to clients, prospects, and other parties.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Data We Collect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Preqal collects: name, email address, phone number, company name, job title, and service-related information provided through the website (preqal.org), email, or direct engagement.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How We Use Data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Data is used solely for: (a) providing contracted services, (b) managing the client relationship, (c) sending invoices and project communications, (d) following up on service enquiries.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We do not sell, share, or disclose personal data to third parties without explicit written consent, except where required by law.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Data Storage test Security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Client data is stored in: Supabase (encrypted, row-level security enabled), Google Workspace (2FA required), and local encrypted devices. All agentic workers accessing data operate within defined access controls per SOP-10.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Data Retention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Client project data is retained for 7 years post-project completion for legal and warranty purposes. Prospect data (non-converted leads) is deleted after 2 years of inactivity.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Your Rights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Clients have the right to: (a) access their personal data, (b) request correction, (c) request deletion (subject to legal retention requirements). Contact: stefan.gravesande@preqal.org.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b/>
          <w:bCs/>
          <w:color w:val="D97706"/>
          <w:sz w:val="24"/>
          <w:szCs w:val="24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Data Breaches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In the event of a data breach, affected parties will be notified within 72 hours of discovery. The incident will be logged in REG-07 (Non-Conformance Register) and investigated immediately.</w:t>
      </w:r>
    </w:p>
    <w:p>
      <w:pPr>
        <w:spacing w:after="140"/>
      </w:pP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Signed: _________________  |  Name: Dr. browser-saved Gravesande  |  Date: 2026-05-08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4748B"/>
        <w:sz w:val="18"/>
        <w:szCs w:val="18"/>
      </w:rPr>
      <w:t xml:space="preserve">Preqal | Confidential | Internal Use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2026-05-08T08:55:29.176Z</dcterms:created>
  <dcterms:modified xsi:type="dcterms:W3CDTF">2026-05-08T08:55:29.176Z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