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D97706"/>
                <w:sz w:val="32"/>
                <w:szCs w:val="32"/>
              </w:rPr>
              <w:t xml:space="preserve">PREQAL</w:t>
            </w:r>
          </w:p>
        </w:tc>
        <w:tc>
          <w:tcPr>
            <w:tcW w:type="dxa" w:w="8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D97706"/>
                <w:sz w:val="18"/>
                <w:szCs w:val="18"/>
              </w:rPr>
              <w:t xml:space="preserve">POL-05</w:t>
            </w:r>
          </w:p>
          <w:p>
            <w:pPr>
              <w:spacing w:after="140"/>
            </w:pPr>
            <w:r>
              <w:rPr>
                <w:rFonts w:ascii="Arial" w:cs="Arial" w:eastAsia="Arial" w:hAnsi="Arial"/>
                <w:b/>
                <w:bCs/>
                <w:color w:val="FFFFFF"/>
                <w:sz w:val="28"/>
                <w:szCs w:val="28"/>
              </w:rPr>
              <w:t xml:space="preserve">Confidentiality &amp; NDA Policy</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D97706"/>
                <w:sz w:val="32"/>
                <w:szCs w:val="32"/>
              </w:rPr>
              <w:t xml:space="preserve">PREQAL</w:t>
            </w:r>
          </w:p>
        </w:tc>
        <w:tc>
          <w:tcPr>
            <w:tcW w:type="dxa" w:w="808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D97706"/>
                <w:sz w:val="18"/>
                <w:szCs w:val="18"/>
              </w:rPr>
              <w:t xml:space="preserve">POL-05</w:t>
            </w:r>
          </w:p>
          <w:p>
            <w:pPr>
              <w:spacing w:after="140"/>
            </w:pPr>
            <w:r>
              <w:rPr>
                <w:rFonts w:ascii="Arial" w:cs="Arial" w:eastAsia="Arial" w:hAnsi="Arial"/>
                <w:b/>
                <w:bCs/>
                <w:color w:val="FFFFFF"/>
                <w:sz w:val="28"/>
                <w:szCs w:val="28"/>
              </w:rPr>
              <w:t xml:space="preserve">Confidentiality &amp; NDA Policy</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Document No</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POL-05</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Version</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1.0</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Effective Date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2026-05-08</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Owner</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Dr. Stefan Gravesande</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Review Date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2027-05-08</w:t>
            </w:r>
          </w:p>
        </w:tc>
      </w:tr>
      <w:tr>
        <w:tc>
          <w:tcPr>
            <w:tcW w:type="dxa" w:w="2500"/>
            <w:tcBorders>
              <w:top w:val="single" w:color="0F172A" w:sz="1"/>
              <w:left w:val="single" w:color="0F172A" w:sz="1"/>
              <w:bottom w:val="single" w:color="0F172A" w:sz="1"/>
              <w:right w:val="single" w:color="0F172A" w:sz="1"/>
            </w:tcBorders>
            <w:shd w:fill="0F172A" w:val="clear"/>
            <w:tcMar>
              <w:top w:type="dxa" w:w="80"/>
              <w:left w:type="dxa" w:w="120"/>
              <w:bottom w:type="dxa" w:w="80"/>
              <w:right w:type="dxa" w:w="120"/>
            </w:tcMar>
          </w:tcPr>
          <w:p>
            <w:pPr>
              <w:spacing w:after="140"/>
            </w:pPr>
            <w:r>
              <w:rPr>
                <w:rFonts w:ascii="Arial" w:cs="Arial" w:eastAsia="Arial" w:hAnsi="Arial"/>
                <w:b/>
                <w:bCs/>
                <w:color w:val="FFFFFF"/>
                <w:sz w:val="20"/>
                <w:szCs w:val="20"/>
              </w:rPr>
              <w:t xml:space="preserve">ISO Reference</w:t>
            </w:r>
          </w:p>
        </w:tc>
        <w:tc>
          <w:tcPr>
            <w:tcW w:type="dxa" w:w="7580"/>
            <w:tcBorders>
              <w:top w:val="single" w:color="CBD5E1" w:sz="1"/>
              <w:left w:val="single" w:color="CBD5E1" w:sz="1"/>
              <w:bottom w:val="single" w:color="CBD5E1" w:sz="1"/>
              <w:right w:val="single" w:color="CBD5E1" w:sz="1"/>
            </w:tcBorders>
            <w:tcMar>
              <w:top w:type="dxa" w:w="80"/>
              <w:left w:type="dxa" w:w="120"/>
              <w:bottom w:type="dxa" w:w="80"/>
              <w:right w:type="dxa" w:w="120"/>
            </w:tcMar>
          </w:tcPr>
          <w:p>
            <w:pPr>
              <w:spacing w:after="140"/>
            </w:pPr>
            <w:r>
              <w:rPr>
                <w:rFonts w:ascii="Arial" w:cs="Arial" w:eastAsia="Arial" w:hAnsi="Arial"/>
                <w:sz w:val="20"/>
                <w:szCs w:val="20"/>
              </w:rPr>
              <w:t xml:space="preserve">ISO 9001:2015 §7.5; TT Data Protection Act 2011</w:t>
            </w:r>
          </w:p>
        </w:tc>
      </w:tr>
    </w:tbl>
    <w:p>
      <w:pPr>
        <w:spacing w:after="140"/>
      </w:pPr>
    </w:p>
    <w:p>
      <w:pPr>
        <w:spacing w:after="140"/>
      </w:pPr>
      <w:r>
        <w:rPr>
          <w:rFonts w:ascii="Arial" w:cs="Arial" w:eastAsia="Arial" w:hAnsi="Arial"/>
          <w:b/>
          <w:bCs/>
          <w:color w:val="D97706"/>
          <w:sz w:val="24"/>
          <w:szCs w:val="24"/>
        </w:rPr>
        <w:t xml:space="preserve">1. </w:t>
      </w:r>
      <w:r>
        <w:rPr>
          <w:rFonts w:ascii="Arial" w:cs="Arial" w:eastAsia="Arial" w:hAnsi="Arial"/>
          <w:b/>
          <w:bCs/>
          <w:color w:val="0F172A"/>
          <w:sz w:val="24"/>
          <w:szCs w:val="24"/>
        </w:rPr>
        <w:t xml:space="preserve">Purpose</w:t>
      </w:r>
    </w:p>
    <w:p>
      <w:pPr>
        <w:spacing w:after="140"/>
      </w:pPr>
      <w:r>
        <w:rPr>
          <w:rFonts w:ascii="Arial" w:cs="Arial" w:eastAsia="Arial" w:hAnsi="Arial"/>
          <w:sz w:val="22"/>
          <w:szCs w:val="22"/>
        </w:rPr>
        <w:t xml:space="preserve">To define Preqal's obligations regarding client confidentiality and to establish the standard Non-Disclosure Agreement (NDA) terms that govern all engagements.</w:t>
      </w:r>
    </w:p>
    <w:p>
      <w:pPr>
        <w:spacing w:after="140"/>
      </w:pPr>
    </w:p>
    <w:p>
      <w:pPr>
        <w:spacing w:after="140"/>
      </w:pPr>
      <w:r>
        <w:rPr>
          <w:rFonts w:ascii="Arial" w:cs="Arial" w:eastAsia="Arial" w:hAnsi="Arial"/>
          <w:b/>
          <w:bCs/>
          <w:color w:val="D97706"/>
          <w:sz w:val="24"/>
          <w:szCs w:val="24"/>
        </w:rPr>
        <w:t xml:space="preserve">2. </w:t>
      </w:r>
      <w:r>
        <w:rPr>
          <w:rFonts w:ascii="Arial" w:cs="Arial" w:eastAsia="Arial" w:hAnsi="Arial"/>
          <w:b/>
          <w:bCs/>
          <w:color w:val="0F172A"/>
          <w:sz w:val="24"/>
          <w:szCs w:val="24"/>
        </w:rPr>
        <w:t xml:space="preserve">Confidentiality Obligations</w:t>
      </w:r>
    </w:p>
    <w:p>
      <w:pPr>
        <w:spacing w:after="140"/>
      </w:pPr>
      <w:r>
        <w:rPr>
          <w:rFonts w:ascii="Arial" w:cs="Arial" w:eastAsia="Arial" w:hAnsi="Arial"/>
          <w:sz w:val="22"/>
          <w:szCs w:val="22"/>
        </w:rPr>
        <w:t xml:space="preserve">Preqal treats all client information as strictly confidential. This includes: business processes, financial data, staff information, product formulations, client lists, audit findings, and any other proprietary information shared during the engagement.</w:t>
      </w:r>
    </w:p>
    <w:p>
      <w:pPr>
        <w:spacing w:after="140"/>
      </w:pPr>
      <w:r>
        <w:rPr>
          <w:rFonts w:ascii="Arial" w:cs="Arial" w:eastAsia="Arial" w:hAnsi="Arial"/>
          <w:sz w:val="22"/>
          <w:szCs w:val="22"/>
        </w:rPr>
        <w:t xml:space="preserve">Confidential information will not be: (a) disclosed to any third party without written consent, (b) used for any purpose other than delivering the contracted services, (c) retained beyond the agreed retention period.</w:t>
      </w:r>
    </w:p>
    <w:p>
      <w:pPr>
        <w:spacing w:after="140"/>
      </w:pPr>
    </w:p>
    <w:p>
      <w:pPr>
        <w:spacing w:after="140"/>
      </w:pPr>
      <w:r>
        <w:rPr>
          <w:rFonts w:ascii="Arial" w:cs="Arial" w:eastAsia="Arial" w:hAnsi="Arial"/>
          <w:b/>
          <w:bCs/>
          <w:color w:val="D97706"/>
          <w:sz w:val="24"/>
          <w:szCs w:val="24"/>
        </w:rPr>
        <w:t xml:space="preserve">3. </w:t>
      </w:r>
      <w:r>
        <w:rPr>
          <w:rFonts w:ascii="Arial" w:cs="Arial" w:eastAsia="Arial" w:hAnsi="Arial"/>
          <w:b/>
          <w:bCs/>
          <w:color w:val="0F172A"/>
          <w:sz w:val="24"/>
          <w:szCs w:val="24"/>
        </w:rPr>
        <w:t xml:space="preserve">Standard NDA Terms</w:t>
      </w:r>
    </w:p>
    <w:p>
      <w:pPr>
        <w:spacing w:after="140"/>
      </w:pPr>
      <w:r>
        <w:rPr>
          <w:rFonts w:ascii="Arial" w:cs="Arial" w:eastAsia="Arial" w:hAnsi="Arial"/>
          <w:sz w:val="22"/>
          <w:szCs w:val="22"/>
        </w:rPr>
        <w:t xml:space="preserve">Unless a client-specific NDA is in place, the following terms apply to all Preqal engagements by default:</w:t>
      </w:r>
    </w:p>
    <w:p>
      <w:pPr>
        <w:spacing w:after="140"/>
      </w:pPr>
      <w:r>
        <w:rPr>
          <w:rFonts w:ascii="Arial" w:cs="Arial" w:eastAsia="Arial" w:hAnsi="Arial"/>
          <w:sz w:val="22"/>
          <w:szCs w:val="22"/>
        </w:rPr>
        <w:t xml:space="preserve">  • Obligation period: 5 years from the end of the engagement</w:t>
      </w:r>
    </w:p>
    <w:p>
      <w:pPr>
        <w:spacing w:after="140"/>
      </w:pPr>
      <w:r>
        <w:rPr>
          <w:rFonts w:ascii="Arial" w:cs="Arial" w:eastAsia="Arial" w:hAnsi="Arial"/>
          <w:sz w:val="22"/>
          <w:szCs w:val="22"/>
        </w:rPr>
        <w:t xml:space="preserve">  • Scope: all non-public information shared by either party</w:t>
      </w:r>
    </w:p>
    <w:p>
      <w:pPr>
        <w:spacing w:after="140"/>
      </w:pPr>
      <w:r>
        <w:rPr>
          <w:rFonts w:ascii="Arial" w:cs="Arial" w:eastAsia="Arial" w:hAnsi="Arial"/>
          <w:sz w:val="22"/>
          <w:szCs w:val="22"/>
        </w:rPr>
        <w:t xml:space="preserve">  • Exclusions: information that becomes publicly available through no breach of this policy; information already known to Preqal at the time of disclosure</w:t>
      </w:r>
    </w:p>
    <w:p>
      <w:pPr>
        <w:spacing w:after="140"/>
      </w:pPr>
      <w:r>
        <w:rPr>
          <w:rFonts w:ascii="Arial" w:cs="Arial" w:eastAsia="Arial" w:hAnsi="Arial"/>
          <w:sz w:val="22"/>
          <w:szCs w:val="22"/>
        </w:rPr>
        <w:t xml:space="preserve">  • Governing law: Laws of Trinidad &amp; Tobago</w:t>
      </w:r>
    </w:p>
    <w:p>
      <w:pPr>
        <w:spacing w:after="140"/>
      </w:pPr>
    </w:p>
    <w:p>
      <w:pPr>
        <w:spacing w:after="140"/>
      </w:pPr>
      <w:r>
        <w:rPr>
          <w:rFonts w:ascii="Arial" w:cs="Arial" w:eastAsia="Arial" w:hAnsi="Arial"/>
          <w:b/>
          <w:bCs/>
          <w:color w:val="D97706"/>
          <w:sz w:val="24"/>
          <w:szCs w:val="24"/>
        </w:rPr>
        <w:t xml:space="preserve">4. </w:t>
      </w:r>
      <w:r>
        <w:rPr>
          <w:rFonts w:ascii="Arial" w:cs="Arial" w:eastAsia="Arial" w:hAnsi="Arial"/>
          <w:b/>
          <w:bCs/>
          <w:color w:val="0F172A"/>
          <w:sz w:val="24"/>
          <w:szCs w:val="24"/>
        </w:rPr>
        <w:t xml:space="preserve">Agentic Workers</w:t>
      </w:r>
    </w:p>
    <w:p>
      <w:pPr>
        <w:spacing w:after="140"/>
      </w:pPr>
      <w:r>
        <w:rPr>
          <w:rFonts w:ascii="Arial" w:cs="Arial" w:eastAsia="Arial" w:hAnsi="Arial"/>
          <w:sz w:val="22"/>
          <w:szCs w:val="22"/>
        </w:rPr>
        <w:t xml:space="preserve">Agentic workers (AI systems) engaged by Preqal to process client data operate under the same confidentiality obligations as human employees. Data processed by AI systems is subject to the same storage, access, and retention controls defined in POL-02.</w:t>
      </w:r>
    </w:p>
    <w:p>
      <w:pPr>
        <w:spacing w:after="140"/>
      </w:pPr>
    </w:p>
    <w:p>
      <w:pPr>
        <w:spacing w:after="140"/>
      </w:pPr>
      <w:r>
        <w:rPr>
          <w:rFonts w:ascii="Arial" w:cs="Arial" w:eastAsia="Arial" w:hAnsi="Arial"/>
          <w:b/>
          <w:bCs/>
          <w:color w:val="D97706"/>
          <w:sz w:val="24"/>
          <w:szCs w:val="24"/>
        </w:rPr>
        <w:t xml:space="preserve">5. </w:t>
      </w:r>
      <w:r>
        <w:rPr>
          <w:rFonts w:ascii="Arial" w:cs="Arial" w:eastAsia="Arial" w:hAnsi="Arial"/>
          <w:b/>
          <w:bCs/>
          <w:color w:val="0F172A"/>
          <w:sz w:val="24"/>
          <w:szCs w:val="24"/>
        </w:rPr>
        <w:t xml:space="preserve">Breach of Confidentiality</w:t>
      </w:r>
    </w:p>
    <w:p>
      <w:pPr>
        <w:spacing w:after="140"/>
      </w:pPr>
      <w:r>
        <w:rPr>
          <w:rFonts w:ascii="Arial" w:cs="Arial" w:eastAsia="Arial" w:hAnsi="Arial"/>
          <w:sz w:val="22"/>
          <w:szCs w:val="22"/>
        </w:rPr>
        <w:t xml:space="preserve">Any actual or suspected breach of confidentiality must be reported to Dr. Gravesande immediately. Breaches will be logged in REG-07 (Non-Conformance Register) and investigated as a Quality Event. Clients affected by a breach will be notified promptly.</w:t>
      </w:r>
    </w:p>
    <w:p>
      <w:pPr>
        <w:spacing w:after="140"/>
      </w:pPr>
    </w:p>
    <w:p>
      <w:pPr>
        <w:spacing w:after="140"/>
      </w:pPr>
      <w:r>
        <w:rPr>
          <w:rFonts w:ascii="Arial" w:cs="Arial" w:eastAsia="Arial" w:hAnsi="Arial"/>
          <w:b/>
          <w:bCs/>
          <w:color w:val="D97706"/>
          <w:sz w:val="24"/>
          <w:szCs w:val="24"/>
        </w:rPr>
        <w:t xml:space="preserve">6. </w:t>
      </w:r>
      <w:r>
        <w:rPr>
          <w:rFonts w:ascii="Arial" w:cs="Arial" w:eastAsia="Arial" w:hAnsi="Arial"/>
          <w:b/>
          <w:bCs/>
          <w:color w:val="0F172A"/>
          <w:sz w:val="24"/>
          <w:szCs w:val="24"/>
        </w:rPr>
        <w:t xml:space="preserve">Client Confidentiality Obligations</w:t>
      </w:r>
    </w:p>
    <w:p>
      <w:pPr>
        <w:spacing w:after="140"/>
      </w:pPr>
      <w:r>
        <w:rPr>
          <w:rFonts w:ascii="Arial" w:cs="Arial" w:eastAsia="Arial" w:hAnsi="Arial"/>
          <w:sz w:val="22"/>
          <w:szCs w:val="22"/>
        </w:rPr>
        <w:t xml:space="preserve">Clients receiving Preqal's proposals, methodologies, templates, and training materials agree to keep these confidential and not share them with third parties or competing consultancies.</w:t>
      </w:r>
    </w:p>
    <w:p>
      <w:pPr>
        <w:spacing w:after="140"/>
      </w:pPr>
    </w:p>
    <w:p>
      <w:pPr>
        <w:spacing w:after="140"/>
      </w:pPr>
      <w:r>
        <w:rPr>
          <w:rFonts w:ascii="Arial" w:cs="Arial" w:eastAsia="Arial" w:hAnsi="Arial"/>
          <w:sz w:val="22"/>
          <w:szCs w:val="22"/>
        </w:rPr>
        <w:t xml:space="preserve">Signed: _________________  |  Name: Dr. Stefan Gravesande  |  Date: 2026-05-08</w:t>
      </w:r>
    </w:p>
    <w:sectPr>
      <w:footerReference w:type="default" r:id="rId7"/>
      <w:pgSz w:w="12240" w:h="15840" w:orient="portrait"/>
      <w:pgMar w:top="1080" w:right="1080" w:bottom="1080" w:left="1080" w:header="708" w:footer="708" w:gutter="0"/>
      <w:pgNumType/>
      <w:docGrid w:linePitch="360"/>
    </w:sectPr>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8"/>
        <w:szCs w:val="18"/>
      </w:rPr>
      <w:t xml:space="preserve">Preqal | Confidential | Internal Use</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2026-05-08T08:55:29.210Z</dcterms:created>
  <dcterms:modified xsi:type="dcterms:W3CDTF">2026-05-08T08:55:29.210Z</dcterms:modified>
</cp:coreProperties>
</file>

<file path=docProps/custom.xml><?xml version="1.0" encoding="utf-8"?>
<Properties xmlns="http://schemas.openxmlformats.org/officeDocument/2006/custom-properties" xmlns:vt="http://schemas.openxmlformats.org/officeDocument/2006/docPropsVTypes"/>
</file>