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jurisdictions Policy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Preqal exists to help organizations in the agri-foods, poultry, and eco-hospitality sectors build management systems that actually work — systems that protect people, satisfy customers, and drive measurable improvements.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Our Quality Commitment</w:t>
      </w:r>
    </w:p>
    <w:p>
      <w:pPr>
        <w:spacing w:after="80"/>
      </w:pPr>
      <w:r>
        <w:t xml:space="preserve">Preqal is fully committed to:</w:t>
      </w:r>
    </w:p>
    <w:p>
      <w:pPr>
        <w:spacing w:after="80"/>
      </w:pPr>
      <w:r>
        <w:t xml:space="preserve">a) Delivering services that fully meet or exceed the requirements agreed with each client.</w:t>
      </w:r>
    </w:p>
    <w:p>
      <w:pPr>
        <w:spacing w:after="80"/>
      </w:pPr>
      <w:r>
        <w:t xml:space="preserve">b) Applying ISO 9001:2015 and related standards with rigour, accuracy, and integrity.</w:t>
      </w:r>
    </w:p>
    <w:p>
      <w:pPr>
        <w:spacing w:after="80"/>
      </w:pPr>
      <w:r>
        <w:t xml:space="preserve">c) Maintaining a culture of continual improvement in all our processes, tools, and outputs.</w:t>
      </w:r>
    </w:p>
    <w:p>
      <w:pPr>
        <w:spacing w:after="80"/>
      </w:pPr>
      <w:r>
        <w:t xml:space="preserve">d) Meeting applicable statutory and regulatory requirements in all jurisdictions we operate.</w:t>
      </w:r>
    </w:p>
    <w:p>
      <w:pPr>
        <w:spacing w:after="80"/>
      </w:pPr>
      <w:r>
        <w:t xml:space="preserve">e) Setting measurable quality objectives and reviewing them regularly to ensure they remain relevant and achievable.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Quality Objectives</w:t>
      </w:r>
    </w:p>
    <w:p>
      <w:pPr>
        <w:spacing w:after="80"/>
      </w:pPr>
      <w:r>
        <w:t xml:space="preserve">Preqal's current quality objectives include:</w:t>
      </w:r>
    </w:p>
    <w:p>
      <w:pPr>
        <w:spacing w:after="80"/>
      </w:pPr>
      <w:r>
        <w:t xml:space="preserve">  • 100% of proposals delivered within 48 hours of lead qualification (SOP-03)</w:t>
      </w:r>
    </w:p>
    <w:p>
      <w:pPr>
        <w:spacing w:after="80"/>
      </w:pPr>
      <w:r>
        <w:t xml:space="preserve">  • Average client NPS score ≥ 8 (SOP-07)</w:t>
      </w:r>
    </w:p>
    <w:p>
      <w:pPr>
        <w:spacing w:after="80"/>
      </w:pPr>
      <w:r>
        <w:t xml:space="preserve">  • 100% of invoices issued within 24 hours of trigger event (SOP-08)</w:t>
      </w:r>
    </w:p>
    <w:p>
      <w:pPr>
        <w:spacing w:after="80"/>
      </w:pPr>
      <w:r>
        <w:t xml:space="preserve">  • Client renewal rate ≥ 60% (SOP-09)</w:t>
      </w:r>
    </w:p>
    <w:p>
      <w:pPr>
        <w:spacing w:after="80"/>
      </w:pPr>
      <w:r>
        <w:t xml:space="preserve">These objectives are reviewed at each annual management review.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Responsibility</w:t>
      </w:r>
    </w:p>
    <w:p>
      <w:pPr>
        <w:spacing w:after="80"/>
      </w:pPr>
      <w: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</w:t>
      </w:r>
    </w:p>
    <w:p>
      <w:pPr>
        <w:spacing w:after="80"/>
      </w:pPr>
      <w: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after="80"/>
      </w:pPr>
      <w: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