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c>
          <w:tcPr>
            <w:tcW w:type="dxa" w:w="200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32"/>
                <w:szCs w:val="32"/>
              </w:rPr>
              <w:t xml:space="preserve">PREQAL</w:t>
            </w:r>
          </w:p>
        </w:tc>
        <w:tc>
          <w:tcPr>
            <w:tcW w:type="dxa" w:w="8080"/>
            <w:tcBorders>
              <w:top w:val="single" w:color="0F172A" w:sz="1"/>
              <w:left w:val="single" w:color="0F172A" w:sz="1"/>
              <w:bottom w:val="single" w:color="0F172A" w:sz="1"/>
              <w:right w:val="single" w:color="0F172A" w:sz="1"/>
            </w:tcBorders>
            <w:shd w:fill="0F172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D97706"/>
                <w:sz w:val="18"/>
                <w:szCs w:val="18"/>
              </w:rPr>
              <w:t xml:space="preserve">POL-01</w:t>
            </w:r>
          </w:p>
          <w:p>
            <w:pPr>
              <w:spacing w:after="140"/>
            </w:pPr>
            <w:r>
              <w:rPr>
                <w:rFonts w:ascii="Arial" w:cs="Arial" w:eastAsia="Arial" w:hAnsi="Arial"/>
                <w:b/>
                <w:bCs/>
                <w:color w:val="FFFFFF"/>
                <w:sz w:val="28"/>
                <w:szCs w:val="28"/>
              </w:rPr>
              <w:t xml:space="preserve">jurisdictions Policy</w:t>
            </w:r>
          </w:p>
        </w:tc>
      </w:tr>
    </w:tbl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Purpose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 exists to help organizations in the agri-foods, poultry, and eco-hospitality sectors build management systems that actually work — systems that protect people, satisfy customers, and drive measurable improvements.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Our Quality Commitment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 is fully committed to: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a) Delivering services that fully meet or exceed the requirements agreed with each client.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b) Applying ISO 9001:2015 and related standards with rigour, accuracy, and integrity.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c) Maintaining a culture of continual improvement in all our processes, tools, and outputs.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d) Meeting applicable statutory and regulatory requirements in all jurisdictions we operate.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e) Setting measurable quality objectives and reviewing them regularly to ensure they remain relevant and achievable.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Quality Objectives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Preqal's current quality objectives include: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100% of proposals delivered within 48 hours of lead qualification (SOP-03)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Average client NPS score ≥ 8 (SOP-07)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100% of invoices issued within 24 hours of trigger event (SOP-08)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  • Client renewal rate ≥ 60% (SOP-09)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These objectives are reviewed at each annual management review.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Responsibility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Dr. Stefan Gravesande, as Managing Director, is personally responsible for establishing, maintaining, and communicating this Quality Policy. All workers — human and agentic — are expected to understand and apply this policy in their roles.</w:t>
      </w:r>
    </w:p>
    <w:p>
      <w:pPr>
        <w:spacing w:line="360" w:lineRule="auto" w:before="240" w:after="80"/>
        <w:keepLines/>
      </w:pPr>
      <w:r>
        <w:rPr>
          <w:rFonts w:ascii="Times New Roman" w:hAnsi="Times New Roman" w:cs="Times New Roman"/>
          <w:b/>
          <w:bCs/>
          <w:sz w:val="28"/>
          <w:szCs w:val="28"/>
          <w:u w:val="single"/>
        </w:rPr>
        <w:t xml:space="preserve">Communication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This policy is available to all relevant parties at preqal.org and through the Preqal QMS document pack. It is reviewed annually and updated whenever the strategic context changes.</w:t>
      </w:r>
    </w:p>
    <w:p>
      <w:pPr>
        <w:spacing w:line="360" w:lineRule="auto" w:after="80"/>
        <w:keepLines/>
      </w:pPr>
      <w:r>
        <w:rPr>
          <w:rFonts w:ascii="Times New Roman" w:hAnsi="Times New Roman" w:cs="Times New Roman"/>
          <w:sz w:val="24"/>
          <w:szCs w:val="24"/>
        </w:rPr>
        <w:t xml:space="preserve">Signed: _________________  |  Name: Dr. Stefan Gravesande  |  Date: 2026-05-08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rFonts w:ascii="Arial" w:cs="Arial" w:eastAsia="Arial" w:hAnsi="Arial"/>
        <w:color w:val="64748B"/>
        <w:sz w:val="18"/>
        <w:szCs w:val="18"/>
      </w:rPr>
      <w:t xml:space="preserve">Preqal | Confidential | Internal Use</w:t>
    </w:r>
    <w:r>
      <w:rPr>
        <w:rFonts w:ascii="Arial" w:cs="Arial" w:eastAsia="Arial" w:hAnsi="Arial"/>
        <w:sz w:val="18"/>
        <w:szCs w:val="18"/>
      </w:rPr>
      <w:t xml:space="preserve">	</w:t>
    </w:r>
    <w:r>
      <w:rPr>
        <w:rFonts w:ascii="Arial" w:cs="Arial" w:eastAsia="Arial" w:hAnsi="Arial"/>
        <w:color w:val="64748B"/>
        <w:sz w:val="18"/>
        <w:szCs w:val="18"/>
      </w:rPr>
      <w:t xml:space="preserve">Page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2026-05-08T08:55:29.147Z</dcterms:created>
  <dcterms:modified xsi:type="dcterms:W3CDTF">2026-05-08T08:55:29.148Z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