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Arial" w:cs="Arial" w:eastAsia="Arial" w:hAnsi="Arial"/>
          <w:sz w:val="2"/>
          <w:szCs w:val="2"/>
        </w:rPr>
        <w:t xml:space="preserve"/>
      </w:r>
    </w:p>
    <w:p>
      <w:pPr>
        <w:spacing w:after="80" w:before="0"/>
        <w:jc w:val="center"/>
      </w:pPr>
      <w:r>
        <w:rPr>
          <w:rFonts w:ascii="Arial" w:cs="Arial" w:eastAsia="Arial" w:hAnsi="Arial"/>
          <w:b/>
          <w:bCs/>
          <w:color w:val="B8860B"/>
          <w:sz w:val="64"/>
          <w:szCs w:val="64"/>
        </w:rPr>
        <w:t xml:space="preserve">PREQAL</w:t>
      </w:r>
    </w:p>
    <w:p>
      <w:pPr>
        <w:spacing w:after="480" w:before="0"/>
        <w:jc w:val="center"/>
      </w:pPr>
      <w:r>
        <w:rPr>
          <w:rFonts w:ascii="Arial" w:cs="Arial" w:eastAsia="Arial" w:hAnsi="Arial"/>
          <w:i/>
          <w:iCs/>
          <w:color w:val="1E2D3D"/>
          <w:sz w:val="24"/>
          <w:szCs w:val="24"/>
        </w:rPr>
        <w:t xml:space="preserve">Quality, Safety &amp; ESG Management Systems</w:t>
      </w:r>
    </w:p>
    <w:p>
      <w:pPr>
        <w:pBdr>
          <w:bottom w:val="single" w:color="B8860B" w:sz="4" w:space="1"/>
        </w:pBdr>
        <w:spacing w:after="0" w:before="0"/>
      </w:pPr>
      <w:r>
        <w:rPr>
          <w:rFonts w:ascii="Arial" w:cs="Arial" w:eastAsia="Arial" w:hAnsi="Arial"/>
          <w:sz w:val="2"/>
          <w:szCs w:val="2"/>
        </w:rPr>
        <w:t xml:space="preserve"/>
      </w:r>
    </w:p>
    <w:p>
      <w:pPr>
        <w:spacing w:after="480" w:before="0"/>
      </w:pPr>
      <w:r>
        <w:rPr>
          <w:rFonts w:ascii="Arial" w:cs="Arial" w:eastAsia="Arial" w:hAnsi="Arial"/>
          <w:sz w:val="2"/>
          <w:szCs w:val="2"/>
        </w:rPr>
        <w:t xml:space="preserve"/>
      </w:r>
    </w:p>
    <w:p>
      <w:pPr>
        <w:spacing w:after="160" w:before="0"/>
        <w:jc w:val="center"/>
      </w:pPr>
      <w:r>
        <w:rPr>
          <w:rFonts w:ascii="Arial" w:cs="Arial" w:eastAsia="Arial" w:hAnsi="Arial"/>
          <w:b/>
          <w:bCs/>
          <w:color w:val="1E2D3D"/>
          <w:sz w:val="36"/>
          <w:szCs w:val="36"/>
        </w:rPr>
        <w:t xml:space="preserve">SERVICE PROPOSAL</w:t>
      </w:r>
    </w:p>
    <w:p>
      <w:pPr>
        <w:spacing w:after="80" w:before="0"/>
        <w:jc w:val="center"/>
      </w:pPr>
      <w:r>
        <w:rPr>
          <w:rFonts w:ascii="Arial" w:cs="Arial" w:eastAsia="Arial" w:hAnsi="Arial"/>
          <w:b/>
          <w:bCs/>
          <w:color w:val="444444"/>
          <w:sz w:val="28"/>
          <w:szCs w:val="28"/>
        </w:rPr>
        <w:t xml:space="preserve">ISO 9001:2015 Quality Management System</w:t>
      </w:r>
    </w:p>
    <w:p>
      <w:pPr>
        <w:spacing w:after="480" w:before="0"/>
        <w:jc w:val="center"/>
      </w:pPr>
      <w:r>
        <w:rPr>
          <w:rFonts w:ascii="Arial" w:cs="Arial" w:eastAsia="Arial" w:hAnsi="Arial"/>
          <w:b/>
          <w:bCs/>
          <w:color w:val="444444"/>
          <w:sz w:val="28"/>
          <w:szCs w:val="28"/>
        </w:rPr>
        <w:t xml:space="preserve">ISO 45001:2018 Occupational Health &amp; Safety Management System</w:t>
      </w:r>
    </w:p>
    <w:p>
      <w:pPr>
        <w:pBdr>
          <w:bottom w:val="single" w:color="DDDDDD" w:sz="4" w:space="1"/>
        </w:pBdr>
        <w:spacing w:after="0" w:before="0"/>
      </w:pPr>
      <w:r>
        <w:rPr>
          <w:rFonts w:ascii="Arial" w:cs="Arial" w:eastAsia="Arial" w:hAnsi="Arial"/>
          <w:sz w:val="2"/>
          <w:szCs w:val="2"/>
        </w:rPr>
        <w:t xml:space="preserve"/>
      </w:r>
    </w:p>
    <w:p>
      <w:pPr>
        <w:spacing w:after="320" w:before="0"/>
      </w:pPr>
      <w:r>
        <w:rPr>
          <w:rFonts w:ascii="Arial" w:cs="Arial" w:eastAsia="Arial" w:hAnsi="Arial"/>
          <w:sz w:val="2"/>
          <w:szCs w:val="2"/>
        </w:rPr>
        <w:t xml:space="preserve"/>
      </w:r>
    </w:p>
    <w:p>
      <w:pPr>
        <w:spacing w:after="60" w:before="0"/>
        <w:jc w:val="center"/>
      </w:pPr>
      <w:r>
        <w:rPr>
          <w:rFonts w:ascii="Arial" w:cs="Arial" w:eastAsia="Arial" w:hAnsi="Arial"/>
          <w:i/>
          <w:iCs/>
          <w:color w:val="888888"/>
          <w:sz w:val="22"/>
          <w:szCs w:val="22"/>
        </w:rPr>
        <w:t xml:space="preserve">Prepared for</w:t>
      </w:r>
    </w:p>
    <w:p>
      <w:pPr>
        <w:spacing w:after="40" w:before="0"/>
        <w:jc w:val="center"/>
      </w:pPr>
      <w:r>
        <w:rPr>
          <w:rFonts w:ascii="Arial" w:cs="Arial" w:eastAsia="Arial" w:hAnsi="Arial"/>
          <w:b/>
          <w:bCs/>
          <w:color w:val="1E2D3D"/>
          <w:sz w:val="32"/>
          <w:szCs w:val="32"/>
        </w:rPr>
        <w:t xml:space="preserve">JSB Investments Inc.</w:t>
      </w:r>
    </w:p>
    <w:p>
      <w:pPr>
        <w:spacing w:after="40" w:before="0"/>
        <w:jc w:val="center"/>
      </w:pPr>
      <w:r>
        <w:rPr>
          <w:rFonts w:ascii="Arial" w:cs="Arial" w:eastAsia="Arial" w:hAnsi="Arial"/>
          <w:color w:val="555555"/>
          <w:sz w:val="22"/>
          <w:szCs w:val="22"/>
        </w:rPr>
        <w:t xml:space="preserve">Jason Bhaskaran, Chief Executive Officer</w:t>
      </w:r>
    </w:p>
    <w:p>
      <w:pPr>
        <w:spacing w:after="320" w:before="0"/>
        <w:jc w:val="center"/>
      </w:pPr>
      <w:r>
        <w:rPr>
          <w:rFonts w:ascii="Arial" w:cs="Arial" w:eastAsia="Arial" w:hAnsi="Arial"/>
          <w:color w:val="777777"/>
          <w:sz w:val="22"/>
          <w:szCs w:val="22"/>
        </w:rPr>
        <w:t xml:space="preserve">Block R, Public Road, Soesdyke, East Bank Demerara, Guyana</w:t>
      </w:r>
    </w:p>
    <w:p>
      <w:pPr>
        <w:pBdr>
          <w:bottom w:val="single" w:color="DDDDDD" w:sz="4" w:space="1"/>
        </w:pBdr>
        <w:spacing w:after="0" w:before="0"/>
      </w:pPr>
      <w:r>
        <w:rPr>
          <w:rFonts w:ascii="Arial" w:cs="Arial" w:eastAsia="Arial" w:hAnsi="Arial"/>
          <w:sz w:val="2"/>
          <w:szCs w:val="2"/>
        </w:rPr>
        <w:t xml:space="preserve"/>
      </w:r>
    </w:p>
    <w:p>
      <w:pPr>
        <w:spacing w:after="160" w:before="0"/>
      </w:pPr>
      <w:r>
        <w:rPr>
          <w:rFonts w:ascii="Arial" w:cs="Arial" w:eastAsia="Arial" w:hAnsi="Arial"/>
          <w:sz w:val="2"/>
          <w:szCs w:val="2"/>
        </w:rPr>
        <w:t xml:space="preserve"/>
      </w:r>
    </w:p>
    <w:p>
      <w:pPr>
        <w:spacing w:after="40" w:before="0"/>
        <w:jc w:val="center"/>
      </w:pPr>
      <w:r>
        <w:rPr>
          <w:rFonts w:ascii="Arial" w:cs="Arial" w:eastAsia="Arial" w:hAnsi="Arial"/>
          <w:color w:val="888888"/>
          <w:sz w:val="20"/>
          <w:szCs w:val="20"/>
        </w:rPr>
        <w:t xml:space="preserve">Proposal Reference: PRE-2026-JSB-001</w:t>
      </w:r>
    </w:p>
    <w:p>
      <w:pPr>
        <w:spacing w:after="40" w:before="0"/>
        <w:jc w:val="center"/>
      </w:pPr>
      <w:r>
        <w:rPr>
          <w:rFonts w:ascii="Arial" w:cs="Arial" w:eastAsia="Arial" w:hAnsi="Arial"/>
          <w:color w:val="888888"/>
          <w:sz w:val="20"/>
          <w:szCs w:val="20"/>
        </w:rPr>
        <w:t xml:space="preserve">Date: 1 May 2026</w:t>
      </w:r>
    </w:p>
    <w:p>
      <w:pPr>
        <w:spacing w:after="40" w:before="0"/>
        <w:jc w:val="center"/>
      </w:pPr>
      <w:r>
        <w:rPr>
          <w:rFonts w:ascii="Arial" w:cs="Arial" w:eastAsia="Arial" w:hAnsi="Arial"/>
          <w:color w:val="888888"/>
          <w:sz w:val="20"/>
          <w:szCs w:val="20"/>
        </w:rPr>
        <w:t xml:space="preserve">Valid for 30 days from date of issue</w:t>
      </w:r>
    </w:p>
    <w:p>
      <w:pPr>
        <w:spacing w:after="960" w:before="0"/>
      </w:pPr>
      <w:r>
        <w:rPr>
          <w:rFonts w:ascii="Arial" w:cs="Arial" w:eastAsia="Arial" w:hAnsi="Arial"/>
          <w:sz w:val="2"/>
          <w:szCs w:val="2"/>
        </w:rPr>
        <w:t xml:space="preserve"/>
      </w:r>
    </w:p>
    <w:p>
      <w:pPr>
        <w:spacing w:after="40" w:before="0"/>
        <w:jc w:val="center"/>
      </w:pPr>
      <w:r>
        <w:rPr>
          <w:rFonts w:ascii="Arial" w:cs="Arial" w:eastAsia="Arial" w:hAnsi="Arial"/>
          <w:color w:val="999999"/>
          <w:sz w:val="20"/>
          <w:szCs w:val="20"/>
        </w:rPr>
        <w:t xml:space="preserve">Prepared by Preqal Inc.  |  preqal.org  |  stefan.gravesande@preqal.org</w:t>
      </w:r>
    </w:p>
    <w:p>
      <w:r>
        <w:br w:type="page"/>
      </w:r>
    </w:p>
    <w:p>
      <w:pPr>
        <w:pStyle w:val="Heading1"/>
        <w:spacing w:after="120" w:before="360"/>
      </w:pPr>
      <w:r>
        <w:rPr>
          <w:rFonts w:ascii="Arial" w:cs="Arial" w:eastAsia="Arial" w:hAnsi="Arial"/>
          <w:b/>
          <w:bCs/>
          <w:color w:val="1E2D3D"/>
          <w:sz w:val="28"/>
          <w:szCs w:val="28"/>
        </w:rPr>
        <w:t xml:space="preserve">Executive Summary</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JSB Investments Inc. is one of Guyana's most dynamic multi-sector conglomerates, with operations spanning aggregate mining, marine logistics, civil and commercial construction, building materials trading, real estate, and branding. Operating across five port facilities on the Demerara River, a quarry and block-manufacturing plant at Yarrowkabra, and construction sites across Guyana, the Group employs workers in high-risk environments every day.</w:t>
      </w:r>
    </w:p>
    <w:p>
      <w:pPr>
        <w:spacing w:after="120" w:before="80"/>
        <w:jc w:val="both"/>
      </w:pPr>
      <w:r>
        <w:rPr>
          <w:rFonts w:ascii="Arial" w:cs="Arial" w:eastAsia="Arial" w:hAnsi="Arial"/>
          <w:color w:val="333333"/>
          <w:sz w:val="22"/>
          <w:szCs w:val="22"/>
        </w:rPr>
        <w:t xml:space="preserve">Guyana's economy is undergoing historic transformation. The Local Content Act (2021) mandates the prioritisation of Guyanese suppliers, and international operators — ExxonMobil, Hess, SBM Offshore — require supplier qualification documentation that almost universally includes ISO 9001 certification. The window for Guyanese businesses to meet this bar is narrow, and JSB Investments is ideally positioned to capitalise on it with the right infrastructure.</w:t>
      </w:r>
    </w:p>
    <w:p>
      <w:pPr>
        <w:spacing w:after="120" w:before="80"/>
        <w:jc w:val="both"/>
      </w:pPr>
      <w:r>
        <w:rPr>
          <w:rFonts w:ascii="Arial" w:cs="Arial" w:eastAsia="Arial" w:hAnsi="Arial"/>
          <w:color w:val="333333"/>
          <w:sz w:val="22"/>
          <w:szCs w:val="22"/>
        </w:rPr>
        <w:t xml:space="preserve">Preqal proposes a comprehensive, 9-month implementation programme for ISO 9001:2015 (Quality Management System) and ISO 45001:2018 (Occupational Health &amp; Safety Management System) across the JSB Group. The programme is structured in three distinct phases — Foundation, Implementation, and Certification Readiness — and is designed to build internal capability, not create permanent dependency.</w:t>
      </w:r>
    </w:p>
    <w:p>
      <w:pPr>
        <w:spacing w:after="8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nil"/>
              <w:left w:val="nil"/>
              <w:bottom w:val="nil"/>
              <w:right w:val="nil"/>
            </w:tcBorders>
            <w:shd w:fill="1E2D3D" w:val="clear"/>
            <w:tcMar>
              <w:top w:type="dxa" w:w="120"/>
              <w:left w:type="dxa" w:w="180"/>
              <w:bottom w:type="dxa" w:w="120"/>
              <w:right w:type="dxa" w:w="180"/>
            </w:tcMar>
            <w:vAlign w:val="center"/>
          </w:tcPr>
          <w:p>
            <w:pPr>
              <w:jc w:val="left"/>
            </w:pPr>
            <w:r>
              <w:rPr>
                <w:rFonts w:ascii="Arial" w:cs="Arial" w:eastAsia="Arial" w:hAnsi="Arial"/>
                <w:b/>
                <w:bCs/>
                <w:color w:val="FFFFFF"/>
                <w:sz w:val="20"/>
                <w:szCs w:val="20"/>
              </w:rPr>
              <w:t xml:space="preserve">ENGAGEMENT OVERVIEW</w:t>
            </w:r>
          </w:p>
        </w:tc>
        <w:tc>
          <w:tcPr>
            <w:tcW w:type="dxa" w:w="7080"/>
            <w:tcBorders>
              <w:top w:val="nil"/>
              <w:left w:val="nil"/>
              <w:bottom w:val="nil"/>
              <w:right w:val="nil"/>
            </w:tcBorders>
            <w:shd w:fill="F5F5F5" w:val="clear"/>
            <w:tcMar>
              <w:top w:type="dxa" w:w="120"/>
              <w:left w:type="dxa" w:w="180"/>
              <w:bottom w:type="dxa" w:w="120"/>
              <w:right w:type="dxa" w:w="180"/>
            </w:tcMar>
          </w:tcPr>
          <w:p>
            <w:r>
              <w:rPr>
                <w:rFonts w:ascii="Arial" w:cs="Arial" w:eastAsia="Arial" w:hAnsi="Arial"/>
                <w:sz w:val="20"/>
                <w:szCs w:val="20"/>
              </w:rPr>
              <w:t xml:space="preserve"/>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Standards Targeted</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ISO 9001:2015  |  ISO 45001:2018</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Programme Duration</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9 months (3 phases × 3 months)</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Engagement Tier</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Tier 5 — Medium Enterprise</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Monthly Retainer</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GYD 180,000 (all-inclusive)</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Programme Investment</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GYD 1,620,000</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Payment Structure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Monthly in advance — first payment on programme start date</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Certification Body</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Client selects; Preqal coordinates audit readiness</w:t>
            </w:r>
          </w:p>
        </w:tc>
      </w:tr>
      <w:tr>
        <w:tc>
          <w:tcPr>
            <w:tcW w:type="dxa" w:w="3000"/>
            <w:tcBorders>
              <w:top w:val="single" w:color="DDDDDD" w:sz="1"/>
              <w:left w:val="single" w:color="DDDDDD" w:sz="1"/>
              <w:bottom w:val="single" w:color="DDDDDD" w:sz="1"/>
              <w:right w:val="single" w:color="DDDDDD" w:sz="1"/>
            </w:tcBorders>
            <w:shd w:fill="FFF8E7" w:val="clear"/>
            <w:tcMar>
              <w:top w:type="dxa" w:w="80"/>
              <w:left w:type="dxa" w:w="180"/>
              <w:bottom w:type="dxa" w:w="80"/>
              <w:right w:type="dxa" w:w="120"/>
            </w:tcMar>
            <w:vAlign w:val="center"/>
          </w:tcPr>
          <w:p>
            <w:r>
              <w:rPr>
                <w:rFonts w:ascii="Arial" w:cs="Arial" w:eastAsia="Arial" w:hAnsi="Arial"/>
                <w:b/>
                <w:bCs/>
                <w:color w:val="1E2D3D"/>
                <w:sz w:val="20"/>
                <w:szCs w:val="20"/>
              </w:rPr>
              <w:t xml:space="preserve">Scope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vAlign w:val="center"/>
          </w:tcPr>
          <w:p>
            <w:r>
              <w:rPr>
                <w:rFonts w:ascii="Arial" w:cs="Arial" w:eastAsia="Arial" w:hAnsi="Arial"/>
                <w:color w:val="333333"/>
                <w:sz w:val="20"/>
                <w:szCs w:val="20"/>
              </w:rPr>
              <w:t xml:space="preserve">JSB Investments Inc. Group — primary operations</w:t>
            </w:r>
          </w:p>
        </w:tc>
      </w:tr>
    </w:tbl>
    <w:p>
      <w:r>
        <w:br w:type="page"/>
      </w:r>
    </w:p>
    <w:p>
      <w:pPr>
        <w:pStyle w:val="Heading1"/>
        <w:spacing w:after="120" w:before="360"/>
      </w:pPr>
      <w:r>
        <w:rPr>
          <w:rFonts w:ascii="Arial" w:cs="Arial" w:eastAsia="Arial" w:hAnsi="Arial"/>
          <w:b/>
          <w:bCs/>
          <w:color w:val="1E2D3D"/>
          <w:sz w:val="28"/>
          <w:szCs w:val="28"/>
        </w:rPr>
        <w:t xml:space="preserve">About Preqal</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Preqal is a Guyanese management systems consultancy specialising in the design, implementation, and audit-readiness of ISO-certified Quality, Safety, and ESG management systems. We work with organisations across construction, extractive industries, logistics, and services — helping them build the operational backbone required to compete for government contracts, attract international partners, and operate safely.</w:t>
      </w:r>
    </w:p>
    <w:p>
      <w:pPr>
        <w:spacing w:after="120" w:before="80"/>
        <w:jc w:val="both"/>
      </w:pPr>
      <w:r>
        <w:rPr>
          <w:rFonts w:ascii="Arial" w:cs="Arial" w:eastAsia="Arial" w:hAnsi="Arial"/>
          <w:color w:val="333333"/>
          <w:sz w:val="22"/>
          <w:szCs w:val="22"/>
        </w:rPr>
        <w:t xml:space="preserve">We understand the Guyanese regulatory landscape, the demands of the oil and gas supply chain, and the practical realities of implementing systems in multi-site, multi-activity organisations. Our methodology prioritises internal ownership — we build your people's capability so that the system lives beyond the consultancy engagement.</w:t>
      </w:r>
    </w:p>
    <w:p>
      <w:pPr>
        <w:spacing w:after="8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Our Core Services</w:t>
      </w:r>
    </w:p>
    <w:p>
      <w:pPr>
        <w:pStyle w:val="ListParagraph"/>
        <w:numPr>
          <w:ilvl w:val="0"/>
          <w:numId w:val="2"/>
        </w:numPr>
        <w:spacing w:after="40" w:before="40"/>
      </w:pPr>
      <w:r>
        <w:rPr>
          <w:rFonts w:ascii="Arial" w:cs="Arial" w:eastAsia="Arial" w:hAnsi="Arial"/>
          <w:color w:val="333333"/>
          <w:sz w:val="22"/>
          <w:szCs w:val="22"/>
        </w:rPr>
        <w:t xml:space="preserve">ISO 9001:2015 Quality Management System Design &amp; Implementation</w:t>
      </w:r>
    </w:p>
    <w:p>
      <w:pPr>
        <w:pStyle w:val="ListParagraph"/>
        <w:numPr>
          <w:ilvl w:val="0"/>
          <w:numId w:val="2"/>
        </w:numPr>
        <w:spacing w:after="40" w:before="40"/>
      </w:pPr>
      <w:r>
        <w:rPr>
          <w:rFonts w:ascii="Arial" w:cs="Arial" w:eastAsia="Arial" w:hAnsi="Arial"/>
          <w:color w:val="333333"/>
          <w:sz w:val="22"/>
          <w:szCs w:val="22"/>
        </w:rPr>
        <w:t xml:space="preserve">ISO 45001:2018 Occupational Health &amp; Safety Management System Implementation</w:t>
      </w:r>
    </w:p>
    <w:p>
      <w:pPr>
        <w:pStyle w:val="ListParagraph"/>
        <w:numPr>
          <w:ilvl w:val="0"/>
          <w:numId w:val="2"/>
        </w:numPr>
        <w:spacing w:after="40" w:before="40"/>
      </w:pPr>
      <w:r>
        <w:rPr>
          <w:rFonts w:ascii="Arial" w:cs="Arial" w:eastAsia="Arial" w:hAnsi="Arial"/>
          <w:color w:val="333333"/>
          <w:sz w:val="22"/>
          <w:szCs w:val="22"/>
        </w:rPr>
        <w:t xml:space="preserve">ISO 14001:2015 Environmental Management System Consulting</w:t>
      </w:r>
    </w:p>
    <w:p>
      <w:pPr>
        <w:pStyle w:val="ListParagraph"/>
        <w:numPr>
          <w:ilvl w:val="0"/>
          <w:numId w:val="2"/>
        </w:numPr>
        <w:spacing w:after="40" w:before="40"/>
      </w:pPr>
      <w:r>
        <w:rPr>
          <w:rFonts w:ascii="Arial" w:cs="Arial" w:eastAsia="Arial" w:hAnsi="Arial"/>
          <w:color w:val="333333"/>
          <w:sz w:val="22"/>
          <w:szCs w:val="22"/>
        </w:rPr>
        <w:t xml:space="preserve">Internal Audit Training &amp; Execution</w:t>
      </w:r>
    </w:p>
    <w:p>
      <w:pPr>
        <w:pStyle w:val="ListParagraph"/>
        <w:numPr>
          <w:ilvl w:val="0"/>
          <w:numId w:val="2"/>
        </w:numPr>
        <w:spacing w:after="40" w:before="40"/>
      </w:pPr>
      <w:r>
        <w:rPr>
          <w:rFonts w:ascii="Arial" w:cs="Arial" w:eastAsia="Arial" w:hAnsi="Arial"/>
          <w:color w:val="333333"/>
          <w:sz w:val="22"/>
          <w:szCs w:val="22"/>
        </w:rPr>
        <w:t xml:space="preserve">Risk Register Development (Quality Risk &amp; HSE Risk)</w:t>
      </w:r>
    </w:p>
    <w:p>
      <w:pPr>
        <w:pStyle w:val="ListParagraph"/>
        <w:numPr>
          <w:ilvl w:val="0"/>
          <w:numId w:val="2"/>
        </w:numPr>
        <w:spacing w:after="40" w:before="40"/>
      </w:pPr>
      <w:r>
        <w:rPr>
          <w:rFonts w:ascii="Arial" w:cs="Arial" w:eastAsia="Arial" w:hAnsi="Arial"/>
          <w:color w:val="333333"/>
          <w:sz w:val="22"/>
          <w:szCs w:val="22"/>
        </w:rPr>
        <w:t xml:space="preserve">Management System Integration (IMS)</w:t>
      </w:r>
    </w:p>
    <w:p>
      <w:pPr>
        <w:pStyle w:val="ListParagraph"/>
        <w:numPr>
          <w:ilvl w:val="0"/>
          <w:numId w:val="2"/>
        </w:numPr>
        <w:spacing w:after="40" w:before="40"/>
      </w:pPr>
      <w:r>
        <w:rPr>
          <w:rFonts w:ascii="Arial" w:cs="Arial" w:eastAsia="Arial" w:hAnsi="Arial"/>
          <w:color w:val="333333"/>
          <w:sz w:val="22"/>
          <w:szCs w:val="22"/>
        </w:rPr>
        <w:t xml:space="preserve">Certification Body Coordination &amp; Stage 1 / Stage 2 Audit Support</w:t>
      </w:r>
    </w:p>
    <w:p>
      <w:pPr>
        <w:spacing w:after="160" w:before="0"/>
      </w:pPr>
      <w:r>
        <w:rPr>
          <w:rFonts w:ascii="Arial" w:cs="Arial" w:eastAsia="Arial" w:hAnsi="Arial"/>
          <w:sz w:val="2"/>
          <w:szCs w:val="2"/>
        </w:rPr>
        <w:t xml:space="preserve"/>
      </w:r>
    </w:p>
    <w:p>
      <w:r>
        <w:br w:type="page"/>
      </w:r>
    </w:p>
    <w:p>
      <w:pPr>
        <w:pStyle w:val="Heading1"/>
        <w:spacing w:after="120" w:before="360"/>
      </w:pPr>
      <w:r>
        <w:rPr>
          <w:rFonts w:ascii="Arial" w:cs="Arial" w:eastAsia="Arial" w:hAnsi="Arial"/>
          <w:b/>
          <w:bCs/>
          <w:color w:val="1E2D3D"/>
          <w:sz w:val="28"/>
          <w:szCs w:val="28"/>
        </w:rPr>
        <w:t xml:space="preserve">Our Understanding of JSB Investments</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JSB Investments Inc. is a fast-growing conglomerate established in 2017 and headquartered at Soesdyke, East Bank Demerara. The Group operates across six distinct lines of business under the leadership of founder and CEO Jason Bhaskaran, who is personally registered on Guyana's petroleum sector Local Content Register — signalling a clear strategic intent to participate in Guyana's oil and gas supply chain.</w:t>
      </w:r>
    </w:p>
    <w:p>
      <w:pPr>
        <w:spacing w:after="8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Group Structure &amp;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3000"/>
      </w:tblGrid>
      <w:tr>
        <w:trPr>
          <w:tblHeader/>
        </w:trPr>
        <w:tc>
          <w:tcPr>
            <w:tcW w:type="dxa" w:w="28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Subsidiary / Division</w:t>
            </w:r>
          </w:p>
        </w:tc>
        <w:tc>
          <w:tcPr>
            <w:tcW w:type="dxa" w:w="42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 Activities</w:t>
            </w:r>
          </w:p>
        </w:tc>
        <w:tc>
          <w:tcPr>
            <w:tcW w:type="dxa" w:w="30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Locations</w:t>
            </w:r>
          </w:p>
        </w:tc>
      </w:tr>
      <w:tr>
        <w:tc>
          <w:tcPr>
            <w:tcW w:type="dxa" w:w="28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JSB Investments Inc. (main)</w:t>
            </w:r>
          </w:p>
        </w:tc>
        <w:tc>
          <w:tcPr>
            <w:tcW w:type="dxa" w:w="42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Aggregate mining, silica sand export, port operations, barge/tug logistics</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Soesdyke, Yarrowkabra, Berbice, Linden</w:t>
            </w:r>
          </w:p>
        </w:tc>
      </w:tr>
      <w:tr>
        <w:tc>
          <w:tcPr>
            <w:tcW w:type="dxa" w:w="28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Trident Marine Trading Inc.</w:t>
            </w:r>
          </w:p>
        </w:tc>
        <w:tc>
          <w:tcPr>
            <w:tcW w:type="dxa" w:w="42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Marine cargo logistics, inter-island shipping, break-bulk transport</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Soesdyke Junction &amp; 4 other port facilities on Demerara River</w:t>
            </w:r>
          </w:p>
        </w:tc>
      </w:tr>
      <w:tr>
        <w:tc>
          <w:tcPr>
            <w:tcW w:type="dxa" w:w="28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Armoroc Construction &amp; Engineering</w:t>
            </w:r>
          </w:p>
        </w:tc>
        <w:tc>
          <w:tcPr>
            <w:tcW w:type="dxa" w:w="42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Design-build, commercial &amp; residential construction, civil works</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Guyana-wide project delivery</w:t>
            </w:r>
          </w:p>
        </w:tc>
      </w:tr>
      <w:tr>
        <w:tc>
          <w:tcPr>
            <w:tcW w:type="dxa" w:w="28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Armoroc Trading</w:t>
            </w:r>
          </w:p>
        </w:tc>
        <w:tc>
          <w:tcPr>
            <w:tcW w:type="dxa" w:w="42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Building materials retail: aggregates, HDPE pipes, machine hire</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Soesdyke &amp; La Retraite, West Bank</w:t>
            </w:r>
          </w:p>
        </w:tc>
      </w:tr>
      <w:tr>
        <w:tc>
          <w:tcPr>
            <w:tcW w:type="dxa" w:w="28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JSB Realty</w:t>
            </w:r>
          </w:p>
        </w:tc>
        <w:tc>
          <w:tcPr>
            <w:tcW w:type="dxa" w:w="42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Real estate development and property management</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Guyana</w:t>
            </w:r>
          </w:p>
        </w:tc>
      </w:tr>
      <w:tr>
        <w:tc>
          <w:tcPr>
            <w:tcW w:type="dxa" w:w="28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Ultra Prints</w:t>
            </w:r>
          </w:p>
        </w:tc>
        <w:tc>
          <w:tcPr>
            <w:tcW w:type="dxa" w:w="42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Print production, branding and graphic design</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Guyana</w:t>
            </w:r>
          </w:p>
        </w:tc>
      </w:tr>
    </w:tbl>
    <w:p>
      <w:pPr>
        <w:spacing w:after="16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Strategic Context &amp; Motivation for Certification</w:t>
      </w:r>
    </w:p>
    <w:p>
      <w:pPr>
        <w:spacing w:after="120" w:before="80"/>
        <w:jc w:val="both"/>
      </w:pPr>
      <w:r>
        <w:rPr>
          <w:rFonts w:ascii="Arial" w:cs="Arial" w:eastAsia="Arial" w:hAnsi="Arial"/>
          <w:color w:val="333333"/>
          <w:sz w:val="22"/>
          <w:szCs w:val="22"/>
        </w:rPr>
        <w:t xml:space="preserve">Our analysis identifies four compelling, commercially-grounded reasons why ISO 9001 and ISO 45001 implementation is not merely a compliance exercise for JSB Investments — it is a strategic investment:</w:t>
      </w:r>
    </w:p>
    <w:p>
      <w:pPr>
        <w:spacing w:after="60" w:before="0"/>
      </w:pPr>
      <w:r>
        <w:rPr>
          <w:rFonts w:ascii="Arial" w:cs="Arial" w:eastAsia="Arial" w:hAnsi="Arial"/>
          <w:sz w:val="2"/>
          <w:szCs w:val="2"/>
        </w:rPr>
        <w:t xml:space="preserve"/>
      </w:r>
    </w:p>
    <w:p>
      <w:pPr>
        <w:spacing w:after="40" w:before="60"/>
      </w:pPr>
      <w:r>
        <w:rPr>
          <w:rFonts w:ascii="Arial" w:cs="Arial" w:eastAsia="Arial" w:hAnsi="Arial"/>
          <w:b/>
          <w:bCs/>
          <w:color w:val="1E2D3D"/>
          <w:sz w:val="22"/>
          <w:szCs w:val="22"/>
        </w:rPr>
        <w:t xml:space="preserve">1. Oil &amp; Gas Supply Chain Access</w:t>
      </w:r>
      <w:r>
        <w:rPr>
          <w:rFonts w:ascii="Arial" w:cs="Arial" w:eastAsia="Arial" w:hAnsi="Arial"/>
          <w:color w:val="444444"/>
          <w:sz w:val="22"/>
          <w:szCs w:val="22"/>
        </w:rPr>
        <w:t xml:space="preserve">  —  International operators operating in Guyana under the Local Content Act require suppliers to demonstrate documented quality management systems. ISO 9001 certification is the internationally recognised baseline credential. Jason Bhaskaran's personal registration on the LC Register signals that JSB is targeting this market; certification closes the gap between intent and qualification.</w:t>
      </w:r>
    </w:p>
    <w:p>
      <w:pPr>
        <w:spacing w:after="40" w:before="60"/>
      </w:pPr>
      <w:r>
        <w:rPr>
          <w:rFonts w:ascii="Arial" w:cs="Arial" w:eastAsia="Arial" w:hAnsi="Arial"/>
          <w:b/>
          <w:bCs/>
          <w:color w:val="1E2D3D"/>
          <w:sz w:val="22"/>
          <w:szCs w:val="22"/>
        </w:rPr>
        <w:t xml:space="preserve">2. Worker Safety &amp; Legal Exposure</w:t>
      </w:r>
      <w:r>
        <w:rPr>
          <w:rFonts w:ascii="Arial" w:cs="Arial" w:eastAsia="Arial" w:hAnsi="Arial"/>
          <w:color w:val="444444"/>
          <w:sz w:val="22"/>
          <w:szCs w:val="22"/>
        </w:rPr>
        <w:t xml:space="preserve">  —  JSB's operations include sand quarrying, marine barge and tug operations, port loading, concrete block manufacturing, and civil construction — all classified as high-risk activities under Guyana's Occupational Safety and Health Act. ISO 45001 provides the systematic framework to manage these risks, reduce accidents, and demonstrate due diligence to regulators, insurers, and clients.</w:t>
      </w:r>
    </w:p>
    <w:p>
      <w:pPr>
        <w:spacing w:after="40" w:before="60"/>
      </w:pPr>
      <w:r>
        <w:rPr>
          <w:rFonts w:ascii="Arial" w:cs="Arial" w:eastAsia="Arial" w:hAnsi="Arial"/>
          <w:b/>
          <w:bCs/>
          <w:color w:val="1E2D3D"/>
          <w:sz w:val="22"/>
          <w:szCs w:val="22"/>
        </w:rPr>
        <w:t xml:space="preserve">3. Group Scalability</w:t>
      </w:r>
      <w:r>
        <w:rPr>
          <w:rFonts w:ascii="Arial" w:cs="Arial" w:eastAsia="Arial" w:hAnsi="Arial"/>
          <w:color w:val="444444"/>
          <w:sz w:val="22"/>
          <w:szCs w:val="22"/>
        </w:rPr>
        <w:t xml:space="preserve">  —  Managing six subsidiaries across seven-plus physical locations without documented processes creates hidden risk — in service quality, supplier management, and incident response. ISO 9001's process approach provides the operational architecture for JSB to scale without losing control.</w:t>
      </w:r>
    </w:p>
    <w:p>
      <w:pPr>
        <w:spacing w:after="40" w:before="60"/>
      </w:pPr>
      <w:r>
        <w:rPr>
          <w:rFonts w:ascii="Arial" w:cs="Arial" w:eastAsia="Arial" w:hAnsi="Arial"/>
          <w:b/>
          <w:bCs/>
          <w:color w:val="1E2D3D"/>
          <w:sz w:val="22"/>
          <w:szCs w:val="22"/>
        </w:rPr>
        <w:t xml:space="preserve">4. International &amp; Caribbean Market Access</w:t>
      </w:r>
      <w:r>
        <w:rPr>
          <w:rFonts w:ascii="Arial" w:cs="Arial" w:eastAsia="Arial" w:hAnsi="Arial"/>
          <w:color w:val="444444"/>
          <w:sz w:val="22"/>
          <w:szCs w:val="22"/>
        </w:rPr>
        <w:t xml:space="preserve">  —  JSB's barge and tug fleet serves Caribbean destinations. Certification positions JSB as a credible, auditable supplier in regional procurement contexts where ISO certification is increasingly expected.</w:t>
      </w:r>
    </w:p>
    <w:p>
      <w:pPr>
        <w:spacing w:after="8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Current Health &amp; Safety Risk Profile</w:t>
      </w:r>
    </w:p>
    <w:p>
      <w:pPr>
        <w:spacing w:after="120" w:before="80"/>
        <w:jc w:val="both"/>
      </w:pPr>
      <w:r>
        <w:rPr>
          <w:rFonts w:ascii="Arial" w:cs="Arial" w:eastAsia="Arial" w:hAnsi="Arial"/>
          <w:color w:val="333333"/>
          <w:sz w:val="22"/>
          <w:szCs w:val="22"/>
        </w:rPr>
        <w:t xml:space="preserve">The following high-risk activities are present within JSB Group operations and fall within the scope of ISO 45001 implementation:</w:t>
      </w:r>
    </w:p>
    <w:p>
      <w:pPr>
        <w:spacing w:after="4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Operational Activity</w:t>
            </w:r>
          </w:p>
        </w:tc>
        <w:tc>
          <w:tcPr>
            <w:tcW w:type="dxa" w:w="65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Relevant H&amp;S Hazard Categories</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Sand quarrying &amp; dredging</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Excavation collapse, silica dust inhalation (COPD risk), heavy machinery, noise</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Marine barge &amp; tug operations</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Drowning / man-overboard, vessel collision, heavy lift, working at sea</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Port loading &amp; unloading</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Struck-by, crush injuries, vehicle-pedestrian interface, fall from height</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Concrete block manufacturing</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Machinery entanglement, noise, cement dust, manual handling injuries</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Civil &amp; road construction</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Fall from height, excavation hazards, moving plant, electrocution</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Commercial building construction</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Scaffolding falls, structural collapse, hand tool injuries</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Heavy equipment operation</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Operator crush, rollover, maintenance hazards</w:t>
            </w:r>
          </w:p>
        </w:tc>
      </w:tr>
      <w:tr>
        <w:tc>
          <w:tcPr>
            <w:tcW w:type="dxa" w:w="35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Bulk marine cargo transport</w:t>
            </w:r>
          </w:p>
        </w:tc>
        <w:tc>
          <w:tcPr>
            <w:tcW w:type="dxa" w:w="65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Cargo shift, mooring hazards, vessel capsize risk</w:t>
            </w:r>
          </w:p>
        </w:tc>
      </w:tr>
    </w:tbl>
    <w:p>
      <w:r>
        <w:br w:type="page"/>
      </w:r>
    </w:p>
    <w:p>
      <w:pPr>
        <w:pStyle w:val="Heading1"/>
        <w:spacing w:after="120" w:before="360"/>
      </w:pPr>
      <w:r>
        <w:rPr>
          <w:rFonts w:ascii="Arial" w:cs="Arial" w:eastAsia="Arial" w:hAnsi="Arial"/>
          <w:b/>
          <w:bCs/>
          <w:color w:val="1E2D3D"/>
          <w:sz w:val="28"/>
          <w:szCs w:val="28"/>
        </w:rPr>
        <w:t xml:space="preserve">Scope of Work</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The proposed scope of work covers the design, documentation, training, and implementation of two integrated management systems across JSB Investments Inc. and its primary operating subsidiaries.</w:t>
      </w:r>
    </w:p>
    <w:p>
      <w:pPr>
        <w:spacing w:after="8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Standards in Scope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Standard</w:t>
            </w:r>
          </w:p>
        </w:tc>
        <w:tc>
          <w:tcPr>
            <w:tcW w:type="dxa" w:w="34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Full Title</w:t>
            </w:r>
          </w:p>
        </w:tc>
        <w:tc>
          <w:tcPr>
            <w:tcW w:type="dxa" w:w="44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Application</w:t>
            </w:r>
          </w:p>
        </w:tc>
      </w:tr>
      <w:tr>
        <w:tc>
          <w:tcPr>
            <w:tcW w:type="dxa" w:w="22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9001:2015</w:t>
            </w:r>
          </w:p>
        </w:tc>
        <w:tc>
          <w:tcPr>
            <w:tcW w:type="dxa" w:w="34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Quality Management System</w:t>
            </w:r>
          </w:p>
        </w:tc>
        <w:tc>
          <w:tcPr>
            <w:tcW w:type="dxa" w:w="44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All JSB Group service lines and sales processes; customer satisfaction, supplier control, process documentation</w:t>
            </w:r>
          </w:p>
        </w:tc>
      </w:tr>
      <w:tr>
        <w:tc>
          <w:tcPr>
            <w:tcW w:type="dxa" w:w="22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45001:2018</w:t>
            </w:r>
          </w:p>
        </w:tc>
        <w:tc>
          <w:tcPr>
            <w:tcW w:type="dxa" w:w="34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Occupational Health &amp; Safety Management System</w:t>
            </w:r>
          </w:p>
        </w:tc>
        <w:tc>
          <w:tcPr>
            <w:tcW w:type="dxa" w:w="44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All operational sites: quarry, ports, manufacturing plant, construction sites, marine vessels</w:t>
            </w:r>
          </w:p>
        </w:tc>
      </w:tr>
    </w:tbl>
    <w:p>
      <w:pPr>
        <w:spacing w:after="16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Organisational Scope</w:t>
      </w:r>
    </w:p>
    <w:p>
      <w:pPr>
        <w:spacing w:after="120" w:before="80"/>
        <w:jc w:val="both"/>
      </w:pPr>
      <w:r>
        <w:rPr>
          <w:rFonts w:ascii="Arial" w:cs="Arial" w:eastAsia="Arial" w:hAnsi="Arial"/>
          <w:color w:val="333333"/>
          <w:sz w:val="22"/>
          <w:szCs w:val="22"/>
        </w:rPr>
        <w:t xml:space="preserve">The primary scope will cover JSB Investments Inc. as the parent entity, with operational inclusion of Trident Marine Trading Inc., Armoroc Construction &amp; Engineering Inc., and Armoroc Trading. Subsidiaries with lower operational risk (JSB Realty, Ultra Prints) may be included in a subsequent phase or excluded from the initial certification scope — this will be confirmed during the Gap Analysis in Phase 1.</w:t>
      </w:r>
    </w:p>
    <w:p>
      <w:pPr>
        <w:spacing w:after="8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Key Deliverables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80"/>
        <w:gridCol w:w="4700"/>
      </w:tblGrid>
      <w:tr>
        <w:trPr>
          <w:tblHeader/>
        </w:trPr>
        <w:tc>
          <w:tcPr>
            <w:tcW w:type="dxa" w:w="7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46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w:t>
            </w:r>
          </w:p>
        </w:tc>
        <w:tc>
          <w:tcPr>
            <w:tcW w:type="dxa" w:w="47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Standard(s)</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Gap Analysis Report (baseline current state vs. ISO 9001 &amp; 45001)</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2</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Context of the Organisation Register (internal/external issues, interested parties)</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3</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Quality Policy &amp; OHS Policy (signed by top management)</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4</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Quality Objectives Register with KPIs</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OHS Objectives &amp; Targets Register</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6</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Risk &amp; Opportunity Register (Quality)</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7</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Hazard Identification, Risk Assessment &amp; Control (HIRAC) Register</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8</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Process Map Library (core processes across all operating subsidiaries)</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9</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Documented Information Control Procedure</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10</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Corrective Action &amp; Nonconformity Procedure</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11</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Supplier Evaluation &amp; Approved Supplier List</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12</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Emergency Preparedness &amp; Response Plans (marine, quarry, construction)</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13</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Internal Audit Programme &amp; Audit Checklists</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14</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Management Review Meeting Agenda &amp; Minutes Templates</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15</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Competence &amp; Training Matrix</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16</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Incident Investigation Procedure</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17</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Internal Audit Execution (minimum 1 full cycle)</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r>
        <w:tc>
          <w:tcPr>
            <w:tcW w:type="dxa" w:w="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18</w:t>
            </w:r>
          </w:p>
        </w:tc>
        <w:tc>
          <w:tcPr>
            <w:tcW w:type="dxa" w:w="46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Pre-Certification Readiness Review Report</w:t>
            </w:r>
          </w:p>
        </w:tc>
        <w:tc>
          <w:tcPr>
            <w:tcW w:type="dxa" w:w="47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ISO 9001 / ISO 45001</w:t>
            </w:r>
          </w:p>
        </w:tc>
      </w:tr>
    </w:tbl>
    <w:p>
      <w:r>
        <w:br w:type="page"/>
      </w:r>
    </w:p>
    <w:p>
      <w:pPr>
        <w:pStyle w:val="Heading1"/>
        <w:spacing w:after="120" w:before="360"/>
      </w:pPr>
      <w:r>
        <w:rPr>
          <w:rFonts w:ascii="Arial" w:cs="Arial" w:eastAsia="Arial" w:hAnsi="Arial"/>
          <w:b/>
          <w:bCs/>
          <w:color w:val="1E2D3D"/>
          <w:sz w:val="28"/>
          <w:szCs w:val="28"/>
        </w:rPr>
        <w:t xml:space="preserve">Implementation Methodology</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Preqal's 9-month implementation programme is structured in three sequential phases, each building on the last. Each phase culminates in a milestone review with JSB leadership to confirm readiness before proceeding.</w:t>
      </w:r>
    </w:p>
    <w:p>
      <w:pPr>
        <w:spacing w:after="8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760"/>
      </w:tblGrid>
      <w:tr>
        <w:trPr>
          <w:tblHeader/>
        </w:trPr>
        <w:tc>
          <w:tcPr>
            <w:tcW w:type="dxa" w:w="144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8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576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Focus</w:t>
            </w:r>
          </w:p>
        </w:tc>
      </w:tr>
      <w:tr>
        <w:tc>
          <w:tcPr>
            <w:tcW w:type="dxa" w:w="144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Phase 1</w:t>
            </w:r>
          </w:p>
        </w:tc>
        <w:tc>
          <w:tcPr>
            <w:tcW w:type="dxa" w:w="28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Months 1–3</w:t>
            </w:r>
          </w:p>
        </w:tc>
        <w:tc>
          <w:tcPr>
            <w:tcW w:type="dxa" w:w="576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Foundation — Diagnosis, Context, Policy &amp; Risk</w:t>
            </w:r>
          </w:p>
        </w:tc>
      </w:tr>
      <w:tr>
        <w:tc>
          <w:tcPr>
            <w:tcW w:type="dxa" w:w="144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Phase 2</w:t>
            </w:r>
          </w:p>
        </w:tc>
        <w:tc>
          <w:tcPr>
            <w:tcW w:type="dxa" w:w="28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Months 4–6</w:t>
            </w:r>
          </w:p>
        </w:tc>
        <w:tc>
          <w:tcPr>
            <w:tcW w:type="dxa" w:w="576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Implementation — Processes, Procedures, Training</w:t>
            </w:r>
          </w:p>
        </w:tc>
      </w:tr>
      <w:tr>
        <w:tc>
          <w:tcPr>
            <w:tcW w:type="dxa" w:w="144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Phase 3</w:t>
            </w:r>
          </w:p>
        </w:tc>
        <w:tc>
          <w:tcPr>
            <w:tcW w:type="dxa" w:w="28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Months 7–9</w:t>
            </w:r>
          </w:p>
        </w:tc>
        <w:tc>
          <w:tcPr>
            <w:tcW w:type="dxa" w:w="576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Certification Readiness — Internal Audit, Management Review, Pre-Audit</w:t>
            </w:r>
          </w:p>
        </w:tc>
      </w:tr>
    </w:tbl>
    <w:p>
      <w:pPr>
        <w:spacing w:after="20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Phase 1 — Foundation (Months 1–3)</w:t>
      </w:r>
    </w:p>
    <w:p>
      <w:pPr>
        <w:spacing w:after="120" w:before="80"/>
        <w:jc w:val="both"/>
      </w:pPr>
      <w:r>
        <w:rPr>
          <w:rFonts w:ascii="Arial" w:cs="Arial" w:eastAsia="Arial" w:hAnsi="Arial"/>
          <w:color w:val="333333"/>
          <w:sz w:val="22"/>
          <w:szCs w:val="22"/>
        </w:rPr>
        <w:t xml:space="preserve">Phase 1 establishes the strategic and documentary foundation for both management systems. Key activities include:</w:t>
      </w:r>
    </w:p>
    <w:p>
      <w:pPr>
        <w:pStyle w:val="ListParagraph"/>
        <w:numPr>
          <w:ilvl w:val="0"/>
          <w:numId w:val="2"/>
        </w:numPr>
        <w:spacing w:after="40" w:before="40"/>
      </w:pPr>
      <w:r>
        <w:rPr>
          <w:rFonts w:ascii="Arial" w:cs="Arial" w:eastAsia="Arial" w:hAnsi="Arial"/>
          <w:color w:val="333333"/>
          <w:sz w:val="22"/>
          <w:szCs w:val="22"/>
        </w:rPr>
        <w:t xml:space="preserve">Kick-off workshop with JSB senior leadership and site managers</w:t>
      </w:r>
    </w:p>
    <w:p>
      <w:pPr>
        <w:pStyle w:val="ListParagraph"/>
        <w:numPr>
          <w:ilvl w:val="0"/>
          <w:numId w:val="2"/>
        </w:numPr>
        <w:spacing w:after="40" w:before="40"/>
      </w:pPr>
      <w:r>
        <w:rPr>
          <w:rFonts w:ascii="Arial" w:cs="Arial" w:eastAsia="Arial" w:hAnsi="Arial"/>
          <w:color w:val="333333"/>
          <w:sz w:val="22"/>
          <w:szCs w:val="22"/>
        </w:rPr>
        <w:t xml:space="preserve">Gap Analysis: formal assessment of current state versus ISO 9001:2015 and ISO 45001:2018 requirements across all in-scope sites</w:t>
      </w:r>
    </w:p>
    <w:p>
      <w:pPr>
        <w:pStyle w:val="ListParagraph"/>
        <w:numPr>
          <w:ilvl w:val="0"/>
          <w:numId w:val="2"/>
        </w:numPr>
        <w:spacing w:after="40" w:before="40"/>
      </w:pPr>
      <w:r>
        <w:rPr>
          <w:rFonts w:ascii="Arial" w:cs="Arial" w:eastAsia="Arial" w:hAnsi="Arial"/>
          <w:color w:val="333333"/>
          <w:sz w:val="22"/>
          <w:szCs w:val="22"/>
        </w:rPr>
        <w:t xml:space="preserve">Context of the Organisation workshop: identification of internal and external issues, interested parties, and scope determination</w:t>
      </w:r>
    </w:p>
    <w:p>
      <w:pPr>
        <w:pStyle w:val="ListParagraph"/>
        <w:numPr>
          <w:ilvl w:val="0"/>
          <w:numId w:val="2"/>
        </w:numPr>
        <w:spacing w:after="40" w:before="40"/>
      </w:pPr>
      <w:r>
        <w:rPr>
          <w:rFonts w:ascii="Arial" w:cs="Arial" w:eastAsia="Arial" w:hAnsi="Arial"/>
          <w:color w:val="333333"/>
          <w:sz w:val="22"/>
          <w:szCs w:val="22"/>
        </w:rPr>
        <w:t xml:space="preserve">Development and sign-off of Quality Policy and OHS Policy</w:t>
      </w:r>
    </w:p>
    <w:p>
      <w:pPr>
        <w:pStyle w:val="ListParagraph"/>
        <w:numPr>
          <w:ilvl w:val="0"/>
          <w:numId w:val="2"/>
        </w:numPr>
        <w:spacing w:after="40" w:before="40"/>
      </w:pPr>
      <w:r>
        <w:rPr>
          <w:rFonts w:ascii="Arial" w:cs="Arial" w:eastAsia="Arial" w:hAnsi="Arial"/>
          <w:color w:val="333333"/>
          <w:sz w:val="22"/>
          <w:szCs w:val="22"/>
        </w:rPr>
        <w:t xml:space="preserve">Leadership engagement sessions and roles/responsibilities mapping (Clause 5 — Leadership)</w:t>
      </w:r>
    </w:p>
    <w:p>
      <w:pPr>
        <w:pStyle w:val="ListParagraph"/>
        <w:numPr>
          <w:ilvl w:val="0"/>
          <w:numId w:val="2"/>
        </w:numPr>
        <w:spacing w:after="40" w:before="40"/>
      </w:pPr>
      <w:r>
        <w:rPr>
          <w:rFonts w:ascii="Arial" w:cs="Arial" w:eastAsia="Arial" w:hAnsi="Arial"/>
          <w:color w:val="333333"/>
          <w:sz w:val="22"/>
          <w:szCs w:val="22"/>
        </w:rPr>
        <w:t xml:space="preserve">Initial Risk &amp; Opportunity Register (ISO 9001) and HIRAC Register (ISO 45001)</w:t>
      </w:r>
    </w:p>
    <w:p>
      <w:pPr>
        <w:pStyle w:val="ListParagraph"/>
        <w:numPr>
          <w:ilvl w:val="0"/>
          <w:numId w:val="2"/>
        </w:numPr>
        <w:spacing w:after="40" w:before="40"/>
      </w:pPr>
      <w:r>
        <w:rPr>
          <w:rFonts w:ascii="Arial" w:cs="Arial" w:eastAsia="Arial" w:hAnsi="Arial"/>
          <w:color w:val="333333"/>
          <w:sz w:val="22"/>
          <w:szCs w:val="22"/>
        </w:rPr>
        <w:t xml:space="preserve">Legal &amp; Other Requirements Register (OHS legislation, EPA obligations, Local Content Act)</w:t>
      </w:r>
    </w:p>
    <w:p>
      <w:pPr>
        <w:pStyle w:val="ListParagraph"/>
        <w:numPr>
          <w:ilvl w:val="0"/>
          <w:numId w:val="2"/>
        </w:numPr>
        <w:spacing w:after="40" w:before="40"/>
      </w:pPr>
      <w:r>
        <w:rPr>
          <w:rFonts w:ascii="Arial" w:cs="Arial" w:eastAsia="Arial" w:hAnsi="Arial"/>
          <w:color w:val="333333"/>
          <w:sz w:val="22"/>
          <w:szCs w:val="22"/>
        </w:rPr>
        <w:t xml:space="preserve">Phase 1 Milestone Review with JSB CEO</w:t>
      </w:r>
    </w:p>
    <w:p>
      <w:pPr>
        <w:spacing w:after="12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Phase 2 — Implementation (Months 4–6)</w:t>
      </w:r>
    </w:p>
    <w:p>
      <w:pPr>
        <w:spacing w:after="120" w:before="80"/>
        <w:jc w:val="both"/>
      </w:pPr>
      <w:r>
        <w:rPr>
          <w:rFonts w:ascii="Arial" w:cs="Arial" w:eastAsia="Arial" w:hAnsi="Arial"/>
          <w:color w:val="333333"/>
          <w:sz w:val="22"/>
          <w:szCs w:val="22"/>
        </w:rPr>
        <w:t xml:space="preserve">Phase 2 translates the strategic framework into operational procedures and documented processes across all sites:</w:t>
      </w:r>
    </w:p>
    <w:p>
      <w:pPr>
        <w:pStyle w:val="ListParagraph"/>
        <w:numPr>
          <w:ilvl w:val="0"/>
          <w:numId w:val="2"/>
        </w:numPr>
        <w:spacing w:after="40" w:before="40"/>
      </w:pPr>
      <w:r>
        <w:rPr>
          <w:rFonts w:ascii="Arial" w:cs="Arial" w:eastAsia="Arial" w:hAnsi="Arial"/>
          <w:color w:val="333333"/>
          <w:sz w:val="22"/>
          <w:szCs w:val="22"/>
        </w:rPr>
        <w:t xml:space="preserve">Process mapping workshop — core processes across all subsidiaries documented</w:t>
      </w:r>
    </w:p>
    <w:p>
      <w:pPr>
        <w:pStyle w:val="ListParagraph"/>
        <w:numPr>
          <w:ilvl w:val="0"/>
          <w:numId w:val="2"/>
        </w:numPr>
        <w:spacing w:after="40" w:before="40"/>
      </w:pPr>
      <w:r>
        <w:rPr>
          <w:rFonts w:ascii="Arial" w:cs="Arial" w:eastAsia="Arial" w:hAnsi="Arial"/>
          <w:color w:val="333333"/>
          <w:sz w:val="22"/>
          <w:szCs w:val="22"/>
        </w:rPr>
        <w:t xml:space="preserve">Documented Information Control system established (document numbering, version control, approval)</w:t>
      </w:r>
    </w:p>
    <w:p>
      <w:pPr>
        <w:pStyle w:val="ListParagraph"/>
        <w:numPr>
          <w:ilvl w:val="0"/>
          <w:numId w:val="2"/>
        </w:numPr>
        <w:spacing w:after="40" w:before="40"/>
      </w:pPr>
      <w:r>
        <w:rPr>
          <w:rFonts w:ascii="Arial" w:cs="Arial" w:eastAsia="Arial" w:hAnsi="Arial"/>
          <w:color w:val="333333"/>
          <w:sz w:val="22"/>
          <w:szCs w:val="22"/>
        </w:rPr>
        <w:t xml:space="preserve">Supplier evaluation procedure and initial Approved Supplier assessment</w:t>
      </w:r>
    </w:p>
    <w:p>
      <w:pPr>
        <w:pStyle w:val="ListParagraph"/>
        <w:numPr>
          <w:ilvl w:val="0"/>
          <w:numId w:val="2"/>
        </w:numPr>
        <w:spacing w:after="40" w:before="40"/>
      </w:pPr>
      <w:r>
        <w:rPr>
          <w:rFonts w:ascii="Arial" w:cs="Arial" w:eastAsia="Arial" w:hAnsi="Arial"/>
          <w:color w:val="333333"/>
          <w:sz w:val="22"/>
          <w:szCs w:val="22"/>
        </w:rPr>
        <w:t xml:space="preserve">Competence and training matrix developed; training gaps identified and scheduled</w:t>
      </w:r>
    </w:p>
    <w:p>
      <w:pPr>
        <w:pStyle w:val="ListParagraph"/>
        <w:numPr>
          <w:ilvl w:val="0"/>
          <w:numId w:val="2"/>
        </w:numPr>
        <w:spacing w:after="40" w:before="40"/>
      </w:pPr>
      <w:r>
        <w:rPr>
          <w:rFonts w:ascii="Arial" w:cs="Arial" w:eastAsia="Arial" w:hAnsi="Arial"/>
          <w:color w:val="333333"/>
          <w:sz w:val="22"/>
          <w:szCs w:val="22"/>
        </w:rPr>
        <w:t xml:space="preserve">Site-specific Emergency Preparedness &amp; Response Plans: quarry, marine vessels, ports, construction sites</w:t>
      </w:r>
    </w:p>
    <w:p>
      <w:pPr>
        <w:pStyle w:val="ListParagraph"/>
        <w:numPr>
          <w:ilvl w:val="0"/>
          <w:numId w:val="2"/>
        </w:numPr>
        <w:spacing w:after="40" w:before="40"/>
      </w:pPr>
      <w:r>
        <w:rPr>
          <w:rFonts w:ascii="Arial" w:cs="Arial" w:eastAsia="Arial" w:hAnsi="Arial"/>
          <w:color w:val="333333"/>
          <w:sz w:val="22"/>
          <w:szCs w:val="22"/>
        </w:rPr>
        <w:t xml:space="preserve">Incident Investigation Procedure and reporting framework</w:t>
      </w:r>
    </w:p>
    <w:p>
      <w:pPr>
        <w:pStyle w:val="ListParagraph"/>
        <w:numPr>
          <w:ilvl w:val="0"/>
          <w:numId w:val="2"/>
        </w:numPr>
        <w:spacing w:after="40" w:before="40"/>
      </w:pPr>
      <w:r>
        <w:rPr>
          <w:rFonts w:ascii="Arial" w:cs="Arial" w:eastAsia="Arial" w:hAnsi="Arial"/>
          <w:color w:val="333333"/>
          <w:sz w:val="22"/>
          <w:szCs w:val="22"/>
        </w:rPr>
        <w:t xml:space="preserve">Corrective Action and Nonconformity system deployed</w:t>
      </w:r>
    </w:p>
    <w:p>
      <w:pPr>
        <w:pStyle w:val="ListParagraph"/>
        <w:numPr>
          <w:ilvl w:val="0"/>
          <w:numId w:val="2"/>
        </w:numPr>
        <w:spacing w:after="40" w:before="40"/>
      </w:pPr>
      <w:r>
        <w:rPr>
          <w:rFonts w:ascii="Arial" w:cs="Arial" w:eastAsia="Arial" w:hAnsi="Arial"/>
          <w:color w:val="333333"/>
          <w:sz w:val="22"/>
          <w:szCs w:val="22"/>
        </w:rPr>
        <w:t xml:space="preserve">KPIs and monitoring framework established (Quality Objectives + OHS Objectives)</w:t>
      </w:r>
    </w:p>
    <w:p>
      <w:pPr>
        <w:pStyle w:val="ListParagraph"/>
        <w:numPr>
          <w:ilvl w:val="0"/>
          <w:numId w:val="2"/>
        </w:numPr>
        <w:spacing w:after="40" w:before="40"/>
      </w:pPr>
      <w:r>
        <w:rPr>
          <w:rFonts w:ascii="Arial" w:cs="Arial" w:eastAsia="Arial" w:hAnsi="Arial"/>
          <w:color w:val="333333"/>
          <w:sz w:val="22"/>
          <w:szCs w:val="22"/>
        </w:rPr>
        <w:t xml:space="preserve">Staff awareness training: all in-scope personnel trained on policy, objectives, and their role in the QMS / OHSMS</w:t>
      </w:r>
    </w:p>
    <w:p>
      <w:pPr>
        <w:pStyle w:val="ListParagraph"/>
        <w:numPr>
          <w:ilvl w:val="0"/>
          <w:numId w:val="2"/>
        </w:numPr>
        <w:spacing w:after="40" w:before="40"/>
      </w:pPr>
      <w:r>
        <w:rPr>
          <w:rFonts w:ascii="Arial" w:cs="Arial" w:eastAsia="Arial" w:hAnsi="Arial"/>
          <w:color w:val="333333"/>
          <w:sz w:val="22"/>
          <w:szCs w:val="22"/>
        </w:rPr>
        <w:t xml:space="preserve">Phase 2 Milestone Review with JSB CEO</w:t>
      </w:r>
    </w:p>
    <w:p>
      <w:pPr>
        <w:spacing w:after="12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Phase 3 — Certification Readiness (Months 7–9)</w:t>
      </w:r>
    </w:p>
    <w:p>
      <w:pPr>
        <w:spacing w:after="120" w:before="80"/>
        <w:jc w:val="both"/>
      </w:pPr>
      <w:r>
        <w:rPr>
          <w:rFonts w:ascii="Arial" w:cs="Arial" w:eastAsia="Arial" w:hAnsi="Arial"/>
          <w:color w:val="333333"/>
          <w:sz w:val="22"/>
          <w:szCs w:val="22"/>
        </w:rPr>
        <w:t xml:space="preserve">Phase 3 validates the systems through internal audit, management review, and a formal pre-certification readiness assessment:</w:t>
      </w:r>
    </w:p>
    <w:p>
      <w:pPr>
        <w:pStyle w:val="ListParagraph"/>
        <w:numPr>
          <w:ilvl w:val="0"/>
          <w:numId w:val="2"/>
        </w:numPr>
        <w:spacing w:after="40" w:before="40"/>
      </w:pPr>
      <w:r>
        <w:rPr>
          <w:rFonts w:ascii="Arial" w:cs="Arial" w:eastAsia="Arial" w:hAnsi="Arial"/>
          <w:color w:val="333333"/>
          <w:sz w:val="22"/>
          <w:szCs w:val="22"/>
        </w:rPr>
        <w:t xml:space="preserve">Internal Audit Programme executed across all in-scope sites and processes</w:t>
      </w:r>
    </w:p>
    <w:p>
      <w:pPr>
        <w:pStyle w:val="ListParagraph"/>
        <w:numPr>
          <w:ilvl w:val="0"/>
          <w:numId w:val="2"/>
        </w:numPr>
        <w:spacing w:after="40" w:before="40"/>
      </w:pPr>
      <w:r>
        <w:rPr>
          <w:rFonts w:ascii="Arial" w:cs="Arial" w:eastAsia="Arial" w:hAnsi="Arial"/>
          <w:color w:val="333333"/>
          <w:sz w:val="22"/>
          <w:szCs w:val="22"/>
        </w:rPr>
        <w:t xml:space="preserve">Nonconformities from internal audit addressed through corrective action process</w:t>
      </w:r>
    </w:p>
    <w:p>
      <w:pPr>
        <w:pStyle w:val="ListParagraph"/>
        <w:numPr>
          <w:ilvl w:val="0"/>
          <w:numId w:val="2"/>
        </w:numPr>
        <w:spacing w:after="40" w:before="40"/>
      </w:pPr>
      <w:r>
        <w:rPr>
          <w:rFonts w:ascii="Arial" w:cs="Arial" w:eastAsia="Arial" w:hAnsi="Arial"/>
          <w:color w:val="333333"/>
          <w:sz w:val="22"/>
          <w:szCs w:val="22"/>
        </w:rPr>
        <w:t xml:space="preserve">Management Review meeting facilitated (Clause 9.3 — Management Review)</w:t>
      </w:r>
    </w:p>
    <w:p>
      <w:pPr>
        <w:pStyle w:val="ListParagraph"/>
        <w:numPr>
          <w:ilvl w:val="0"/>
          <w:numId w:val="2"/>
        </w:numPr>
        <w:spacing w:after="40" w:before="40"/>
      </w:pPr>
      <w:r>
        <w:rPr>
          <w:rFonts w:ascii="Arial" w:cs="Arial" w:eastAsia="Arial" w:hAnsi="Arial"/>
          <w:color w:val="333333"/>
          <w:sz w:val="22"/>
          <w:szCs w:val="22"/>
        </w:rPr>
        <w:t xml:space="preserve">Pre-Certification Readiness Review: Preqal conducts a formal gap review simulating a certification body Stage 1 audit</w:t>
      </w:r>
    </w:p>
    <w:p>
      <w:pPr>
        <w:pStyle w:val="ListParagraph"/>
        <w:numPr>
          <w:ilvl w:val="0"/>
          <w:numId w:val="2"/>
        </w:numPr>
        <w:spacing w:after="40" w:before="40"/>
      </w:pPr>
      <w:r>
        <w:rPr>
          <w:rFonts w:ascii="Arial" w:cs="Arial" w:eastAsia="Arial" w:hAnsi="Arial"/>
          <w:color w:val="333333"/>
          <w:sz w:val="22"/>
          <w:szCs w:val="22"/>
        </w:rPr>
        <w:t xml:space="preserve">Final corrective actions and document revisions completed</w:t>
      </w:r>
    </w:p>
    <w:p>
      <w:pPr>
        <w:pStyle w:val="ListParagraph"/>
        <w:numPr>
          <w:ilvl w:val="0"/>
          <w:numId w:val="2"/>
        </w:numPr>
        <w:spacing w:after="40" w:before="40"/>
      </w:pPr>
      <w:r>
        <w:rPr>
          <w:rFonts w:ascii="Arial" w:cs="Arial" w:eastAsia="Arial" w:hAnsi="Arial"/>
          <w:color w:val="333333"/>
          <w:sz w:val="22"/>
          <w:szCs w:val="22"/>
        </w:rPr>
        <w:t xml:space="preserve">Certification body selection support and Stage 1 / Stage 2 audit scheduling assistance</w:t>
      </w:r>
    </w:p>
    <w:p>
      <w:pPr>
        <w:pStyle w:val="ListParagraph"/>
        <w:numPr>
          <w:ilvl w:val="0"/>
          <w:numId w:val="2"/>
        </w:numPr>
        <w:spacing w:after="40" w:before="40"/>
      </w:pPr>
      <w:r>
        <w:rPr>
          <w:rFonts w:ascii="Arial" w:cs="Arial" w:eastAsia="Arial" w:hAnsi="Arial"/>
          <w:color w:val="333333"/>
          <w:sz w:val="22"/>
          <w:szCs w:val="22"/>
        </w:rPr>
        <w:t xml:space="preserve">Programme close-out report and hand-over to JSB's designated Management Representative</w:t>
      </w:r>
    </w:p>
    <w:p>
      <w:r>
        <w:br w:type="page"/>
      </w:r>
    </w:p>
    <w:p>
      <w:pPr>
        <w:pStyle w:val="Heading1"/>
        <w:spacing w:after="120" w:before="360"/>
      </w:pPr>
      <w:r>
        <w:rPr>
          <w:rFonts w:ascii="Arial" w:cs="Arial" w:eastAsia="Arial" w:hAnsi="Arial"/>
          <w:b/>
          <w:bCs/>
          <w:color w:val="1E2D3D"/>
          <w:sz w:val="28"/>
          <w:szCs w:val="28"/>
        </w:rPr>
        <w:t xml:space="preserve">Investment</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The following investment schedule applies to the 9-month Tier 5 engagement for JSB Investments Inc. All fees are quoted in Guyanese Dollars (GYD) and are inclusive of consultant time, document development, site visits, training sessions, and remote support.</w:t>
      </w:r>
    </w:p>
    <w:p>
      <w:pPr>
        <w:spacing w:after="8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4080"/>
      </w:tblGrid>
      <w:tr>
        <w:trPr>
          <w:tblHeader/>
        </w:trPr>
        <w:tc>
          <w:tcPr>
            <w:tcW w:type="dxa" w:w="12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Period</w:t>
            </w:r>
          </w:p>
        </w:tc>
        <w:tc>
          <w:tcPr>
            <w:tcW w:type="dxa" w:w="24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Monthly Fee (GYD)</w:t>
            </w:r>
          </w:p>
        </w:tc>
        <w:tc>
          <w:tcPr>
            <w:tcW w:type="dxa" w:w="40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Cumulative Total (GYD)</w:t>
            </w:r>
          </w:p>
        </w:tc>
      </w:tr>
      <w:tr>
        <w:tc>
          <w:tcPr>
            <w:tcW w:type="dxa" w:w="12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Phase 1</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Months 1–3</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180,000</w:t>
            </w:r>
          </w:p>
        </w:tc>
        <w:tc>
          <w:tcPr>
            <w:tcW w:type="dxa" w:w="40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540,000</w:t>
            </w:r>
          </w:p>
        </w:tc>
      </w:tr>
      <w:tr>
        <w:tc>
          <w:tcPr>
            <w:tcW w:type="dxa" w:w="12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Phase 2</w:t>
            </w:r>
          </w:p>
        </w:tc>
        <w:tc>
          <w:tcPr>
            <w:tcW w:type="dxa" w:w="24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Months 4–6</w:t>
            </w:r>
          </w:p>
        </w:tc>
        <w:tc>
          <w:tcPr>
            <w:tcW w:type="dxa" w:w="24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180,000</w:t>
            </w:r>
          </w:p>
        </w:tc>
        <w:tc>
          <w:tcPr>
            <w:tcW w:type="dxa" w:w="40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1,080,000</w:t>
            </w:r>
          </w:p>
        </w:tc>
      </w:tr>
      <w:tr>
        <w:tc>
          <w:tcPr>
            <w:tcW w:type="dxa" w:w="12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Phase 3</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Months 7–9</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180,000</w:t>
            </w:r>
          </w:p>
        </w:tc>
        <w:tc>
          <w:tcPr>
            <w:tcW w:type="dxa" w:w="40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1,620,000</w:t>
            </w:r>
          </w:p>
        </w:tc>
      </w:tr>
      <w:tr>
        <w:tc>
          <w:tcPr>
            <w:tcW w:type="dxa" w:w="3600"/>
            <w:gridSpan w:val="2"/>
            <w:tcBorders>
              <w:top w:val="single" w:color="B8860B" w:sz="4"/>
              <w:left w:val="single" w:color="B8860B" w:sz="4"/>
              <w:bottom w:val="single" w:color="B8860B" w:sz="4"/>
              <w:right w:val="single" w:color="B8860B" w:sz="4"/>
            </w:tcBorders>
            <w:shd w:fill="1E2D3D" w:val="clear"/>
            <w:tcMar>
              <w:top w:type="dxa" w:w="100"/>
              <w:left w:type="dxa" w:w="180"/>
              <w:bottom w:type="dxa" w:w="100"/>
              <w:right w:type="dxa" w:w="120"/>
            </w:tcMar>
          </w:tcPr>
          <w:p>
            <w:pPr>
              <w:jc w:val="left"/>
            </w:pPr>
            <w:r>
              <w:rPr>
                <w:rFonts w:ascii="Arial" w:cs="Arial" w:eastAsia="Arial" w:hAnsi="Arial"/>
                <w:b/>
                <w:bCs/>
                <w:color w:val="FFFFFF"/>
                <w:sz w:val="22"/>
                <w:szCs w:val="22"/>
              </w:rPr>
              <w:t xml:space="preserve">TOTAL PROGRAMME INVESTMENT</w:t>
            </w:r>
          </w:p>
        </w:tc>
        <w:tc>
          <w:tcPr>
            <w:tcW w:type="dxa" w:w="6480"/>
            <w:gridSpan w:val="2"/>
            <w:tcBorders>
              <w:top w:val="single" w:color="B8860B" w:sz="4"/>
              <w:left w:val="single" w:color="B8860B" w:sz="4"/>
              <w:bottom w:val="single" w:color="B8860B" w:sz="4"/>
              <w:right w:val="single" w:color="B8860B" w:sz="4"/>
            </w:tcBorders>
            <w:shd w:fill="B8860B" w:val="clear"/>
            <w:tcMar>
              <w:top w:type="dxa" w:w="100"/>
              <w:left w:type="dxa" w:w="180"/>
              <w:bottom w:type="dxa" w:w="100"/>
              <w:right w:type="dxa" w:w="120"/>
            </w:tcMar>
          </w:tcPr>
          <w:p>
            <w:pPr>
              <w:jc w:val="left"/>
            </w:pPr>
            <w:r>
              <w:rPr>
                <w:rFonts w:ascii="Arial" w:cs="Arial" w:eastAsia="Arial" w:hAnsi="Arial"/>
                <w:b/>
                <w:bCs/>
                <w:color w:val="FFFFFF"/>
                <w:sz w:val="26"/>
                <w:szCs w:val="26"/>
              </w:rPr>
              <w:t xml:space="preserve">GYD 1,620,000</w:t>
            </w:r>
          </w:p>
        </w:tc>
      </w:tr>
    </w:tbl>
    <w:p>
      <w:pPr>
        <w:spacing w:after="16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What is Included</w:t>
      </w:r>
    </w:p>
    <w:p>
      <w:pPr>
        <w:pStyle w:val="ListParagraph"/>
        <w:numPr>
          <w:ilvl w:val="0"/>
          <w:numId w:val="2"/>
        </w:numPr>
        <w:spacing w:after="40" w:before="40"/>
      </w:pPr>
      <w:r>
        <w:rPr>
          <w:rFonts w:ascii="Arial" w:cs="Arial" w:eastAsia="Arial" w:hAnsi="Arial"/>
          <w:color w:val="333333"/>
          <w:sz w:val="22"/>
          <w:szCs w:val="22"/>
        </w:rPr>
        <w:t xml:space="preserve">All consultant time: workshops, site visits, document reviews, and training sessions</w:t>
      </w:r>
    </w:p>
    <w:p>
      <w:pPr>
        <w:pStyle w:val="ListParagraph"/>
        <w:numPr>
          <w:ilvl w:val="0"/>
          <w:numId w:val="2"/>
        </w:numPr>
        <w:spacing w:after="40" w:before="40"/>
      </w:pPr>
      <w:r>
        <w:rPr>
          <w:rFonts w:ascii="Arial" w:cs="Arial" w:eastAsia="Arial" w:hAnsi="Arial"/>
          <w:color w:val="333333"/>
          <w:sz w:val="22"/>
          <w:szCs w:val="22"/>
        </w:rPr>
        <w:t xml:space="preserve">Development of all documented information (policies, procedures, registers, forms, templates)</w:t>
      </w:r>
    </w:p>
    <w:p>
      <w:pPr>
        <w:pStyle w:val="ListParagraph"/>
        <w:numPr>
          <w:ilvl w:val="0"/>
          <w:numId w:val="2"/>
        </w:numPr>
        <w:spacing w:after="40" w:before="40"/>
      </w:pPr>
      <w:r>
        <w:rPr>
          <w:rFonts w:ascii="Arial" w:cs="Arial" w:eastAsia="Arial" w:hAnsi="Arial"/>
          <w:color w:val="333333"/>
          <w:sz w:val="22"/>
          <w:szCs w:val="22"/>
        </w:rPr>
        <w:t xml:space="preserve">Staff awareness training sessions across all in-scope sites</w:t>
      </w:r>
    </w:p>
    <w:p>
      <w:pPr>
        <w:pStyle w:val="ListParagraph"/>
        <w:numPr>
          <w:ilvl w:val="0"/>
          <w:numId w:val="2"/>
        </w:numPr>
        <w:spacing w:after="40" w:before="40"/>
      </w:pPr>
      <w:r>
        <w:rPr>
          <w:rFonts w:ascii="Arial" w:cs="Arial" w:eastAsia="Arial" w:hAnsi="Arial"/>
          <w:color w:val="333333"/>
          <w:sz w:val="22"/>
          <w:szCs w:val="22"/>
        </w:rPr>
        <w:t xml:space="preserve">Internal audit execution and reporting</w:t>
      </w:r>
    </w:p>
    <w:p>
      <w:pPr>
        <w:pStyle w:val="ListParagraph"/>
        <w:numPr>
          <w:ilvl w:val="0"/>
          <w:numId w:val="2"/>
        </w:numPr>
        <w:spacing w:after="40" w:before="40"/>
      </w:pPr>
      <w:r>
        <w:rPr>
          <w:rFonts w:ascii="Arial" w:cs="Arial" w:eastAsia="Arial" w:hAnsi="Arial"/>
          <w:color w:val="333333"/>
          <w:sz w:val="22"/>
          <w:szCs w:val="22"/>
        </w:rPr>
        <w:t xml:space="preserve">Pre-certification readiness review</w:t>
      </w:r>
    </w:p>
    <w:p>
      <w:pPr>
        <w:pStyle w:val="ListParagraph"/>
        <w:numPr>
          <w:ilvl w:val="0"/>
          <w:numId w:val="2"/>
        </w:numPr>
        <w:spacing w:after="40" w:before="40"/>
      </w:pPr>
      <w:r>
        <w:rPr>
          <w:rFonts w:ascii="Arial" w:cs="Arial" w:eastAsia="Arial" w:hAnsi="Arial"/>
          <w:color w:val="333333"/>
          <w:sz w:val="22"/>
          <w:szCs w:val="22"/>
        </w:rPr>
        <w:t xml:space="preserve">Unlimited remote support (email/phone) throughout the programme</w:t>
      </w:r>
    </w:p>
    <w:p>
      <w:pPr>
        <w:pStyle w:val="ListParagraph"/>
        <w:numPr>
          <w:ilvl w:val="0"/>
          <w:numId w:val="2"/>
        </w:numPr>
        <w:spacing w:after="40" w:before="40"/>
      </w:pPr>
      <w:r>
        <w:rPr>
          <w:rFonts w:ascii="Arial" w:cs="Arial" w:eastAsia="Arial" w:hAnsi="Arial"/>
          <w:color w:val="333333"/>
          <w:sz w:val="22"/>
          <w:szCs w:val="22"/>
        </w:rPr>
        <w:t xml:space="preserve">Programme management and progress reporting to JSB CEO</w:t>
      </w:r>
    </w:p>
    <w:p>
      <w:pPr>
        <w:spacing w:after="10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What is Not Included</w:t>
      </w:r>
    </w:p>
    <w:p>
      <w:pPr>
        <w:pStyle w:val="ListParagraph"/>
        <w:numPr>
          <w:ilvl w:val="0"/>
          <w:numId w:val="2"/>
        </w:numPr>
        <w:spacing w:after="40" w:before="40"/>
      </w:pPr>
      <w:r>
        <w:rPr>
          <w:rFonts w:ascii="Arial" w:cs="Arial" w:eastAsia="Arial" w:hAnsi="Arial"/>
          <w:color w:val="333333"/>
          <w:sz w:val="22"/>
          <w:szCs w:val="22"/>
        </w:rPr>
        <w:t xml:space="preserve">Certification body fees (Stage 1 and Stage 2 audit fees are payable directly by JSB Investments to the chosen certification body — typically GYD 200,000–400,000 depending on body and scope)</w:t>
      </w:r>
    </w:p>
    <w:p>
      <w:pPr>
        <w:pStyle w:val="ListParagraph"/>
        <w:numPr>
          <w:ilvl w:val="0"/>
          <w:numId w:val="2"/>
        </w:numPr>
        <w:spacing w:after="40" w:before="40"/>
      </w:pPr>
      <w:r>
        <w:rPr>
          <w:rFonts w:ascii="Arial" w:cs="Arial" w:eastAsia="Arial" w:hAnsi="Arial"/>
          <w:color w:val="333333"/>
          <w:sz w:val="22"/>
          <w:szCs w:val="22"/>
        </w:rPr>
        <w:t xml:space="preserve">Travel accommodation if overnight stays are required for remote sites (to be agreed separately)</w:t>
      </w:r>
    </w:p>
    <w:p>
      <w:pPr>
        <w:pStyle w:val="ListParagraph"/>
        <w:numPr>
          <w:ilvl w:val="0"/>
          <w:numId w:val="2"/>
        </w:numPr>
        <w:spacing w:after="40" w:before="40"/>
      </w:pPr>
      <w:r>
        <w:rPr>
          <w:rFonts w:ascii="Arial" w:cs="Arial" w:eastAsia="Arial" w:hAnsi="Arial"/>
          <w:color w:val="333333"/>
          <w:sz w:val="22"/>
          <w:szCs w:val="22"/>
        </w:rPr>
        <w:t xml:space="preserve">Translation of documents into languages other than English</w:t>
      </w:r>
    </w:p>
    <w:p>
      <w:r>
        <w:br w:type="page"/>
      </w:r>
    </w:p>
    <w:p>
      <w:pPr>
        <w:pStyle w:val="Heading1"/>
        <w:spacing w:after="120" w:before="360"/>
      </w:pPr>
      <w:r>
        <w:rPr>
          <w:rFonts w:ascii="Arial" w:cs="Arial" w:eastAsia="Arial" w:hAnsi="Arial"/>
          <w:b/>
          <w:bCs/>
          <w:color w:val="1E2D3D"/>
          <w:sz w:val="28"/>
          <w:szCs w:val="28"/>
        </w:rPr>
        <w:t xml:space="preserve">Why Choose Preqal</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380"/>
      </w:tblGrid>
      <w:tr>
        <w:tc>
          <w:tcPr>
            <w:tcW w:type="dxa" w:w="700"/>
            <w:tcBorders>
              <w:top w:val="single" w:color="DDDDDD" w:sz="2"/>
              <w:left w:val="single" w:color="DDDDDD" w:sz="2"/>
              <w:bottom w:val="single" w:color="DDDDDD" w:sz="2"/>
              <w:right w:val="single" w:color="DDDDDD" w:sz="2"/>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9380"/>
            <w:tcBorders>
              <w:top w:val="single" w:color="DDDDDD" w:sz="2"/>
              <w:left w:val="single" w:color="DDDDDD" w:sz="2"/>
              <w:bottom w:val="single" w:color="DDDDDD" w:sz="2"/>
              <w:right w:val="single" w:color="DDDDDD" w:sz="2"/>
            </w:tcBorders>
            <w:shd w:fill="F5F5F5" w:val="clear"/>
            <w:tcMar>
              <w:top w:type="dxa" w:w="120"/>
              <w:left w:type="dxa" w:w="180"/>
              <w:bottom w:type="dxa" w:w="120"/>
              <w:right w:type="dxa" w:w="120"/>
            </w:tcMar>
          </w:tcPr>
          <w:p>
            <w:r>
              <w:rPr>
                <w:rFonts w:ascii="Arial" w:cs="Arial" w:eastAsia="Arial" w:hAnsi="Arial"/>
                <w:b/>
                <w:bCs/>
                <w:color w:val="1E2D3D"/>
                <w:sz w:val="22"/>
                <w:szCs w:val="22"/>
              </w:rPr>
              <w:t xml:space="preserve">Local Expertise, International Standards</w:t>
            </w:r>
          </w:p>
          <w:p>
            <w:pPr>
              <w:spacing w:before="40"/>
            </w:pPr>
            <w:r>
              <w:rPr>
                <w:rFonts w:ascii="Arial" w:cs="Arial" w:eastAsia="Arial" w:hAnsi="Arial"/>
                <w:color w:val="444444"/>
                <w:sz w:val="20"/>
                <w:szCs w:val="20"/>
              </w:rPr>
              <w:t xml:space="preserve">Preqal operates in Guyana. We understand the regulatory environment, the cultural context, and the operational realities of doing business here. Our frameworks meet international ISO standards while being grounded in Guyanese practice.</w:t>
            </w:r>
          </w:p>
        </w:tc>
      </w:tr>
      <w:tr>
        <w:tc>
          <w:tcPr>
            <w:tcW w:type="dxa" w:w="700"/>
            <w:tcBorders>
              <w:top w:val="single" w:color="DDDDDD" w:sz="2"/>
              <w:left w:val="single" w:color="DDDDDD" w:sz="2"/>
              <w:bottom w:val="single" w:color="DDDDDD" w:sz="2"/>
              <w:right w:val="single" w:color="DDDDDD" w:sz="2"/>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9380"/>
            <w:tcBorders>
              <w:top w:val="single" w:color="DDDDDD" w:sz="2"/>
              <w:left w:val="single" w:color="DDDDDD" w:sz="2"/>
              <w:bottom w:val="single" w:color="DDDDDD" w:sz="2"/>
              <w:right w:val="single" w:color="DDDDDD" w:sz="2"/>
            </w:tcBorders>
            <w:shd w:fill="FFFFFF" w:val="clear"/>
            <w:tcMar>
              <w:top w:type="dxa" w:w="120"/>
              <w:left w:type="dxa" w:w="180"/>
              <w:bottom w:type="dxa" w:w="120"/>
              <w:right w:type="dxa" w:w="120"/>
            </w:tcMar>
          </w:tcPr>
          <w:p>
            <w:r>
              <w:rPr>
                <w:rFonts w:ascii="Arial" w:cs="Arial" w:eastAsia="Arial" w:hAnsi="Arial"/>
                <w:b/>
                <w:bCs/>
                <w:color w:val="1E2D3D"/>
                <w:sz w:val="22"/>
                <w:szCs w:val="22"/>
              </w:rPr>
              <w:t xml:space="preserve">Industry-Matched Approach</w:t>
            </w:r>
          </w:p>
          <w:p>
            <w:pPr>
              <w:spacing w:before="40"/>
            </w:pPr>
            <w:r>
              <w:rPr>
                <w:rFonts w:ascii="Arial" w:cs="Arial" w:eastAsia="Arial" w:hAnsi="Arial"/>
                <w:color w:val="444444"/>
                <w:sz w:val="20"/>
                <w:szCs w:val="20"/>
              </w:rPr>
              <w:t xml:space="preserve">Our HIRAC registers, emergency response plans, and process maps are built for high-risk industries — mining, marine logistics, and construction. We do not apply a generic template; every deliverable is tailored to JSB's actual operations.</w:t>
            </w:r>
          </w:p>
        </w:tc>
      </w:tr>
      <w:tr>
        <w:tc>
          <w:tcPr>
            <w:tcW w:type="dxa" w:w="700"/>
            <w:tcBorders>
              <w:top w:val="single" w:color="DDDDDD" w:sz="2"/>
              <w:left w:val="single" w:color="DDDDDD" w:sz="2"/>
              <w:bottom w:val="single" w:color="DDDDDD" w:sz="2"/>
              <w:right w:val="single" w:color="DDDDDD" w:sz="2"/>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9380"/>
            <w:tcBorders>
              <w:top w:val="single" w:color="DDDDDD" w:sz="2"/>
              <w:left w:val="single" w:color="DDDDDD" w:sz="2"/>
              <w:bottom w:val="single" w:color="DDDDDD" w:sz="2"/>
              <w:right w:val="single" w:color="DDDDDD" w:sz="2"/>
            </w:tcBorders>
            <w:shd w:fill="F5F5F5" w:val="clear"/>
            <w:tcMar>
              <w:top w:type="dxa" w:w="120"/>
              <w:left w:type="dxa" w:w="180"/>
              <w:bottom w:type="dxa" w:w="120"/>
              <w:right w:type="dxa" w:w="120"/>
            </w:tcMar>
          </w:tcPr>
          <w:p>
            <w:r>
              <w:rPr>
                <w:rFonts w:ascii="Arial" w:cs="Arial" w:eastAsia="Arial" w:hAnsi="Arial"/>
                <w:b/>
                <w:bCs/>
                <w:color w:val="1E2D3D"/>
                <w:sz w:val="22"/>
                <w:szCs w:val="22"/>
              </w:rPr>
              <w:t xml:space="preserve">Capability Building, Not Dependency</w:t>
            </w:r>
          </w:p>
          <w:p>
            <w:pPr>
              <w:spacing w:before="40"/>
            </w:pPr>
            <w:r>
              <w:rPr>
                <w:rFonts w:ascii="Arial" w:cs="Arial" w:eastAsia="Arial" w:hAnsi="Arial"/>
                <w:color w:val="444444"/>
                <w:sz w:val="20"/>
                <w:szCs w:val="20"/>
              </w:rPr>
              <w:t xml:space="preserve">We train your designated Management Representative and internal audit team throughout the programme. By Month 9, JSB Investments will have the internal competence to maintain, continually improve, and re-certify its management systems without ongoing external consultancy.</w:t>
            </w:r>
          </w:p>
        </w:tc>
      </w:tr>
      <w:tr>
        <w:tc>
          <w:tcPr>
            <w:tcW w:type="dxa" w:w="700"/>
            <w:tcBorders>
              <w:top w:val="single" w:color="DDDDDD" w:sz="2"/>
              <w:left w:val="single" w:color="DDDDDD" w:sz="2"/>
              <w:bottom w:val="single" w:color="DDDDDD" w:sz="2"/>
              <w:right w:val="single" w:color="DDDDDD" w:sz="2"/>
            </w:tcBorders>
            <w:shd w:fill="B8860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9380"/>
            <w:tcBorders>
              <w:top w:val="single" w:color="DDDDDD" w:sz="2"/>
              <w:left w:val="single" w:color="DDDDDD" w:sz="2"/>
              <w:bottom w:val="single" w:color="DDDDDD" w:sz="2"/>
              <w:right w:val="single" w:color="DDDDDD" w:sz="2"/>
            </w:tcBorders>
            <w:shd w:fill="FFFFFF" w:val="clear"/>
            <w:tcMar>
              <w:top w:type="dxa" w:w="120"/>
              <w:left w:type="dxa" w:w="180"/>
              <w:bottom w:type="dxa" w:w="120"/>
              <w:right w:type="dxa" w:w="120"/>
            </w:tcMar>
          </w:tcPr>
          <w:p>
            <w:r>
              <w:rPr>
                <w:rFonts w:ascii="Arial" w:cs="Arial" w:eastAsia="Arial" w:hAnsi="Arial"/>
                <w:b/>
                <w:bCs/>
                <w:color w:val="1E2D3D"/>
                <w:sz w:val="22"/>
                <w:szCs w:val="22"/>
              </w:rPr>
              <w:t xml:space="preserve">Structured for Your Growth Trajectory</w:t>
            </w:r>
          </w:p>
          <w:p>
            <w:pPr>
              <w:spacing w:before="40"/>
            </w:pPr>
            <w:r>
              <w:rPr>
                <w:rFonts w:ascii="Arial" w:cs="Arial" w:eastAsia="Arial" w:hAnsi="Arial"/>
                <w:color w:val="444444"/>
                <w:sz w:val="20"/>
                <w:szCs w:val="20"/>
              </w:rPr>
              <w:t xml:space="preserve">JSB Investments is at an inflection point: a $120M manufacturing investment, active recruitment, petroleum sector ambitions, and Caribbean export operations. ISO 9001 and ISO 45001 provide the operational architecture that growing organisations need to scale without losing quality or safety.</w:t>
            </w:r>
          </w:p>
        </w:tc>
      </w:tr>
    </w:tbl>
    <w:p>
      <w:r>
        <w:br w:type="page"/>
      </w:r>
    </w:p>
    <w:p>
      <w:pPr>
        <w:pStyle w:val="Heading1"/>
        <w:spacing w:after="120" w:before="360"/>
      </w:pPr>
      <w:r>
        <w:rPr>
          <w:rFonts w:ascii="Arial" w:cs="Arial" w:eastAsia="Arial" w:hAnsi="Arial"/>
          <w:b/>
          <w:bCs/>
          <w:color w:val="1E2D3D"/>
          <w:sz w:val="28"/>
          <w:szCs w:val="28"/>
        </w:rPr>
        <w:t xml:space="preserve">Terms &amp; Conditions</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pStyle w:val="Heading2"/>
        <w:spacing w:after="80" w:before="240"/>
      </w:pPr>
      <w:r>
        <w:rPr>
          <w:rFonts w:ascii="Arial" w:cs="Arial" w:eastAsia="Arial" w:hAnsi="Arial"/>
          <w:b/>
          <w:bCs/>
          <w:color w:val="B8860B"/>
          <w:sz w:val="24"/>
          <w:szCs w:val="24"/>
        </w:rPr>
        <w:t xml:space="preserve">Payment Terms</w:t>
      </w:r>
    </w:p>
    <w:p>
      <w:pPr>
        <w:spacing w:after="120" w:before="80"/>
        <w:jc w:val="both"/>
      </w:pPr>
      <w:r>
        <w:rPr>
          <w:rFonts w:ascii="Arial" w:cs="Arial" w:eastAsia="Arial" w:hAnsi="Arial"/>
          <w:color w:val="333333"/>
          <w:sz w:val="22"/>
          <w:szCs w:val="22"/>
        </w:rPr>
        <w:t xml:space="preserve">Monthly retainer of GYD 180,000 is payable in advance on or before the 1st of each programme month. A formal engagement agreement will be executed prior to programme commencement, incorporating these terms.</w:t>
      </w:r>
    </w:p>
    <w:p>
      <w:pPr>
        <w:pStyle w:val="Heading2"/>
        <w:spacing w:after="80" w:before="240"/>
      </w:pPr>
      <w:r>
        <w:rPr>
          <w:rFonts w:ascii="Arial" w:cs="Arial" w:eastAsia="Arial" w:hAnsi="Arial"/>
          <w:b/>
          <w:bCs/>
          <w:color w:val="B8860B"/>
          <w:sz w:val="24"/>
          <w:szCs w:val="24"/>
        </w:rPr>
        <w:t xml:space="preserve">Scope Adjustments</w:t>
      </w:r>
    </w:p>
    <w:p>
      <w:pPr>
        <w:spacing w:after="120" w:before="80"/>
        <w:jc w:val="both"/>
      </w:pPr>
      <w:r>
        <w:rPr>
          <w:rFonts w:ascii="Arial" w:cs="Arial" w:eastAsia="Arial" w:hAnsi="Arial"/>
          <w:color w:val="333333"/>
          <w:sz w:val="22"/>
          <w:szCs w:val="22"/>
        </w:rPr>
        <w:t xml:space="preserve">Tier upgrades are available at any point during the programme on a pro-rated basis. Additional subsidiaries or sites not included in the initial scope may be added subject to a scope change agreement.</w:t>
      </w:r>
    </w:p>
    <w:p>
      <w:pPr>
        <w:pStyle w:val="Heading2"/>
        <w:spacing w:after="80" w:before="240"/>
      </w:pPr>
      <w:r>
        <w:rPr>
          <w:rFonts w:ascii="Arial" w:cs="Arial" w:eastAsia="Arial" w:hAnsi="Arial"/>
          <w:b/>
          <w:bCs/>
          <w:color w:val="B8860B"/>
          <w:sz w:val="24"/>
          <w:szCs w:val="24"/>
        </w:rPr>
        <w:t xml:space="preserve">Cancellation</w:t>
      </w:r>
    </w:p>
    <w:p>
      <w:pPr>
        <w:spacing w:after="120" w:before="80"/>
        <w:jc w:val="both"/>
      </w:pPr>
      <w:r>
        <w:rPr>
          <w:rFonts w:ascii="Arial" w:cs="Arial" w:eastAsia="Arial" w:hAnsi="Arial"/>
          <w:color w:val="333333"/>
          <w:sz w:val="22"/>
          <w:szCs w:val="22"/>
        </w:rPr>
        <w:t xml:space="preserve">Either party may terminate the engagement with 30 days written notice. Fees paid for work completed and in-progress deliverables are non-refundable. Pre-paid months beyond the current month will be refunded pro-rated.</w:t>
      </w:r>
    </w:p>
    <w:p>
      <w:pPr>
        <w:pStyle w:val="Heading2"/>
        <w:spacing w:after="80" w:before="240"/>
      </w:pPr>
      <w:r>
        <w:rPr>
          <w:rFonts w:ascii="Arial" w:cs="Arial" w:eastAsia="Arial" w:hAnsi="Arial"/>
          <w:b/>
          <w:bCs/>
          <w:color w:val="B8860B"/>
          <w:sz w:val="24"/>
          <w:szCs w:val="24"/>
        </w:rPr>
        <w:t xml:space="preserve">Confidentiality</w:t>
      </w:r>
    </w:p>
    <w:p>
      <w:pPr>
        <w:spacing w:after="120" w:before="80"/>
        <w:jc w:val="both"/>
      </w:pPr>
      <w:r>
        <w:rPr>
          <w:rFonts w:ascii="Arial" w:cs="Arial" w:eastAsia="Arial" w:hAnsi="Arial"/>
          <w:color w:val="333333"/>
          <w:sz w:val="22"/>
          <w:szCs w:val="22"/>
        </w:rPr>
        <w:t xml:space="preserve">Preqal will treat all information received from JSB Investments Inc. as confidential and will not disclose it to third parties without prior written consent, except as required by law.</w:t>
      </w:r>
    </w:p>
    <w:p>
      <w:pPr>
        <w:pStyle w:val="Heading2"/>
        <w:spacing w:after="80" w:before="240"/>
      </w:pPr>
      <w:r>
        <w:rPr>
          <w:rFonts w:ascii="Arial" w:cs="Arial" w:eastAsia="Arial" w:hAnsi="Arial"/>
          <w:b/>
          <w:bCs/>
          <w:color w:val="B8860B"/>
          <w:sz w:val="24"/>
          <w:szCs w:val="24"/>
        </w:rPr>
        <w:t xml:space="preserve">Intellectual Property</w:t>
      </w:r>
    </w:p>
    <w:p>
      <w:pPr>
        <w:spacing w:after="120" w:before="80"/>
        <w:jc w:val="both"/>
      </w:pPr>
      <w:r>
        <w:rPr>
          <w:rFonts w:ascii="Arial" w:cs="Arial" w:eastAsia="Arial" w:hAnsi="Arial"/>
          <w:color w:val="333333"/>
          <w:sz w:val="22"/>
          <w:szCs w:val="22"/>
        </w:rPr>
        <w:t xml:space="preserve">All documented information, procedures, templates, and registers developed during the programme become the intellectual property of JSB Investments Inc. upon full payment. Preqal retains the right to use anonymised, aggregated learnings for internal methodology improvement.</w:t>
      </w:r>
    </w:p>
    <w:p>
      <w:pPr>
        <w:pStyle w:val="Heading2"/>
        <w:spacing w:after="80" w:before="240"/>
      </w:pPr>
      <w:r>
        <w:rPr>
          <w:rFonts w:ascii="Arial" w:cs="Arial" w:eastAsia="Arial" w:hAnsi="Arial"/>
          <w:b/>
          <w:bCs/>
          <w:color w:val="B8860B"/>
          <w:sz w:val="24"/>
          <w:szCs w:val="24"/>
        </w:rPr>
        <w:t xml:space="preserve">Validity</w:t>
      </w:r>
    </w:p>
    <w:p>
      <w:pPr>
        <w:spacing w:after="120" w:before="80"/>
        <w:jc w:val="both"/>
      </w:pPr>
      <w:r>
        <w:rPr>
          <w:rFonts w:ascii="Arial" w:cs="Arial" w:eastAsia="Arial" w:hAnsi="Arial"/>
          <w:color w:val="333333"/>
          <w:sz w:val="22"/>
          <w:szCs w:val="22"/>
        </w:rPr>
        <w:t xml:space="preserve">This proposal is valid for 30 days from the date of issue (1 May 2026). Preqal reserves the right to revise pricing after this period.</w:t>
      </w:r>
    </w:p>
    <w:p>
      <w:r>
        <w:br w:type="page"/>
      </w:r>
    </w:p>
    <w:p>
      <w:pPr>
        <w:pStyle w:val="Heading1"/>
        <w:spacing w:after="120" w:before="360"/>
      </w:pPr>
      <w:r>
        <w:rPr>
          <w:rFonts w:ascii="Arial" w:cs="Arial" w:eastAsia="Arial" w:hAnsi="Arial"/>
          <w:b/>
          <w:bCs/>
          <w:color w:val="1E2D3D"/>
          <w:sz w:val="28"/>
          <w:szCs w:val="28"/>
        </w:rPr>
        <w:t xml:space="preserve">Next Steps</w:t>
      </w:r>
    </w:p>
    <w:p>
      <w:pPr>
        <w:pBdr>
          <w:bottom w:val="single" w:color="B8860B" w:sz="4" w:space="1"/>
        </w:pBdr>
        <w:spacing w:after="0" w:before="0"/>
      </w:pPr>
      <w:r>
        <w:rPr>
          <w:rFonts w:ascii="Arial" w:cs="Arial" w:eastAsia="Arial" w:hAnsi="Arial"/>
          <w:sz w:val="2"/>
          <w:szCs w:val="2"/>
        </w:rPr>
        <w:t xml:space="preserve"/>
      </w:r>
    </w:p>
    <w:p>
      <w:pPr>
        <w:spacing w:after="80" w:before="0"/>
      </w:pPr>
      <w:r>
        <w:rPr>
          <w:rFonts w:ascii="Arial" w:cs="Arial" w:eastAsia="Arial" w:hAnsi="Arial"/>
          <w:sz w:val="2"/>
          <w:szCs w:val="2"/>
        </w:rPr>
        <w:t xml:space="preserve"/>
      </w:r>
    </w:p>
    <w:p>
      <w:pPr>
        <w:spacing w:after="120" w:before="80"/>
        <w:jc w:val="both"/>
      </w:pPr>
      <w:r>
        <w:rPr>
          <w:rFonts w:ascii="Arial" w:cs="Arial" w:eastAsia="Arial" w:hAnsi="Arial"/>
          <w:color w:val="333333"/>
          <w:sz w:val="22"/>
          <w:szCs w:val="22"/>
        </w:rPr>
        <w:t xml:space="preserve">We are ready to begin at your earliest convenience. To move forward, please complete the following steps:</w:t>
      </w:r>
    </w:p>
    <w:p>
      <w:pPr>
        <w:spacing w:after="8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480"/>
      </w:tblGrid>
      <w:tr>
        <w:trPr>
          <w:tblHeader/>
        </w:trPr>
        <w:tc>
          <w:tcPr>
            <w:tcW w:type="dxa" w:w="6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6480"/>
            <w:tcBorders>
              <w:top w:val="single" w:color="1E2D3D" w:sz="2"/>
              <w:left w:val="single" w:color="1E2D3D" w:sz="2"/>
              <w:bottom w:val="single" w:color="1E2D3D" w:sz="2"/>
              <w:right w:val="single" w:color="1E2D3D" w:sz="2"/>
            </w:tcBorders>
            <w:shd w:fill="1E2D3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6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w:t>
            </w:r>
          </w:p>
        </w:tc>
        <w:tc>
          <w:tcPr>
            <w:tcW w:type="dxa" w:w="30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Accept this Proposal</w:t>
            </w:r>
          </w:p>
        </w:tc>
        <w:tc>
          <w:tcPr>
            <w:tcW w:type="dxa" w:w="64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Sign and return the attached acceptance page, or confirm acceptance in writing to stefan.gravesande@preqal.org</w:t>
            </w:r>
          </w:p>
        </w:tc>
      </w:tr>
      <w:tr>
        <w:tc>
          <w:tcPr>
            <w:tcW w:type="dxa" w:w="6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2</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Execute Engagement Agreement</w:t>
            </w:r>
          </w:p>
        </w:tc>
        <w:tc>
          <w:tcPr>
            <w:tcW w:type="dxa" w:w="64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Preqal will issue a formal engagement agreement for signature by both parties</w:t>
            </w:r>
          </w:p>
        </w:tc>
      </w:tr>
      <w:tr>
        <w:tc>
          <w:tcPr>
            <w:tcW w:type="dxa" w:w="6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3</w:t>
            </w:r>
          </w:p>
        </w:tc>
        <w:tc>
          <w:tcPr>
            <w:tcW w:type="dxa" w:w="30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First Month Retainer</w:t>
            </w:r>
          </w:p>
        </w:tc>
        <w:tc>
          <w:tcPr>
            <w:tcW w:type="dxa" w:w="64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GYD 180,000 payable upon signing of the engagement agreement — confirms programme start date</w:t>
            </w:r>
          </w:p>
        </w:tc>
      </w:tr>
      <w:tr>
        <w:tc>
          <w:tcPr>
            <w:tcW w:type="dxa" w:w="6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4</w:t>
            </w:r>
          </w:p>
        </w:tc>
        <w:tc>
          <w:tcPr>
            <w:tcW w:type="dxa" w:w="300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Kick-off Workshop</w:t>
            </w:r>
          </w:p>
        </w:tc>
        <w:tc>
          <w:tcPr>
            <w:tcW w:type="dxa" w:w="6480"/>
            <w:tcBorders>
              <w:top w:val="single" w:color="DDDDDD" w:sz="2"/>
              <w:left w:val="single" w:color="DDDDDD" w:sz="2"/>
              <w:bottom w:val="single" w:color="DDDDDD" w:sz="2"/>
              <w:right w:val="single" w:color="DDDDDD" w:sz="2"/>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Preqal schedules a half-day kick-off workshop with JSB leadership within 5 business days of payment</w:t>
            </w:r>
          </w:p>
        </w:tc>
      </w:tr>
      <w:tr>
        <w:tc>
          <w:tcPr>
            <w:tcW w:type="dxa" w:w="6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w:t>
            </w:r>
          </w:p>
        </w:tc>
        <w:tc>
          <w:tcPr>
            <w:tcW w:type="dxa" w:w="300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Programme Begins</w:t>
            </w:r>
          </w:p>
        </w:tc>
        <w:tc>
          <w:tcPr>
            <w:tcW w:type="dxa" w:w="6480"/>
            <w:tcBorders>
              <w:top w:val="single" w:color="DDDDDD" w:sz="2"/>
              <w:left w:val="single" w:color="DDDDDD" w:sz="2"/>
              <w:bottom w:val="single" w:color="DDDDDD" w:sz="2"/>
              <w:right w:val="single" w:color="DDDDDD" w:sz="2"/>
            </w:tcBorders>
            <w:shd w:fill="F5F5F5"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Gap Analysis and Phase 1 activities commence</w:t>
            </w:r>
          </w:p>
        </w:tc>
      </w:tr>
    </w:tbl>
    <w:p>
      <w:pPr>
        <w:spacing w:after="240" w:before="0"/>
      </w:pPr>
      <w:r>
        <w:rPr>
          <w:rFonts w:ascii="Arial" w:cs="Arial" w:eastAsia="Arial" w:hAnsi="Arial"/>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left w:val="nil"/>
              <w:bottom w:val="nil"/>
              <w:right w:val="nil"/>
            </w:tcBorders>
            <w:shd w:fill="1E2D3D" w:val="clear"/>
            <w:tcMar>
              <w:top w:type="dxa" w:w="240"/>
              <w:left w:type="dxa" w:w="360"/>
              <w:bottom w:type="dxa" w:w="240"/>
              <w:right w:type="dxa" w:w="360"/>
            </w:tcMar>
          </w:tcPr>
          <w:p>
            <w:pPr>
              <w:spacing w:after="80" w:before="0"/>
              <w:jc w:val="center"/>
            </w:pPr>
            <w:r>
              <w:rPr>
                <w:rFonts w:ascii="Arial" w:cs="Arial" w:eastAsia="Arial" w:hAnsi="Arial"/>
                <w:b/>
                <w:bCs/>
                <w:color w:val="B8860B"/>
                <w:sz w:val="22"/>
                <w:szCs w:val="22"/>
              </w:rPr>
              <w:t xml:space="preserve">Ready to move forward? Contact us:</w:t>
            </w:r>
          </w:p>
          <w:p>
            <w:pPr>
              <w:spacing w:after="40" w:before="0"/>
              <w:jc w:val="center"/>
            </w:pPr>
            <w:r>
              <w:rPr>
                <w:rFonts w:ascii="Arial" w:cs="Arial" w:eastAsia="Arial" w:hAnsi="Arial"/>
                <w:b/>
                <w:bCs/>
                <w:color w:val="FFFFFF"/>
                <w:sz w:val="24"/>
                <w:szCs w:val="24"/>
              </w:rPr>
              <w:t xml:space="preserve">Stefan Gravesande</w:t>
            </w:r>
          </w:p>
          <w:p>
            <w:pPr>
              <w:spacing w:after="40" w:before="0"/>
              <w:jc w:val="center"/>
            </w:pPr>
            <w:r>
              <w:rPr>
                <w:rFonts w:ascii="Arial" w:cs="Arial" w:eastAsia="Arial" w:hAnsi="Arial"/>
                <w:color w:val="BBBBBB"/>
                <w:sz w:val="22"/>
                <w:szCs w:val="22"/>
              </w:rPr>
              <w:t xml:space="preserve">stefan.gravesande@preqal.org</w:t>
            </w:r>
          </w:p>
          <w:p>
            <w:pPr>
              <w:spacing w:after="0" w:before="0"/>
              <w:jc w:val="center"/>
            </w:pPr>
            <w:r>
              <w:rPr>
                <w:rFonts w:ascii="Arial" w:cs="Arial" w:eastAsia="Arial" w:hAnsi="Arial"/>
                <w:color w:val="BBBBBB"/>
                <w:sz w:val="22"/>
                <w:szCs w:val="22"/>
              </w:rPr>
              <w:t xml:space="preserve">preqal.org</w:t>
            </w:r>
          </w:p>
        </w:tc>
      </w:tr>
    </w:tbl>
    <w:p>
      <w:pPr>
        <w:spacing w:after="240" w:before="0"/>
      </w:pPr>
      <w:r>
        <w:rPr>
          <w:rFonts w:ascii="Arial" w:cs="Arial" w:eastAsia="Arial" w:hAnsi="Arial"/>
          <w:sz w:val="2"/>
          <w:szCs w:val="2"/>
        </w:rPr>
        <w:t xml:space="preserve"/>
      </w:r>
    </w:p>
    <w:p>
      <w:pPr>
        <w:spacing w:after="40" w:before="0"/>
        <w:jc w:val="center"/>
      </w:pPr>
      <w:r>
        <w:rPr>
          <w:rFonts w:ascii="Arial" w:cs="Arial" w:eastAsia="Arial" w:hAnsi="Arial"/>
          <w:color w:val="DDDDDD"/>
          <w:sz w:val="20"/>
          <w:szCs w:val="20"/>
        </w:rPr>
        <w:t xml:space="preserve">─────────────────────────────────────</w:t>
      </w:r>
    </w:p>
    <w:p>
      <w:pPr>
        <w:spacing w:after="80" w:before="0"/>
        <w:jc w:val="center"/>
      </w:pPr>
      <w:r>
        <w:rPr>
          <w:rFonts w:ascii="Arial" w:cs="Arial" w:eastAsia="Arial" w:hAnsi="Arial"/>
          <w:b/>
          <w:bCs/>
          <w:color w:val="1E2D3D"/>
          <w:sz w:val="22"/>
          <w:szCs w:val="22"/>
        </w:rPr>
        <w:t xml:space="preserve">ACCEPTANCE</w:t>
      </w:r>
    </w:p>
    <w:p>
      <w:pPr>
        <w:spacing w:after="40" w:before="0"/>
      </w:pPr>
      <w:r>
        <w:rPr>
          <w:rFonts w:ascii="Arial" w:cs="Arial" w:eastAsia="Arial" w:hAnsi="Arial"/>
          <w:color w:val="555555"/>
          <w:sz w:val="22"/>
          <w:szCs w:val="22"/>
        </w:rPr>
        <w:t xml:space="preserve">By signing below, JSB Investments Inc. accepts this proposal and authorises Preqal to proceed with the engagement as described.</w:t>
      </w:r>
    </w:p>
    <w:p>
      <w:pPr>
        <w:spacing w:after="240" w:before="0"/>
      </w:pPr>
      <w:r>
        <w:rPr>
          <w:rFonts w:ascii="Arial" w:cs="Arial" w:eastAsia="Arial" w:hAnsi="Arial"/>
          <w:sz w:val="2"/>
          <w:szCs w:val="2"/>
        </w:rPr>
        <w:t xml:space="preserve"/>
      </w:r>
    </w:p>
    <w:p>
      <w:pPr>
        <w:spacing w:after="40" w:before="0"/>
      </w:pPr>
      <w:r>
        <w:rPr>
          <w:rFonts w:ascii="Arial" w:cs="Arial" w:eastAsia="Arial" w:hAnsi="Arial"/>
          <w:color w:val="444444"/>
          <w:sz w:val="22"/>
          <w:szCs w:val="22"/>
        </w:rPr>
        <w:t xml:space="preserve">Signed: ___________________________________     Date: _______________</w:t>
      </w:r>
    </w:p>
    <w:p>
      <w:pPr>
        <w:spacing w:after="60" w:before="0"/>
      </w:pPr>
      <w:r>
        <w:rPr>
          <w:rFonts w:ascii="Arial" w:cs="Arial" w:eastAsia="Arial" w:hAnsi="Arial"/>
          <w:sz w:val="2"/>
          <w:szCs w:val="2"/>
        </w:rPr>
        <w:t xml:space="preserve"/>
      </w:r>
    </w:p>
    <w:p>
      <w:pPr>
        <w:spacing w:after="40" w:before="0"/>
      </w:pPr>
      <w:r>
        <w:rPr>
          <w:rFonts w:ascii="Arial" w:cs="Arial" w:eastAsia="Arial" w:hAnsi="Arial"/>
          <w:color w:val="444444"/>
          <w:sz w:val="22"/>
          <w:szCs w:val="22"/>
        </w:rPr>
        <w:t xml:space="preserve">Name:   ___________________________________     Title: _______________</w:t>
      </w:r>
    </w:p>
    <w:p>
      <w:pPr>
        <w:spacing w:after="60" w:before="0"/>
      </w:pPr>
      <w:r>
        <w:rPr>
          <w:rFonts w:ascii="Arial" w:cs="Arial" w:eastAsia="Arial" w:hAnsi="Arial"/>
          <w:sz w:val="2"/>
          <w:szCs w:val="2"/>
        </w:rPr>
        <w:t xml:space="preserve"/>
      </w:r>
    </w:p>
    <w:p>
      <w:pPr>
        <w:spacing w:after="40" w:before="0"/>
      </w:pPr>
      <w:r>
        <w:rPr>
          <w:rFonts w:ascii="Arial" w:cs="Arial" w:eastAsia="Arial" w:hAnsi="Arial"/>
          <w:b/>
          <w:bCs/>
          <w:color w:val="1E2D3D"/>
          <w:sz w:val="22"/>
          <w:szCs w:val="22"/>
        </w:rPr>
        <w:t xml:space="preserve">On behalf of JSB Investments Inc.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spacing w:after="0" w:before="60"/>
    </w:pPr>
    <w:r>
      <w:rPr>
        <w:rFonts w:ascii="Arial" w:cs="Arial" w:eastAsia="Arial" w:hAnsi="Arial"/>
        <w:color w:val="999999"/>
        <w:sz w:val="18"/>
        <w:szCs w:val="18"/>
      </w:rPr>
      <w:t xml:space="preserve">preqal.org  |  stefan.gravesande@preqal.org</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spacing w:after="60" w:before="0"/>
    </w:pPr>
    <w:r>
      <w:rPr>
        <w:rFonts w:ascii="Arial" w:cs="Arial" w:eastAsia="Arial" w:hAnsi="Arial"/>
        <w:b/>
        <w:bCs/>
        <w:color w:val="1E2D3D"/>
        <w:sz w:val="18"/>
        <w:szCs w:val="18"/>
      </w:rPr>
      <w:t xml:space="preserve">PREQAL</w:t>
    </w:r>
    <w:r>
      <w:rPr>
        <w:rFonts w:ascii="Arial" w:cs="Arial" w:eastAsia="Arial" w:hAnsi="Arial"/>
        <w:color w:val="888888"/>
        <w:sz w:val="18"/>
        <w:szCs w:val="18"/>
      </w:rPr>
      <w:t xml:space="preserve">  |  ISO 9001 &amp; ISO 45001 Implementation Proposal  |  JSB Investments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2D3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2026-05-01T21:02:51.850Z</dcterms:created>
  <dcterms:modified xsi:type="dcterms:W3CDTF">2026-05-01T21:02:51.850Z</dcterms:modified>
</cp:coreProperties>
</file>

<file path=docProps/custom.xml><?xml version="1.0" encoding="utf-8"?>
<Properties xmlns="http://schemas.openxmlformats.org/officeDocument/2006/custom-properties" xmlns:vt="http://schemas.openxmlformats.org/officeDocument/2006/docPropsVTypes"/>
</file>