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87" w:firstLine="0"/>
        <w:jc w:val="both"/>
        <w:rPr>
          <w:rFonts w:ascii="Calibri" w:cs="Calibri" w:eastAsia="Calibri" w:hAnsi="Calibri"/>
          <w:color w:val="002060"/>
        </w:rPr>
      </w:pPr>
      <w:r w:rsidDel="00000000" w:rsidR="00000000" w:rsidRPr="00000000">
        <w:rPr>
          <w:rFonts w:ascii="Calibri" w:cs="Calibri" w:eastAsia="Calibri" w:hAnsi="Calibri"/>
          <w:color w:val="002060"/>
          <w:rtl w:val="0"/>
        </w:rPr>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-895349</wp:posOffset>
            </wp:positionV>
            <wp:extent cx="7734300" cy="1228725"/>
            <wp:effectExtent b="0" l="0" r="0" t="0"/>
            <wp:wrapNone/>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734300" cy="12287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-812799</wp:posOffset>
                </wp:positionV>
                <wp:extent cx="4396133" cy="895350"/>
                <wp:effectExtent b="0" l="0" r="0" t="0"/>
                <wp:wrapNone/>
                <wp:docPr id="1" name=""/>
                <a:graphic>
                  <a:graphicData uri="http://schemas.microsoft.com/office/word/2010/wordprocessingShape">
                    <wps:wsp>
                      <wps:cNvSpPr/>
                      <wps:cNvPr id="2" name="Shape 2"/>
                      <wps:spPr>
                        <a:xfrm>
                          <a:off x="3152696" y="3337088"/>
                          <a:ext cx="4386608" cy="8858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48"/>
                                <w:vertAlign w:val="baseline"/>
                              </w:rPr>
                              <w:t xml:space="preserve">Risk Consulting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48"/>
                                <w:vertAlign w:val="baseline"/>
                              </w:rPr>
                            </w:r>
                            <w:r w:rsidDel="00000000" w:rsidR="00000000" w:rsidRPr="00000000">
                              <w:rPr>
                                <w:rFonts w:ascii="Arial" w:cs="Arial" w:eastAsia="Arial" w:hAnsi="Arial"/>
                                <w:b w:val="0"/>
                                <w:i w:val="0"/>
                                <w:smallCaps w:val="0"/>
                                <w:strike w:val="0"/>
                                <w:color w:val="ffffff"/>
                                <w:sz w:val="32"/>
                                <w:vertAlign w:val="baseline"/>
                              </w:rPr>
                              <w:t xml:space="preserve">IT Advisory – Cyber Security: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32"/>
                                <w:vertAlign w:val="baseline"/>
                              </w:rPr>
                              <w:t xml:space="preserve">                Cyber in Govt: Assistant Manager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48"/>
                                <w:vertAlign w:val="baseline"/>
                              </w:rPr>
                            </w:r>
                            <w:r w:rsidDel="00000000" w:rsidR="00000000" w:rsidRPr="00000000">
                              <w:rPr>
                                <w:rFonts w:ascii="Arial" w:cs="Arial" w:eastAsia="Arial" w:hAnsi="Arial"/>
                                <w:b w:val="0"/>
                                <w:i w:val="0"/>
                                <w:smallCaps w:val="0"/>
                                <w:strike w:val="0"/>
                                <w:color w:val="ffffff"/>
                                <w:sz w:val="4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4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-812799</wp:posOffset>
                </wp:positionV>
                <wp:extent cx="4396133" cy="89535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396133" cy="895350"/>
                        </a:xfrm>
                        <a:prstGeom prst="rect"/>
                        <a:ln/>
                      </pic:spPr>
                    </pic:pic>
                  </a:graphicData>
                </a:graphic>
              </wp:anchor>
            </w:drawing>
          </mc:Fallback>
        </mc:AlternateContent>
      </w:r>
    </w:p>
    <w:p w:rsidR="00000000" w:rsidDel="00000000" w:rsidP="00000000" w:rsidRDefault="00000000" w:rsidRPr="00000000" w14:paraId="00000002">
      <w:pPr>
        <w:jc w:val="both"/>
        <w:rPr>
          <w:rFonts w:ascii="Calibri" w:cs="Calibri" w:eastAsia="Calibri" w:hAnsi="Calibri"/>
          <w:b w:val="1"/>
          <w:color w:val="002060"/>
          <w:sz w:val="28"/>
          <w:szCs w:val="28"/>
        </w:rPr>
      </w:pPr>
      <w:r w:rsidDel="00000000" w:rsidR="00000000" w:rsidRPr="00000000">
        <w:rPr>
          <w:rFonts w:ascii="Calibri" w:cs="Calibri" w:eastAsia="Calibri" w:hAnsi="Calibri"/>
          <w:b w:val="1"/>
          <w:color w:val="002060"/>
          <w:sz w:val="28"/>
          <w:szCs w:val="28"/>
          <w:rtl w:val="0"/>
        </w:rPr>
        <w:t xml:space="preserve">Function: IT Advisory </w:t>
      </w:r>
    </w:p>
    <w:p w:rsidR="00000000" w:rsidDel="00000000" w:rsidP="00000000" w:rsidRDefault="00000000" w:rsidRPr="00000000" w14:paraId="00000003">
      <w:pPr>
        <w:jc w:val="both"/>
        <w:rPr>
          <w:rFonts w:ascii="Calibri" w:cs="Calibri" w:eastAsia="Calibri" w:hAnsi="Calibri"/>
          <w:b w:val="1"/>
          <w:color w:val="002060"/>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&gt;&gt; </w:t>
      </w:r>
      <w:r w:rsidDel="00000000" w:rsidR="00000000" w:rsidRPr="00000000">
        <w:rPr>
          <w:rFonts w:ascii="Calibri" w:cs="Calibri" w:eastAsia="Calibri" w:hAnsi="Calibri"/>
          <w:b w:val="1"/>
          <w:color w:val="002060"/>
          <w:sz w:val="24"/>
          <w:szCs w:val="24"/>
          <w:rtl w:val="0"/>
        </w:rPr>
        <w:t xml:space="preserve">About KPMG in India</w:t>
      </w: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color w:val="002060"/>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color w:val="002060"/>
        </w:rPr>
      </w:pPr>
      <w:r w:rsidDel="00000000" w:rsidR="00000000" w:rsidRPr="00000000">
        <w:rPr>
          <w:rFonts w:ascii="Calibri" w:cs="Calibri" w:eastAsia="Calibri" w:hAnsi="Calibri"/>
          <w:color w:val="002060"/>
          <w:rtl w:val="0"/>
        </w:rPr>
        <w:t xml:space="preserve">KPMG in India, a professional services firm, is the Indian member firm affiliated with KPMG International and was established in September 1993. Our professionals leverage the global network of firms, providing detailed knowledge of local laws, regulations, markets and competition. KPMG has offices across India in Ahmedabad, Bengaluru, Chandigarh, Chennai, Gurugram, Hyderabad, Jaipur, Kochi, Kolkata, Mumbai, Noida, Pune, Vadodara and Vijayawada.</w:t>
      </w:r>
    </w:p>
    <w:p w:rsidR="00000000" w:rsidDel="00000000" w:rsidP="00000000" w:rsidRDefault="00000000" w:rsidRPr="00000000" w14:paraId="00000007">
      <w:pPr>
        <w:jc w:val="both"/>
        <w:rPr>
          <w:rFonts w:ascii="Calibri" w:cs="Calibri" w:eastAsia="Calibri" w:hAnsi="Calibri"/>
          <w:color w:val="002060"/>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color w:val="002060"/>
        </w:rPr>
      </w:pPr>
      <w:r w:rsidDel="00000000" w:rsidR="00000000" w:rsidRPr="00000000">
        <w:rPr>
          <w:rFonts w:ascii="Calibri" w:cs="Calibri" w:eastAsia="Calibri" w:hAnsi="Calibri"/>
          <w:color w:val="002060"/>
          <w:rtl w:val="0"/>
        </w:rPr>
        <w:t xml:space="preserve">KPMG in India offers services to national and international clients in India across sectors. We strive to provide rapid, performance-based, industry-focussed and technology-enabled services, which reflect a shared knowledge of global and local industries and our experience of the Indian business environment.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Our professionals provide the experience to help companies stay on track and deal with risks that could unhinge their business survival. Our services enable clients to effectively co-ordinate their key growth, quality and operational challenges and working in partnership with us, clients have the benefits of KPMG's experienced, objective, and industry-grounded viewpoints.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1"/>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2060"/>
          <w:sz w:val="22"/>
          <w:szCs w:val="22"/>
          <w:u w:val="none"/>
          <w:shd w:fill="auto" w:val="clear"/>
          <w:vertAlign w:val="baseline"/>
          <w:rtl w:val="0"/>
        </w:rPr>
        <w:t xml:space="preserve">&gt;&gt; JOB DESCRIPTION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1"/>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2060"/>
          <w:sz w:val="22"/>
          <w:szCs w:val="22"/>
          <w:u w:val="none"/>
          <w:shd w:fill="auto" w:val="clear"/>
          <w:vertAlign w:val="baseline"/>
          <w:rtl w:val="0"/>
        </w:rPr>
        <w:t xml:space="preserve">ROLE &amp; RESPONSIBILTY:   ASSISTANT MANAGER – CYBER IN GOVERNMENT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Cyber security and/or Privacy, IT Audit, IT Risk/Compliance Management with focus on delivering projects in the government sector (working with ministries and departments of state/central government)</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In-depth understanding of government sector is required – previous experience of working with government sector (India/global)</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Background in pre-sales activities such as responding to RFPs/RFIs are required. Should be conversant in working on DPR preparation including low level design, RFP / EOI preparation etc.</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Ability to manage effectively multiple, concurrent projects and meet deadlines while working both independently and in a team environment.</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Strong communication skills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24"/>
          <w:szCs w:val="24"/>
          <w:u w:val="none"/>
          <w:shd w:fill="auto" w:val="clear"/>
          <w:vertAlign w:val="baseline"/>
          <w:rtl w:val="0"/>
        </w:rPr>
        <w:t xml:space="preserve">Experience Required: </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8+ years of overall experience with at least 6 years of relevant experience in cyber security and related fields of work</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Must have experience in working in at least 3 completed projects for large, enterprise scale Clients in security advisory / review related work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206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Should have experience of working for at least 3 government clients (state or central government). This does not include PSUs</w:t>
      </w:r>
    </w:p>
    <w:p w:rsidR="00000000" w:rsidDel="00000000" w:rsidP="00000000" w:rsidRDefault="00000000" w:rsidRPr="00000000" w14:paraId="00000018">
      <w:pPr>
        <w:jc w:val="both"/>
        <w:rPr>
          <w:rFonts w:ascii="Calibri" w:cs="Calibri" w:eastAsia="Calibri" w:hAnsi="Calibri"/>
          <w:color w:val="002060"/>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&gt;&gt; SELECTION PROCESS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Candidates should expect 2 - 3 rounds of personal or telephonic interviews to assess fitment and communication skills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3" w:before="0" w:line="276" w:lineRule="auto"/>
        <w:ind w:left="360" w:right="0" w:firstLine="0"/>
        <w:jc w:val="both"/>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&gt;&gt; CRITERIA</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Education 60% above throughout academics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One 3 years (at least) regular course is must either Diploma or Graduation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Course: B.E. / B. Tech / MCA / M. Tech / MBA degree or equivalent</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Certification: PMP / CISM / CISSP / CISA / CRISC / ITIL / ISO 27001/22301/20000 LI/LA (At least one)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mallCaps w:val="1"/>
          <w:color w:val="002060"/>
        </w:rPr>
      </w:pPr>
      <w:r w:rsidDel="00000000" w:rsidR="00000000" w:rsidRPr="00000000">
        <w:rPr>
          <w:rFonts w:ascii="Calibri" w:cs="Calibri" w:eastAsia="Calibri" w:hAnsi="Calibri"/>
          <w:b w:val="1"/>
          <w:smallCaps w:val="1"/>
          <w:color w:val="002060"/>
          <w:rtl w:val="0"/>
        </w:rPr>
        <w:t xml:space="preserve">&gt;&gt; COMPENSATION</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1"/>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Compensation is competitive with industry standards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Details of the compensation breakup will be shared with short-listed candidates only</w:t>
      </w:r>
    </w:p>
    <w:p w:rsidR="00000000" w:rsidDel="00000000" w:rsidP="00000000" w:rsidRDefault="00000000" w:rsidRPr="00000000" w14:paraId="00000025">
      <w:pPr>
        <w:jc w:val="both"/>
        <w:rPr>
          <w:rFonts w:ascii="Calibri" w:cs="Calibri" w:eastAsia="Calibri" w:hAnsi="Calibri"/>
          <w:b w:val="1"/>
          <w:smallCaps w:val="1"/>
          <w:color w:val="00206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mallCaps w:val="1"/>
          <w:color w:val="002060"/>
        </w:rPr>
      </w:pPr>
      <w:r w:rsidDel="00000000" w:rsidR="00000000" w:rsidRPr="00000000">
        <w:rPr>
          <w:rFonts w:ascii="Calibri" w:cs="Calibri" w:eastAsia="Calibri" w:hAnsi="Calibri"/>
          <w:b w:val="1"/>
          <w:smallCaps w:val="1"/>
          <w:color w:val="002060"/>
          <w:rtl w:val="0"/>
        </w:rPr>
        <w:t xml:space="preserve">&gt;&gt; WORK TIMING: </w:t>
      </w:r>
      <w:r w:rsidDel="00000000" w:rsidR="00000000" w:rsidRPr="00000000">
        <w:rPr>
          <w:rFonts w:ascii="Calibri" w:cs="Calibri" w:eastAsia="Calibri" w:hAnsi="Calibri"/>
          <w:color w:val="002060"/>
          <w:rtl w:val="0"/>
        </w:rPr>
        <w:t xml:space="preserve">Monday to Friday</w:t>
      </w:r>
      <w:r w:rsidDel="00000000" w:rsidR="00000000" w:rsidRPr="00000000">
        <w:rPr>
          <w:rtl w:val="0"/>
        </w:rPr>
      </w:r>
    </w:p>
    <w:p w:rsidR="00000000" w:rsidDel="00000000" w:rsidP="00000000" w:rsidRDefault="00000000" w:rsidRPr="00000000" w14:paraId="00000027">
      <w:pPr>
        <w:spacing w:after="0" w:line="276" w:lineRule="auto"/>
        <w:jc w:val="both"/>
        <w:rPr>
          <w:rFonts w:ascii="Calibri" w:cs="Calibri" w:eastAsia="Calibri" w:hAnsi="Calibri"/>
          <w:b w:val="1"/>
          <w:smallCaps w:val="1"/>
          <w:color w:val="002060"/>
        </w:rPr>
      </w:pPr>
      <w:r w:rsidDel="00000000" w:rsidR="00000000" w:rsidRPr="00000000">
        <w:rPr>
          <w:rtl w:val="0"/>
        </w:rPr>
      </w:r>
    </w:p>
    <w:p w:rsidR="00000000" w:rsidDel="00000000" w:rsidP="00000000" w:rsidRDefault="00000000" w:rsidRPr="00000000" w14:paraId="00000028">
      <w:pPr>
        <w:spacing w:after="0" w:line="276" w:lineRule="auto"/>
        <w:jc w:val="both"/>
        <w:rPr>
          <w:rFonts w:ascii="Calibri" w:cs="Calibri" w:eastAsia="Calibri" w:hAnsi="Calibri"/>
          <w:b w:val="1"/>
          <w:smallCaps w:val="1"/>
          <w:color w:val="002060"/>
        </w:rPr>
      </w:pPr>
      <w:r w:rsidDel="00000000" w:rsidR="00000000" w:rsidRPr="00000000">
        <w:rPr>
          <w:rFonts w:ascii="Calibri" w:cs="Calibri" w:eastAsia="Calibri" w:hAnsi="Calibri"/>
          <w:b w:val="1"/>
          <w:smallCaps w:val="1"/>
          <w:color w:val="002060"/>
          <w:rtl w:val="0"/>
        </w:rPr>
        <w:t xml:space="preserve">&gt;&gt; WORK LOCATION: </w:t>
      </w:r>
      <w:r w:rsidDel="00000000" w:rsidR="00000000" w:rsidRPr="00000000">
        <w:rPr>
          <w:rFonts w:ascii="Calibri" w:cs="Calibri" w:eastAsia="Calibri" w:hAnsi="Calibri"/>
          <w:color w:val="002060"/>
          <w:rtl w:val="0"/>
        </w:rPr>
        <w:t xml:space="preserve">Gurgaon</w:t>
      </w:r>
      <w:r w:rsidDel="00000000" w:rsidR="00000000" w:rsidRPr="00000000">
        <w:rPr>
          <w:rtl w:val="0"/>
        </w:rPr>
      </w:r>
    </w:p>
    <w:p w:rsidR="00000000" w:rsidDel="00000000" w:rsidP="00000000" w:rsidRDefault="00000000" w:rsidRPr="00000000" w14:paraId="00000029">
      <w:pPr>
        <w:spacing w:after="0" w:line="276" w:lineRule="auto"/>
        <w:jc w:val="both"/>
        <w:rPr>
          <w:rFonts w:ascii="Calibri" w:cs="Calibri" w:eastAsia="Calibri" w:hAnsi="Calibri"/>
          <w:b w:val="1"/>
          <w:smallCaps w:val="1"/>
          <w:color w:val="002060"/>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smallCaps w:val="1"/>
          <w:color w:val="002060"/>
        </w:rPr>
      </w:pPr>
      <w:r w:rsidDel="00000000" w:rsidR="00000000" w:rsidRPr="00000000">
        <w:rPr>
          <w:rFonts w:ascii="Calibri" w:cs="Calibri" w:eastAsia="Calibri" w:hAnsi="Calibri"/>
          <w:b w:val="1"/>
          <w:smallCaps w:val="1"/>
          <w:color w:val="002060"/>
          <w:rtl w:val="0"/>
        </w:rPr>
        <w:t xml:space="preserve">&gt;&gt; PEOPLE BENEFITS</w:t>
      </w:r>
    </w:p>
    <w:p w:rsidR="00000000" w:rsidDel="00000000" w:rsidP="00000000" w:rsidRDefault="00000000" w:rsidRPr="00000000" w14:paraId="0000002B">
      <w:pPr>
        <w:numPr>
          <w:ilvl w:val="0"/>
          <w:numId w:val="4"/>
        </w:numPr>
        <w:ind w:left="720" w:hanging="360"/>
        <w:jc w:val="both"/>
        <w:rPr>
          <w:color w:val="002060"/>
        </w:rPr>
      </w:pPr>
      <w:r w:rsidDel="00000000" w:rsidR="00000000" w:rsidRPr="00000000">
        <w:rPr>
          <w:rFonts w:ascii="Calibri" w:cs="Calibri" w:eastAsia="Calibri" w:hAnsi="Calibri"/>
          <w:color w:val="002060"/>
          <w:rtl w:val="0"/>
        </w:rPr>
        <w:t xml:space="preserve">Continuous learning program </w:t>
      </w:r>
    </w:p>
    <w:p w:rsidR="00000000" w:rsidDel="00000000" w:rsidP="00000000" w:rsidRDefault="00000000" w:rsidRPr="00000000" w14:paraId="0000002C">
      <w:pPr>
        <w:numPr>
          <w:ilvl w:val="0"/>
          <w:numId w:val="4"/>
        </w:numPr>
        <w:ind w:left="720" w:hanging="360"/>
        <w:jc w:val="both"/>
        <w:rPr>
          <w:color w:val="002060"/>
        </w:rPr>
      </w:pPr>
      <w:r w:rsidDel="00000000" w:rsidR="00000000" w:rsidRPr="00000000">
        <w:rPr>
          <w:rFonts w:ascii="Calibri" w:cs="Calibri" w:eastAsia="Calibri" w:hAnsi="Calibri"/>
          <w:color w:val="002060"/>
          <w:rtl w:val="0"/>
        </w:rPr>
        <w:t xml:space="preserve">Driving a culture of recognition through ‘ENCORE’ our quarterly rewards and recognition program</w:t>
      </w:r>
    </w:p>
    <w:p w:rsidR="00000000" w:rsidDel="00000000" w:rsidP="00000000" w:rsidRDefault="00000000" w:rsidRPr="00000000" w14:paraId="0000002D">
      <w:pPr>
        <w:numPr>
          <w:ilvl w:val="0"/>
          <w:numId w:val="4"/>
        </w:numPr>
        <w:ind w:left="720" w:hanging="360"/>
        <w:jc w:val="both"/>
        <w:rPr>
          <w:color w:val="002060"/>
        </w:rPr>
      </w:pPr>
      <w:r w:rsidDel="00000000" w:rsidR="00000000" w:rsidRPr="00000000">
        <w:rPr>
          <w:rFonts w:ascii="Calibri" w:cs="Calibri" w:eastAsia="Calibri" w:hAnsi="Calibri"/>
          <w:color w:val="002060"/>
          <w:rtl w:val="0"/>
        </w:rPr>
        <w:t xml:space="preserve">Comprehensive medical insurance coverage for staff and family</w:t>
      </w:r>
    </w:p>
    <w:p w:rsidR="00000000" w:rsidDel="00000000" w:rsidP="00000000" w:rsidRDefault="00000000" w:rsidRPr="00000000" w14:paraId="0000002E">
      <w:pPr>
        <w:numPr>
          <w:ilvl w:val="0"/>
          <w:numId w:val="4"/>
        </w:numPr>
        <w:ind w:left="720" w:hanging="360"/>
        <w:jc w:val="both"/>
        <w:rPr>
          <w:color w:val="002060"/>
        </w:rPr>
      </w:pPr>
      <w:r w:rsidDel="00000000" w:rsidR="00000000" w:rsidRPr="00000000">
        <w:rPr>
          <w:rFonts w:ascii="Calibri" w:cs="Calibri" w:eastAsia="Calibri" w:hAnsi="Calibri"/>
          <w:color w:val="002060"/>
          <w:rtl w:val="0"/>
        </w:rPr>
        <w:t xml:space="preserve">Expansive general and accidental coverage for staff</w:t>
      </w:r>
    </w:p>
    <w:p w:rsidR="00000000" w:rsidDel="00000000" w:rsidP="00000000" w:rsidRDefault="00000000" w:rsidRPr="00000000" w14:paraId="0000002F">
      <w:pPr>
        <w:numPr>
          <w:ilvl w:val="0"/>
          <w:numId w:val="4"/>
        </w:numPr>
        <w:ind w:left="720" w:hanging="360"/>
        <w:jc w:val="both"/>
        <w:rPr>
          <w:color w:val="002060"/>
        </w:rPr>
      </w:pPr>
      <w:r w:rsidDel="00000000" w:rsidR="00000000" w:rsidRPr="00000000">
        <w:rPr>
          <w:rFonts w:ascii="Calibri" w:cs="Calibri" w:eastAsia="Calibri" w:hAnsi="Calibri"/>
          <w:color w:val="002060"/>
          <w:rtl w:val="0"/>
        </w:rPr>
        <w:t xml:space="preserve">Executive Health check-up (Manager &amp; above, and for staff above the age of 30)</w:t>
      </w:r>
    </w:p>
    <w:p w:rsidR="00000000" w:rsidDel="00000000" w:rsidP="00000000" w:rsidRDefault="00000000" w:rsidRPr="00000000" w14:paraId="00000030">
      <w:pPr>
        <w:numPr>
          <w:ilvl w:val="0"/>
          <w:numId w:val="4"/>
        </w:numPr>
        <w:ind w:left="720" w:hanging="360"/>
        <w:jc w:val="both"/>
        <w:rPr>
          <w:color w:val="002060"/>
        </w:rPr>
      </w:pPr>
      <w:r w:rsidDel="00000000" w:rsidR="00000000" w:rsidRPr="00000000">
        <w:rPr>
          <w:rFonts w:ascii="Calibri" w:cs="Calibri" w:eastAsia="Calibri" w:hAnsi="Calibri"/>
          <w:color w:val="002060"/>
          <w:rtl w:val="0"/>
        </w:rPr>
        <w:t xml:space="preserve">Les Concierge desks</w:t>
      </w:r>
    </w:p>
    <w:p w:rsidR="00000000" w:rsidDel="00000000" w:rsidP="00000000" w:rsidRDefault="00000000" w:rsidRPr="00000000" w14:paraId="00000031">
      <w:pPr>
        <w:numPr>
          <w:ilvl w:val="0"/>
          <w:numId w:val="4"/>
        </w:numPr>
        <w:ind w:left="720" w:hanging="360"/>
        <w:jc w:val="both"/>
        <w:rPr>
          <w:color w:val="002060"/>
        </w:rPr>
      </w:pPr>
      <w:r w:rsidDel="00000000" w:rsidR="00000000" w:rsidRPr="00000000">
        <w:rPr>
          <w:rFonts w:ascii="Calibri" w:cs="Calibri" w:eastAsia="Calibri" w:hAnsi="Calibri"/>
          <w:color w:val="002060"/>
          <w:rtl w:val="0"/>
        </w:rPr>
        <w:t xml:space="preserve">Internal &amp; Global mobility</w:t>
      </w:r>
    </w:p>
    <w:p w:rsidR="00000000" w:rsidDel="00000000" w:rsidP="00000000" w:rsidRDefault="00000000" w:rsidRPr="00000000" w14:paraId="00000032">
      <w:pPr>
        <w:numPr>
          <w:ilvl w:val="0"/>
          <w:numId w:val="4"/>
        </w:numPr>
        <w:ind w:left="720" w:hanging="360"/>
        <w:jc w:val="both"/>
        <w:rPr>
          <w:color w:val="002060"/>
        </w:rPr>
      </w:pPr>
      <w:r w:rsidDel="00000000" w:rsidR="00000000" w:rsidRPr="00000000">
        <w:rPr>
          <w:rFonts w:ascii="Calibri" w:cs="Calibri" w:eastAsia="Calibri" w:hAnsi="Calibri"/>
          <w:color w:val="002060"/>
          <w:rtl w:val="0"/>
        </w:rPr>
        <w:t xml:space="preserve">Various other people friendly initiatives</w:t>
      </w:r>
    </w:p>
    <w:p w:rsidR="00000000" w:rsidDel="00000000" w:rsidP="00000000" w:rsidRDefault="00000000" w:rsidRPr="00000000" w14:paraId="00000033">
      <w:pPr>
        <w:numPr>
          <w:ilvl w:val="0"/>
          <w:numId w:val="4"/>
        </w:numPr>
        <w:ind w:left="720" w:hanging="360"/>
        <w:jc w:val="both"/>
        <w:rPr>
          <w:color w:val="002060"/>
        </w:rPr>
      </w:pPr>
      <w:r w:rsidDel="00000000" w:rsidR="00000000" w:rsidRPr="00000000">
        <w:rPr>
          <w:rFonts w:ascii="Calibri" w:cs="Calibri" w:eastAsia="Calibri" w:hAnsi="Calibri"/>
          <w:color w:val="002060"/>
          <w:rtl w:val="0"/>
        </w:rPr>
        <w:t xml:space="preserve">Strong commitment to our Values such as CSR initiatives</w:t>
      </w:r>
    </w:p>
    <w:p w:rsidR="00000000" w:rsidDel="00000000" w:rsidP="00000000" w:rsidRDefault="00000000" w:rsidRPr="00000000" w14:paraId="00000034">
      <w:pPr>
        <w:jc w:val="both"/>
        <w:rPr>
          <w:rFonts w:ascii="Calibri" w:cs="Calibri" w:eastAsia="Calibri" w:hAnsi="Calibri"/>
          <w:color w:val="002060"/>
        </w:rPr>
      </w:pPr>
      <w:r w:rsidDel="00000000" w:rsidR="00000000" w:rsidRPr="00000000">
        <w:rPr>
          <w:rFonts w:ascii="Calibri" w:cs="Calibri" w:eastAsia="Calibri" w:hAnsi="Calibri"/>
          <w:color w:val="002060"/>
          <w:rtl w:val="0"/>
        </w:rPr>
        <w:t xml:space="preserve">The opportunity is now! If you are interested in being part of a dynamic team, serving clients and reaching your full potential – KPMG Advisory Services is for you!</w:t>
      </w:r>
    </w:p>
    <w:p w:rsidR="00000000" w:rsidDel="00000000" w:rsidP="00000000" w:rsidRDefault="00000000" w:rsidRPr="00000000" w14:paraId="00000035">
      <w:pPr>
        <w:spacing w:line="240" w:lineRule="auto"/>
        <w:ind w:left="-187" w:firstLine="0"/>
        <w:jc w:val="both"/>
        <w:rPr>
          <w:rFonts w:ascii="Calibri" w:cs="Calibri" w:eastAsia="Calibri" w:hAnsi="Calibri"/>
          <w:b w:val="1"/>
          <w:color w:val="002060"/>
        </w:rPr>
      </w:pPr>
      <w:r w:rsidDel="00000000" w:rsidR="00000000" w:rsidRPr="00000000">
        <w:rPr>
          <w:rtl w:val="0"/>
        </w:rPr>
      </w:r>
    </w:p>
    <w:p w:rsidR="00000000" w:rsidDel="00000000" w:rsidP="00000000" w:rsidRDefault="00000000" w:rsidRPr="00000000" w14:paraId="00000036">
      <w:pPr>
        <w:spacing w:line="240" w:lineRule="auto"/>
        <w:ind w:left="-187" w:firstLine="0"/>
        <w:jc w:val="both"/>
        <w:rPr>
          <w:rFonts w:ascii="Calibri" w:cs="Calibri" w:eastAsia="Calibri" w:hAnsi="Calibri"/>
          <w:color w:val="002060"/>
        </w:rPr>
      </w:pPr>
      <w:r w:rsidDel="00000000" w:rsidR="00000000" w:rsidRPr="00000000">
        <w:rPr>
          <w:rtl w:val="0"/>
        </w:rPr>
      </w:r>
    </w:p>
    <w:p w:rsidR="00000000" w:rsidDel="00000000" w:rsidP="00000000" w:rsidRDefault="00000000" w:rsidRPr="00000000" w14:paraId="00000037">
      <w:pPr>
        <w:spacing w:line="240" w:lineRule="auto"/>
        <w:ind w:left="-187" w:firstLine="0"/>
        <w:jc w:val="both"/>
        <w:rPr>
          <w:rFonts w:ascii="Calibri" w:cs="Calibri" w:eastAsia="Calibri" w:hAnsi="Calibri"/>
          <w:color w:val="002060"/>
        </w:rPr>
      </w:pPr>
      <w:r w:rsidDel="00000000" w:rsidR="00000000" w:rsidRPr="00000000">
        <w:rPr>
          <w:rtl w:val="0"/>
        </w:rPr>
      </w:r>
    </w:p>
    <w:sectPr>
      <w:footerReference r:id="rId8" w:type="default"/>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114300" hidden="0" layoutInCell="1" locked="0" relativeHeight="0" simplePos="0">
              <wp:simplePos x="0" y="0"/>
              <wp:positionH relativeFrom="column">
                <wp:posOffset>25400</wp:posOffset>
              </wp:positionH>
              <wp:positionV relativeFrom="paragraph">
                <wp:posOffset>-1054099</wp:posOffset>
              </wp:positionV>
              <wp:extent cx="5864225" cy="1019175"/>
              <wp:effectExtent b="0" l="0" r="0" t="0"/>
              <wp:wrapSquare wrapText="bothSides" distB="0" distT="0" distL="0" distR="114300"/>
              <wp:docPr id="2" name=""/>
              <a:graphic>
                <a:graphicData uri="http://schemas.microsoft.com/office/word/2010/wordprocessingShape">
                  <wps:wsp>
                    <wps:cNvSpPr/>
                    <wps:cNvPr id="3" name="Shape 3"/>
                    <wps:spPr>
                      <a:xfrm>
                        <a:off x="2418650" y="3275175"/>
                        <a:ext cx="5854700" cy="10096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4"/>
                              <w:vertAlign w:val="baseline"/>
                            </w:rPr>
                            <w:t xml:space="preserve">The information contained herein is of a general nature and is not intended to address the circumstances of any particular individual or entity. Although we endeavour to provide accurate and timely information, there can be no guarantee that such information is accurate as of the date it is received or that it will continue to be accurate in the future. No one should act on such information without appropriate professional advice after a thorough examination of the particular situation.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2020 KPMG, an Indian Registered Partnership and a member firm of the KPMG network of independent member firms affiliated with KPMG International Cooperative (“KPMG International”), a Swiss entity. All rights reserved. The KPMG name and logo are registered trademarks or trademarks of KPMG International.</w:t>
                          </w:r>
                        </w:p>
                      </w:txbxContent>
                    </wps:txbx>
                    <wps:bodyPr anchorCtr="0" anchor="t" bIns="0" lIns="0" spcFirstLastPara="1" rIns="0" wrap="square" tIns="0">
                      <a:noAutofit/>
                    </wps:bodyPr>
                  </wps:wsp>
                </a:graphicData>
              </a:graphic>
            </wp:anchor>
          </w:drawing>
        </mc:Choice>
        <mc:Fallback>
          <w:drawing>
            <wp:anchor allowOverlap="1" behindDoc="0" distB="0" distT="0" distL="0" distR="114300" hidden="0" layoutInCell="1" locked="0" relativeHeight="0" simplePos="0">
              <wp:simplePos x="0" y="0"/>
              <wp:positionH relativeFrom="column">
                <wp:posOffset>25400</wp:posOffset>
              </wp:positionH>
              <wp:positionV relativeFrom="paragraph">
                <wp:posOffset>-1054099</wp:posOffset>
              </wp:positionV>
              <wp:extent cx="5864225" cy="1019175"/>
              <wp:effectExtent b="0" l="0" r="0" t="0"/>
              <wp:wrapSquare wrapText="bothSides" distB="0" distT="0" distL="0" distR="11430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4225" cy="10191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-1486258</wp:posOffset>
          </wp:positionV>
          <wp:extent cx="1379855" cy="354330"/>
          <wp:effectExtent b="0" l="0" r="0" t="0"/>
          <wp:wrapNone/>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9855" cy="35433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o"/>
      <w:lvlJc w:val="left"/>
      <w:pPr>
        <w:ind w:left="360" w:hanging="360"/>
      </w:pPr>
      <w:rPr>
        <w:rFonts w:ascii="Courier New" w:cs="Courier New" w:eastAsia="Courier New" w:hAnsi="Courier New"/>
        <w:color w:val="000000"/>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80" w:hanging="360"/>
      </w:pPr>
      <w:rPr>
        <w:rFonts w:ascii="Courier New" w:cs="Courier New" w:eastAsia="Courier New" w:hAnsi="Courier New"/>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