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0D4" w:rsidRDefault="00A74C07" w14:paraId="5C8FA4A4" w14:textId="77777777">
      <w:pPr>
        <w:pStyle w:val="NoSpacing"/>
      </w:pPr>
      <w:r>
        <w:t xml:space="preserve">THE LOUISIANA PURCHASE AND </w:t>
      </w:r>
      <w:r w:rsidR="00871E05">
        <w:t>THE AMERICAN DREAM</w:t>
      </w:r>
    </w:p>
    <w:p w:rsidR="00080C97" w:rsidRDefault="00080C97" w14:paraId="4DBDF989" w14:textId="5B31DC59">
      <w:pPr>
        <w:pStyle w:val="Title"/>
      </w:pPr>
    </w:p>
    <w:p w:rsidRPr="00CE65F4" w:rsidR="00CE65F4" w:rsidP="00CE65F4" w:rsidRDefault="00CE65F4" w14:paraId="47CBEBD4" w14:textId="72364DE2">
      <w:pPr>
        <w:pStyle w:val="Title"/>
      </w:pPr>
      <w:r>
        <w:t>Sundance Hollingsworth</w:t>
      </w:r>
    </w:p>
    <w:p w:rsidR="007C75F3" w:rsidP="007C75F3" w:rsidRDefault="007C75F3" w14:paraId="11E02E6C" w14:textId="794C9242">
      <w:pPr>
        <w:pStyle w:val="Title"/>
      </w:pPr>
      <w:r>
        <w:t>HIS</w:t>
      </w:r>
      <w:r w:rsidR="004A052F">
        <w:t xml:space="preserve"> 2130: History of the American West</w:t>
      </w:r>
    </w:p>
    <w:p w:rsidRPr="004A052F" w:rsidR="004A052F" w:rsidP="004A052F" w:rsidRDefault="004A052F" w14:paraId="0C5E7E4A" w14:textId="3EA66CEB">
      <w:pPr>
        <w:pStyle w:val="Title"/>
      </w:pPr>
      <w:r>
        <w:t>February 12, 2023</w:t>
      </w:r>
    </w:p>
    <w:p w:rsidRPr="00914CF6" w:rsidR="00914CF6" w:rsidP="00600108" w:rsidRDefault="00011065" w14:paraId="55F812D8" w14:textId="03097EC5">
      <w:r>
        <w:t xml:space="preserve">The purchase of the Louisiana Territory in </w:t>
      </w:r>
      <w:r w:rsidR="00A57D1D">
        <w:t>1803 ushere</w:t>
      </w:r>
      <w:r w:rsidR="00AB71CC">
        <w:t xml:space="preserve">d in a new era for the burgeoning new United States. </w:t>
      </w:r>
      <w:r w:rsidR="003E4F17">
        <w:t xml:space="preserve">Effectively doubling the </w:t>
      </w:r>
      <w:r w:rsidR="00AD5340">
        <w:t>size</w:t>
      </w:r>
      <w:r w:rsidR="00AB71CC">
        <w:t xml:space="preserve"> of the country</w:t>
      </w:r>
      <w:r w:rsidR="00AD5340">
        <w:t xml:space="preserve">, it </w:t>
      </w:r>
      <w:r w:rsidR="005565F1">
        <w:t xml:space="preserve">positioned the </w:t>
      </w:r>
      <w:r w:rsidR="005556C2">
        <w:t>US</w:t>
      </w:r>
      <w:r w:rsidR="000446CD">
        <w:t xml:space="preserve"> as a major player in the world.</w:t>
      </w:r>
      <w:r w:rsidR="00A14775">
        <w:t xml:space="preserve"> Exploration of this newly purchased land, </w:t>
      </w:r>
      <w:r w:rsidR="3FD445AE">
        <w:t xml:space="preserve">and </w:t>
      </w:r>
      <w:r w:rsidR="00A14775">
        <w:t xml:space="preserve">more broadly the continent, would be necessary to </w:t>
      </w:r>
      <w:r w:rsidR="00D01083">
        <w:t xml:space="preserve">foster </w:t>
      </w:r>
      <w:r w:rsidR="00251337">
        <w:t>emigration</w:t>
      </w:r>
      <w:r w:rsidR="00D01083">
        <w:t xml:space="preserve"> to these new lands. With </w:t>
      </w:r>
      <w:r w:rsidR="00C30C0F">
        <w:t xml:space="preserve">federal </w:t>
      </w:r>
      <w:r w:rsidR="00484916">
        <w:t>funding</w:t>
      </w:r>
      <w:r w:rsidR="00C30C0F">
        <w:t>, a string of expeditions</w:t>
      </w:r>
      <w:r w:rsidR="007A06F7">
        <w:t xml:space="preserve"> began setting off for this territory</w:t>
      </w:r>
      <w:r w:rsidR="00A94D4A">
        <w:t xml:space="preserve"> with</w:t>
      </w:r>
      <w:r w:rsidR="007A06F7">
        <w:t xml:space="preserve"> some of the most </w:t>
      </w:r>
      <w:r w:rsidR="00A94D4A">
        <w:t>notable</w:t>
      </w:r>
      <w:r w:rsidR="007A06F7">
        <w:t xml:space="preserve"> being the Lewis and Clark expedition, the Pike expedition, and the Long expedition. </w:t>
      </w:r>
      <w:r w:rsidR="00BD6C88">
        <w:t xml:space="preserve">Each expedition brought new </w:t>
      </w:r>
      <w:r w:rsidR="00612050">
        <w:t>discoveries</w:t>
      </w:r>
      <w:r w:rsidR="00BD6C88">
        <w:t xml:space="preserve"> and within the diaries of the explorers one can find grand </w:t>
      </w:r>
      <w:r w:rsidR="00365655">
        <w:t xml:space="preserve">descriptions </w:t>
      </w:r>
      <w:r w:rsidR="00211349">
        <w:t>of the landscape</w:t>
      </w:r>
      <w:r w:rsidR="005D5E00">
        <w:t xml:space="preserve">, attempting to </w:t>
      </w:r>
      <w:r w:rsidR="001869BE">
        <w:t>accurately capture the West</w:t>
      </w:r>
      <w:r w:rsidR="5F3F5777">
        <w:t>.</w:t>
      </w:r>
      <w:r w:rsidR="00211349">
        <w:t xml:space="preserve"> Additionally, various artists </w:t>
      </w:r>
      <w:r w:rsidR="001128B5">
        <w:t xml:space="preserve">accompanied some of the expeditions, lending an air of realism to the fantastical descriptions. </w:t>
      </w:r>
      <w:r w:rsidRPr="00C80847" w:rsidR="00AC1525">
        <w:t xml:space="preserve">Federally funded expeditions into the West planted the first seeds of Manifest Destiny and </w:t>
      </w:r>
      <w:r w:rsidR="00675668">
        <w:t xml:space="preserve">fostered an </w:t>
      </w:r>
      <w:r w:rsidRPr="00C80847" w:rsidR="00AC1525">
        <w:t>image</w:t>
      </w:r>
      <w:r w:rsidR="00675668">
        <w:t xml:space="preserve"> of</w:t>
      </w:r>
      <w:r w:rsidR="0031114D">
        <w:t xml:space="preserve"> diverse lands rich in untapped flora and fauna</w:t>
      </w:r>
      <w:r w:rsidRPr="00C80847" w:rsidR="00593424">
        <w:t>; a</w:t>
      </w:r>
      <w:r w:rsidRPr="00C80847" w:rsidR="00364889">
        <w:t xml:space="preserve"> dangerous</w:t>
      </w:r>
      <w:r w:rsidR="00C23BDA">
        <w:t xml:space="preserve"> place where if </w:t>
      </w:r>
      <w:r w:rsidRPr="00C80847" w:rsidR="00593424">
        <w:t>one</w:t>
      </w:r>
      <w:r w:rsidR="00C23BDA">
        <w:t xml:space="preserve"> were willing</w:t>
      </w:r>
      <w:r w:rsidRPr="00C80847" w:rsidR="00593424">
        <w:t xml:space="preserve"> to </w:t>
      </w:r>
      <w:r w:rsidRPr="00C80847" w:rsidR="00456F09">
        <w:t>emigrate,</w:t>
      </w:r>
      <w:r w:rsidRPr="00C80847" w:rsidR="00170176">
        <w:t xml:space="preserve"> they</w:t>
      </w:r>
      <w:r w:rsidR="00C23BDA">
        <w:t xml:space="preserve"> could </w:t>
      </w:r>
      <w:r w:rsidRPr="00C80847" w:rsidR="00170176">
        <w:t>create</w:t>
      </w:r>
      <w:r w:rsidR="00AD4010">
        <w:t xml:space="preserve"> a new life for </w:t>
      </w:r>
      <w:r w:rsidRPr="00C80847" w:rsidR="00170176">
        <w:t>themselves</w:t>
      </w:r>
      <w:r w:rsidR="00AD4010">
        <w:t xml:space="preserve"> and </w:t>
      </w:r>
      <w:r w:rsidRPr="00C80847" w:rsidR="00170176">
        <w:t>their families</w:t>
      </w:r>
      <w:r w:rsidRPr="00C80847" w:rsidR="0012644A">
        <w:t>.</w:t>
      </w:r>
    </w:p>
    <w:p w:rsidR="00AD4010" w:rsidP="00600108" w:rsidRDefault="001649CD" w14:paraId="04A1C8C6" w14:textId="7A4B6535">
      <w:r w:rsidR="001649CD">
        <w:rPr/>
        <w:t xml:space="preserve">Even before the purchase of the Louisiana </w:t>
      </w:r>
      <w:r w:rsidR="006805F4">
        <w:rPr/>
        <w:t>territory</w:t>
      </w:r>
      <w:r w:rsidR="001649CD">
        <w:rPr/>
        <w:t xml:space="preserve">, Thomas Jefferson </w:t>
      </w:r>
      <w:r w:rsidR="003360D6">
        <w:rPr/>
        <w:t xml:space="preserve">had plans for exploring the continent. Indeed, </w:t>
      </w:r>
      <w:r w:rsidR="00776DB6">
        <w:rPr/>
        <w:t xml:space="preserve">the purchase of the Louisiana Territory came on the eve of an </w:t>
      </w:r>
      <w:r w:rsidR="00396AE9">
        <w:rPr/>
        <w:t xml:space="preserve">expedition </w:t>
      </w:r>
      <w:r w:rsidR="00396AE9">
        <w:rPr/>
        <w:t xml:space="preserve">he’d</w:t>
      </w:r>
      <w:r w:rsidR="00396AE9">
        <w:rPr/>
        <w:t xml:space="preserve"> </w:t>
      </w:r>
      <w:r w:rsidR="00776DB6">
        <w:rPr/>
        <w:t xml:space="preserve">already planned helmed by his </w:t>
      </w:r>
      <w:r w:rsidR="00A00569">
        <w:rPr/>
        <w:t xml:space="preserve">secretary, Merriweather </w:t>
      </w:r>
      <w:r w:rsidR="00A00569">
        <w:rPr/>
        <w:t xml:space="preserve">Lewis</w:t>
      </w:r>
      <w:r w:rsidR="00A00569">
        <w:rPr/>
        <w:t xml:space="preserve"> and </w:t>
      </w:r>
      <w:r w:rsidR="00327319">
        <w:rPr/>
        <w:t xml:space="preserve">his </w:t>
      </w:r>
      <w:r w:rsidR="0091175C">
        <w:rPr/>
        <w:t>traveling</w:t>
      </w:r>
      <w:r w:rsidR="0088496D">
        <w:rPr/>
        <w:t xml:space="preserve"> </w:t>
      </w:r>
      <w:r w:rsidR="00327319">
        <w:rPr/>
        <w:t xml:space="preserve">companion </w:t>
      </w:r>
      <w:r w:rsidR="00A00569">
        <w:rPr/>
        <w:t>Captain William Clark.</w:t>
      </w:r>
      <w:r w:rsidR="003D1A61">
        <w:rPr/>
        <w:t xml:space="preserve"> It is within the journals of </w:t>
      </w:r>
      <w:r w:rsidR="00A8212F">
        <w:rPr/>
        <w:t>Lewis</w:t>
      </w:r>
      <w:r w:rsidR="003D1A61">
        <w:rPr/>
        <w:t xml:space="preserve"> that we glimpse the amazement and wonder of the first</w:t>
      </w:r>
      <w:r w:rsidR="00BF5E34">
        <w:rPr/>
        <w:t xml:space="preserve"> Americans to see this new land</w:t>
      </w:r>
      <w:r w:rsidR="00AE1B6B">
        <w:rPr/>
        <w:t>, here speaking of the Great Falls of the Missouri river</w:t>
      </w:r>
      <w:r w:rsidR="00A8212F">
        <w:rPr/>
        <w:t>: “</w:t>
      </w:r>
      <w:r w:rsidR="0006046B">
        <w:rPr/>
        <w:t xml:space="preserve">on my right </w:t>
      </w:r>
      <w:r w:rsidR="0006046B">
        <w:rPr/>
        <w:t>formes</w:t>
      </w:r>
      <w:r w:rsidR="0006046B">
        <w:rPr/>
        <w:t xml:space="preserve"> the grandest sight I ever beheld… the water</w:t>
      </w:r>
      <w:r w:rsidR="00876E81">
        <w:rPr/>
        <w:t xml:space="preserve">… </w:t>
      </w:r>
      <w:r w:rsidR="00CB408A">
        <w:rPr/>
        <w:t>brakes into a perfect white foam which assumes a thousand forms in a moment…”</w:t>
      </w:r>
      <w:r w:rsidR="00D53747">
        <w:rPr>
          <w:rStyle w:val="FootnoteReference"/>
        </w:rPr>
        <w:footnoteReference w:id="2"/>
      </w:r>
      <w:r w:rsidR="00BF5E34">
        <w:rPr/>
        <w:t xml:space="preserve"> </w:t>
      </w:r>
      <w:r w:rsidR="00F42535">
        <w:rPr/>
        <w:t>Throughout their journey</w:t>
      </w:r>
      <w:r w:rsidR="008053A4">
        <w:rPr/>
        <w:t xml:space="preserve"> to the Pacific—for which the</w:t>
      </w:r>
      <w:r w:rsidR="00DF5E74">
        <w:rPr/>
        <w:t>ir expedition is most well-known—</w:t>
      </w:r>
      <w:r w:rsidR="00F42535">
        <w:rPr/>
        <w:t>Lewis and Clark catalogued as much of the wilderness</w:t>
      </w:r>
      <w:r w:rsidR="006F6980">
        <w:rPr/>
        <w:t xml:space="preserve"> as they could manage</w:t>
      </w:r>
      <w:r w:rsidR="00F42535">
        <w:rPr/>
        <w:t>, wildlife and otherwise</w:t>
      </w:r>
      <w:r w:rsidR="008053A4">
        <w:rPr/>
        <w:t>. Even before their return</w:t>
      </w:r>
      <w:r w:rsidR="000353BD">
        <w:rPr/>
        <w:t xml:space="preserve"> to St. Louis</w:t>
      </w:r>
      <w:r w:rsidR="008053A4">
        <w:rPr/>
        <w:t>, details of the</w:t>
      </w:r>
      <w:r w:rsidR="002A2C7C">
        <w:rPr/>
        <w:t xml:space="preserve">ir findings had made their way back and fur traders had already </w:t>
      </w:r>
      <w:r w:rsidR="000A649F">
        <w:rPr/>
        <w:t>begun</w:t>
      </w:r>
      <w:r w:rsidR="002A2C7C">
        <w:rPr/>
        <w:t xml:space="preserve"> </w:t>
      </w:r>
      <w:r w:rsidR="00846EFA">
        <w:rPr/>
        <w:t xml:space="preserve">trekking to the wilderness to exploit the rich </w:t>
      </w:r>
      <w:bookmarkStart w:name="_Int_2IHdye1E" w:id="1444501805"/>
      <w:r w:rsidR="00846EFA">
        <w:rPr/>
        <w:t>wildlife.</w:t>
      </w:r>
      <w:r w:rsidR="00615250">
        <w:rPr>
          <w:rStyle w:val="FootnoteReference"/>
        </w:rPr>
        <w:footnoteReference w:id="3"/>
      </w:r>
      <w:bookmarkEnd w:id="1444501805"/>
      <w:r w:rsidR="000A649F">
        <w:rPr/>
        <w:t xml:space="preserve"> </w:t>
      </w:r>
      <w:r w:rsidR="00767458">
        <w:rPr/>
        <w:t xml:space="preserve">This expedition holds special importance as </w:t>
      </w:r>
      <w:r w:rsidR="00F01551">
        <w:rPr/>
        <w:t>the</w:t>
      </w:r>
      <w:r w:rsidR="00767458">
        <w:rPr/>
        <w:t xml:space="preserve"> first cataloguing of the Great West</w:t>
      </w:r>
      <w:r w:rsidR="00B15156">
        <w:rPr/>
        <w:t xml:space="preserve"> </w:t>
      </w:r>
      <w:r w:rsidR="004F46AA">
        <w:rPr/>
        <w:t xml:space="preserve">and a measure of the continent’s width. </w:t>
      </w:r>
      <w:r w:rsidR="00344721">
        <w:rPr/>
        <w:t xml:space="preserve">The </w:t>
      </w:r>
      <w:r w:rsidR="00CE261A">
        <w:rPr/>
        <w:t xml:space="preserve">expedition placed </w:t>
      </w:r>
      <w:r w:rsidR="00D1343C">
        <w:rPr/>
        <w:t xml:space="preserve">the frontier dead center in </w:t>
      </w:r>
      <w:r w:rsidR="00344721">
        <w:rPr/>
        <w:t>the public</w:t>
      </w:r>
      <w:r w:rsidR="00D1343C">
        <w:rPr/>
        <w:t xml:space="preserve"> consciousness</w:t>
      </w:r>
      <w:r w:rsidR="00A21511">
        <w:rPr/>
        <w:t xml:space="preserve"> </w:t>
      </w:r>
      <w:r w:rsidR="00344721">
        <w:rPr/>
        <w:t xml:space="preserve">with the completion of this </w:t>
      </w:r>
      <w:r w:rsidR="06F8D1E0">
        <w:rPr/>
        <w:t>expedition,</w:t>
      </w:r>
      <w:r w:rsidR="6FC44884">
        <w:rPr/>
        <w:t xml:space="preserve"> and</w:t>
      </w:r>
      <w:r w:rsidR="00344721">
        <w:rPr/>
        <w:t xml:space="preserve"> it</w:t>
      </w:r>
      <w:r w:rsidR="00A21511">
        <w:rPr/>
        <w:t xml:space="preserve"> signaled the U.S. </w:t>
      </w:r>
      <w:r w:rsidR="00D35AFE">
        <w:rPr/>
        <w:t>intent to expand its borders</w:t>
      </w:r>
      <w:r w:rsidR="00D1343C">
        <w:rPr/>
        <w:t xml:space="preserve">. </w:t>
      </w:r>
    </w:p>
    <w:p w:rsidR="00D1343C" w:rsidP="00600108" w:rsidRDefault="00B705E5" w14:paraId="469E1EEE" w14:textId="65E5A529">
      <w:r>
        <w:t xml:space="preserve">With the return of the Lewis and Clark expedition, the federal government was chomping at the bit </w:t>
      </w:r>
      <w:r w:rsidR="004F6504">
        <w:t>to fund more exploration</w:t>
      </w:r>
      <w:r w:rsidR="008B5B02">
        <w:t>, a sentiment that</w:t>
      </w:r>
      <w:r w:rsidR="005720E9">
        <w:t xml:space="preserve"> was subsequently reinforced with each completed expedition</w:t>
      </w:r>
      <w:r w:rsidR="5F3F5777">
        <w:t xml:space="preserve">. </w:t>
      </w:r>
      <w:r w:rsidR="002D4A2D">
        <w:t>Reaching a high in 1856</w:t>
      </w:r>
      <w:r w:rsidR="00504B84">
        <w:t>,</w:t>
      </w:r>
      <w:r w:rsidR="003D6F6E">
        <w:t xml:space="preserve"> when </w:t>
      </w:r>
      <w:r w:rsidR="00DB5C0B">
        <w:t xml:space="preserve">compared with the total federal </w:t>
      </w:r>
      <w:r w:rsidR="005720E9">
        <w:t>income,</w:t>
      </w:r>
      <w:r w:rsidR="009B1279">
        <w:t xml:space="preserve"> </w:t>
      </w:r>
      <w:r w:rsidR="00A30749">
        <w:t xml:space="preserve">the budget for </w:t>
      </w:r>
      <w:r w:rsidR="00504B84">
        <w:t xml:space="preserve">later </w:t>
      </w:r>
      <w:r w:rsidR="00A30749">
        <w:t xml:space="preserve">expeditions may well have been as high as one-third of the </w:t>
      </w:r>
      <w:r w:rsidR="00A159DC">
        <w:t>total</w:t>
      </w:r>
      <w:r w:rsidR="003D6F6E">
        <w:t>.</w:t>
      </w:r>
      <w:r w:rsidR="00A159DC">
        <w:rPr>
          <w:rStyle w:val="FootnoteReference"/>
        </w:rPr>
        <w:footnoteReference w:id="4"/>
      </w:r>
      <w:r w:rsidR="003D6F6E">
        <w:t xml:space="preserve"> </w:t>
      </w:r>
      <w:r w:rsidRPr="000A6B12" w:rsidR="5F3F5777">
        <w:t>Two</w:t>
      </w:r>
      <w:r w:rsidR="5F3F5777">
        <w:t xml:space="preserve"> </w:t>
      </w:r>
      <w:r w:rsidR="00F9128C">
        <w:t xml:space="preserve">other </w:t>
      </w:r>
      <w:r w:rsidR="00490915">
        <w:t xml:space="preserve">notable explorers </w:t>
      </w:r>
      <w:r w:rsidR="3FD445AE">
        <w:t>were</w:t>
      </w:r>
      <w:r w:rsidR="00490915">
        <w:t xml:space="preserve"> Zebulon Pike and </w:t>
      </w:r>
      <w:r w:rsidR="00F9128C">
        <w:t>Major Stephen H.</w:t>
      </w:r>
      <w:r w:rsidR="00490915">
        <w:t xml:space="preserve"> Long</w:t>
      </w:r>
      <w:r w:rsidR="0081111C">
        <w:t xml:space="preserve">. Pike’s </w:t>
      </w:r>
      <w:r w:rsidR="00A0327E">
        <w:t xml:space="preserve">1806 </w:t>
      </w:r>
      <w:r w:rsidR="0081111C">
        <w:t xml:space="preserve">expedition was wrought with </w:t>
      </w:r>
      <w:r w:rsidR="00AE40A5">
        <w:t>co</w:t>
      </w:r>
      <w:r w:rsidR="00217892">
        <w:t xml:space="preserve">mplications ranging from </w:t>
      </w:r>
      <w:r w:rsidR="00CE3D99">
        <w:t>corruption to espionage</w:t>
      </w:r>
      <w:r w:rsidR="002A5C22">
        <w:t xml:space="preserve">, that would lead to his being pursued by </w:t>
      </w:r>
      <w:r w:rsidR="00FC5434">
        <w:t xml:space="preserve">the </w:t>
      </w:r>
      <w:r w:rsidR="00757C14">
        <w:t xml:space="preserve">Spanish </w:t>
      </w:r>
      <w:r w:rsidR="00846C37">
        <w:t>cavalry</w:t>
      </w:r>
      <w:r w:rsidRPr="5F3F5777" w:rsidR="5F3F5777">
        <w:rPr>
          <w:i/>
          <w:iCs/>
        </w:rPr>
        <w:t>.</w:t>
      </w:r>
      <w:r w:rsidR="5F3F5777">
        <w:t xml:space="preserve"> </w:t>
      </w:r>
      <w:r w:rsidR="00846C37">
        <w:t>Mu</w:t>
      </w:r>
      <w:r w:rsidR="5F3F5777">
        <w:t>ch</w:t>
      </w:r>
      <w:r w:rsidR="00E70128">
        <w:t xml:space="preserve"> of his expedition reads like something</w:t>
      </w:r>
      <w:r w:rsidR="00FF290C">
        <w:t xml:space="preserve"> straight out of an adventure </w:t>
      </w:r>
      <w:r w:rsidR="00400055">
        <w:t>t</w:t>
      </w:r>
      <w:r w:rsidR="005B2A3B">
        <w:t>ale</w:t>
      </w:r>
      <w:r w:rsidR="004A5FA4">
        <w:t xml:space="preserve">, with exploration, pursuit, and a </w:t>
      </w:r>
      <w:r w:rsidR="0089493A">
        <w:t>villainous patron.</w:t>
      </w:r>
      <w:r w:rsidR="005374D2">
        <w:t xml:space="preserve"> Zebulon Pike explored much of the </w:t>
      </w:r>
      <w:r w:rsidR="00D946E7">
        <w:t xml:space="preserve">plains and Rocky Mountains all the while evading capture. When he was finally captured, </w:t>
      </w:r>
      <w:r w:rsidR="00405C6B">
        <w:t>he was ushered out of Spanish territory</w:t>
      </w:r>
      <w:r w:rsidR="00581039">
        <w:t>.</w:t>
      </w:r>
      <w:r w:rsidR="00405C6B">
        <w:t xml:space="preserve"> All in all, he </w:t>
      </w:r>
      <w:r w:rsidR="00EC050C">
        <w:t>returned somewhat unimpressed</w:t>
      </w:r>
      <w:r w:rsidR="00A70CFA">
        <w:t>, calling the land a “Great American Desert” and concluding that it was uninhabitable</w:t>
      </w:r>
      <w:r w:rsidR="00EC050C">
        <w:t>.</w:t>
      </w:r>
    </w:p>
    <w:p w:rsidR="00AE682B" w:rsidP="00600108" w:rsidRDefault="00AE682B" w14:paraId="4E0FDD11" w14:textId="5DAF903F">
      <w:r>
        <w:t xml:space="preserve">Some years later, </w:t>
      </w:r>
      <w:r w:rsidR="00A0327E">
        <w:t>in 1819</w:t>
      </w:r>
      <w:r w:rsidR="5F3F5777">
        <w:t xml:space="preserve"> </w:t>
      </w:r>
      <w:r>
        <w:t xml:space="preserve">Major </w:t>
      </w:r>
      <w:r w:rsidR="001B61A6">
        <w:t>Stephen H. Long</w:t>
      </w:r>
      <w:r w:rsidR="007B617B">
        <w:t xml:space="preserve"> led an expedition through the Great Plains area </w:t>
      </w:r>
      <w:r w:rsidR="00A9031C">
        <w:t xml:space="preserve">to </w:t>
      </w:r>
      <w:r w:rsidR="002B0A2F">
        <w:t>find the source of several prominent rivers, notably the Red River</w:t>
      </w:r>
      <w:r w:rsidR="007B6A7E">
        <w:t>—an assumed boundary of the Louisiana Territory</w:t>
      </w:r>
      <w:r w:rsidR="5F3F5777">
        <w:t xml:space="preserve">. </w:t>
      </w:r>
      <w:r w:rsidR="000010F5">
        <w:t xml:space="preserve">He </w:t>
      </w:r>
      <w:r w:rsidR="002B0A2F">
        <w:t xml:space="preserve">brought </w:t>
      </w:r>
      <w:r w:rsidR="000010F5">
        <w:t>with him</w:t>
      </w:r>
      <w:r w:rsidR="5F3F5777">
        <w:t xml:space="preserve"> </w:t>
      </w:r>
      <w:r w:rsidR="002B0A2F">
        <w:t xml:space="preserve">several artists who would sketch and paint the landscape. He too came away with an impression of the area as barren, </w:t>
      </w:r>
      <w:r w:rsidR="00853EDB">
        <w:t xml:space="preserve">going as far as to label the Great Plains in his </w:t>
      </w:r>
      <w:r w:rsidR="007416C7">
        <w:t xml:space="preserve">maps </w:t>
      </w:r>
      <w:r w:rsidR="002B0A2F">
        <w:t>the “Great American Desert</w:t>
      </w:r>
      <w:r w:rsidR="007416C7">
        <w:t>,</w:t>
      </w:r>
      <w:r w:rsidR="5F3F5777">
        <w:t>”</w:t>
      </w:r>
      <w:r w:rsidR="007416C7">
        <w:t xml:space="preserve"> borrowing the term from Pike.</w:t>
      </w:r>
      <w:r w:rsidR="00C55B15">
        <w:t xml:space="preserve"> While his expedition was unsuccessful</w:t>
      </w:r>
      <w:r w:rsidR="00A14591">
        <w:t xml:space="preserve"> in mapping the Red River </w:t>
      </w:r>
      <w:r w:rsidR="002F611E">
        <w:t>boundaries,</w:t>
      </w:r>
      <w:r w:rsidR="00C55B15">
        <w:t xml:space="preserve"> the </w:t>
      </w:r>
      <w:r w:rsidR="000F71A3">
        <w:t xml:space="preserve">information, maps, and paintings that he </w:t>
      </w:r>
      <w:r w:rsidR="002F611E">
        <w:t xml:space="preserve">brought back </w:t>
      </w:r>
      <w:r w:rsidR="000F71A3">
        <w:t xml:space="preserve">proved invaluable in understanding and cataloguing </w:t>
      </w:r>
      <w:r w:rsidR="00723CB4">
        <w:t xml:space="preserve">what would </w:t>
      </w:r>
      <w:r w:rsidR="0027790D">
        <w:t xml:space="preserve">await emigrants to </w:t>
      </w:r>
      <w:r w:rsidR="000F71A3">
        <w:t>the American West.</w:t>
      </w:r>
    </w:p>
    <w:p w:rsidR="003C0F6E" w:rsidP="00EC341E" w:rsidRDefault="0094187B" w14:paraId="691CCAE5" w14:textId="609C7E0F">
      <w:r>
        <w:t xml:space="preserve">Expansion truly exploded decades later </w:t>
      </w:r>
      <w:r w:rsidR="00267C7C">
        <w:t>at</w:t>
      </w:r>
      <w:r w:rsidR="002C57CD">
        <w:t xml:space="preserve"> the onset of the 1849 gold rush</w:t>
      </w:r>
      <w:r w:rsidR="00BF3625">
        <w:t xml:space="preserve"> emigrant numbers rising from </w:t>
      </w:r>
      <w:r w:rsidR="00AD1C7C">
        <w:t>13</w:t>
      </w:r>
      <w:r w:rsidR="008A7A87">
        <w:t xml:space="preserve"> in 184</w:t>
      </w:r>
      <w:r w:rsidR="00AD1C7C">
        <w:t>0</w:t>
      </w:r>
      <w:r w:rsidR="008A7A87">
        <w:t xml:space="preserve"> to 25,450 in just</w:t>
      </w:r>
      <w:r w:rsidR="00741E89">
        <w:t xml:space="preserve"> under a decade</w:t>
      </w:r>
      <w:r w:rsidR="008A7A87">
        <w:t>.</w:t>
      </w:r>
      <w:r w:rsidR="008A7A87">
        <w:rPr>
          <w:rStyle w:val="FootnoteReference"/>
        </w:rPr>
        <w:footnoteReference w:id="5"/>
      </w:r>
      <w:r w:rsidR="002C57CD">
        <w:t xml:space="preserve"> </w:t>
      </w:r>
      <w:r w:rsidR="00107B36">
        <w:t>With travel to California and Oregon suddenly seeing unprecedented numbers,</w:t>
      </w:r>
      <w:r w:rsidR="00741E89">
        <w:t xml:space="preserve"> </w:t>
      </w:r>
      <w:r w:rsidR="004874CC">
        <w:t>the need</w:t>
      </w:r>
      <w:r w:rsidR="00107B36">
        <w:t xml:space="preserve"> for</w:t>
      </w:r>
      <w:r w:rsidR="00107B36">
        <w:rPr>
          <w:rStyle w:val="CommentReference"/>
        </w:rPr>
        <w:t xml:space="preserve"> </w:t>
      </w:r>
      <w:r w:rsidR="00D50C1D">
        <w:rPr>
          <w:rStyle w:val="CommentReference"/>
        </w:rPr>
        <w:t>fe</w:t>
      </w:r>
      <w:r w:rsidR="00D50C1D">
        <w:t xml:space="preserve">deral support for emigrants </w:t>
      </w:r>
      <w:r w:rsidR="00FF641D">
        <w:t>had to be addressed</w:t>
      </w:r>
      <w:r w:rsidR="0B10D1B5">
        <w:t>.</w:t>
      </w:r>
      <w:r w:rsidR="00794A52">
        <w:t xml:space="preserve"> </w:t>
      </w:r>
      <w:r w:rsidR="00F15FC8">
        <w:t xml:space="preserve">Emigrants argued for </w:t>
      </w:r>
      <w:r w:rsidR="00BA4D00">
        <w:t>military protection</w:t>
      </w:r>
      <w:r w:rsidR="00F35CC4">
        <w:t xml:space="preserve"> against </w:t>
      </w:r>
      <w:r w:rsidR="00CA49DC">
        <w:t>native raids</w:t>
      </w:r>
      <w:r w:rsidR="00BA4D00">
        <w:t xml:space="preserve"> and in </w:t>
      </w:r>
      <w:r w:rsidR="00500CDB">
        <w:t>1846</w:t>
      </w:r>
      <w:r w:rsidR="008F590E">
        <w:t xml:space="preserve"> </w:t>
      </w:r>
      <w:r w:rsidR="00575D00">
        <w:t xml:space="preserve">a plan </w:t>
      </w:r>
      <w:r w:rsidR="00500CDB">
        <w:t>to build</w:t>
      </w:r>
      <w:r w:rsidR="00575D00">
        <w:t xml:space="preserve"> a </w:t>
      </w:r>
      <w:r w:rsidR="00500CDB">
        <w:t xml:space="preserve">chain </w:t>
      </w:r>
      <w:r w:rsidR="00575D00">
        <w:t xml:space="preserve">of forts along the </w:t>
      </w:r>
      <w:r w:rsidR="005B09B0">
        <w:t xml:space="preserve">Oregon trail was </w:t>
      </w:r>
      <w:r w:rsidR="0022380D">
        <w:t xml:space="preserve">approved. </w:t>
      </w:r>
      <w:r w:rsidR="003602CB">
        <w:t>Even with these new forts, the trail was dangerous</w:t>
      </w:r>
      <w:r w:rsidR="00113F5A">
        <w:t>,</w:t>
      </w:r>
      <w:r w:rsidR="003602CB">
        <w:t xml:space="preserve"> and many companies traveled with Mounted Riflemen to defend them. </w:t>
      </w:r>
      <w:r w:rsidR="0012166E">
        <w:t xml:space="preserve">In his journal, one such riflemen states that </w:t>
      </w:r>
      <w:r w:rsidR="00AB4419">
        <w:t>“</w:t>
      </w:r>
      <w:r w:rsidR="0012166E">
        <w:t>w</w:t>
      </w:r>
      <w:r w:rsidR="00C7437B">
        <w:t>e now pass the graves of emigrants daily along the road… on inquiring [we find that] almost every company has lost one or two members</w:t>
      </w:r>
      <w:r w:rsidR="0012166E">
        <w:t>.”</w:t>
      </w:r>
      <w:r w:rsidR="00C47117">
        <w:rPr>
          <w:rStyle w:val="FootnoteReference"/>
        </w:rPr>
        <w:footnoteReference w:id="6"/>
      </w:r>
      <w:r w:rsidR="002906C5">
        <w:t xml:space="preserve"> He goes on later to explain that, while their journey has been absent of any raids </w:t>
      </w:r>
      <w:r w:rsidR="00113F5A">
        <w:t>from</w:t>
      </w:r>
      <w:r w:rsidR="0B10D1B5">
        <w:t xml:space="preserve"> </w:t>
      </w:r>
      <w:r w:rsidR="002906C5">
        <w:t xml:space="preserve">Natives, they still have to take every precaution as they are </w:t>
      </w:r>
      <w:r w:rsidR="009A429E">
        <w:t xml:space="preserve">“now on the </w:t>
      </w:r>
      <w:r w:rsidR="00A54B1F">
        <w:t>w</w:t>
      </w:r>
      <w:r w:rsidR="009A429E">
        <w:t>ar grounds</w:t>
      </w:r>
      <w:r w:rsidR="00A54B1F">
        <w:t>.”</w:t>
      </w:r>
      <w:r w:rsidR="002B1A37">
        <w:rPr>
          <w:rStyle w:val="FootnoteReference"/>
        </w:rPr>
        <w:footnoteReference w:id="7"/>
      </w:r>
      <w:r w:rsidR="009E5D60">
        <w:t xml:space="preserve"> As for</w:t>
      </w:r>
      <w:r w:rsidR="0012166E">
        <w:t xml:space="preserve"> </w:t>
      </w:r>
      <w:r w:rsidR="009E5D60">
        <w:t xml:space="preserve">the forts, they served dual purposes. Not only did they provide safe places to </w:t>
      </w:r>
      <w:r w:rsidR="00491CE8">
        <w:t xml:space="preserve">rest and recuperate, </w:t>
      </w:r>
      <w:r w:rsidR="00FC43B6">
        <w:t xml:space="preserve">but </w:t>
      </w:r>
      <w:r w:rsidR="5F3F5777">
        <w:t>they</w:t>
      </w:r>
      <w:r w:rsidR="00491CE8">
        <w:t xml:space="preserve"> were also </w:t>
      </w:r>
      <w:r w:rsidR="00941372">
        <w:t>key places of trade</w:t>
      </w:r>
      <w:r w:rsidR="00117FCD">
        <w:t xml:space="preserve">. </w:t>
      </w:r>
      <w:r w:rsidR="00192801">
        <w:t xml:space="preserve">This </w:t>
      </w:r>
      <w:r w:rsidR="000602C6">
        <w:t xml:space="preserve">protection </w:t>
      </w:r>
      <w:r w:rsidR="00344EF0">
        <w:t xml:space="preserve">initiative </w:t>
      </w:r>
      <w:r w:rsidR="00192801">
        <w:t xml:space="preserve">more than anything </w:t>
      </w:r>
      <w:r w:rsidR="00A5337C">
        <w:t>cultivated</w:t>
      </w:r>
      <w:r w:rsidR="0B10D1B5">
        <w:t xml:space="preserve"> the </w:t>
      </w:r>
      <w:r w:rsidR="00A5337C">
        <w:t>idea</w:t>
      </w:r>
      <w:r w:rsidR="0B10D1B5">
        <w:t xml:space="preserve"> </w:t>
      </w:r>
      <w:r w:rsidR="00AA7E77">
        <w:t xml:space="preserve">of Manifest Destiny as part of the American Dream. </w:t>
      </w:r>
      <w:r w:rsidR="00B33415">
        <w:t>T</w:t>
      </w:r>
      <w:r w:rsidR="0B10D1B5">
        <w:t>he U</w:t>
      </w:r>
      <w:r w:rsidR="00B33415">
        <w:t>.</w:t>
      </w:r>
      <w:r w:rsidR="0B10D1B5">
        <w:t>S</w:t>
      </w:r>
      <w:r w:rsidR="00B33415">
        <w:t>.</w:t>
      </w:r>
      <w:r w:rsidR="00AA7E77">
        <w:t xml:space="preserve"> would expand to take the who</w:t>
      </w:r>
      <w:r w:rsidR="005B554C">
        <w:t xml:space="preserve">le of the continent, and those brave enough to travel west </w:t>
      </w:r>
      <w:r w:rsidR="0042071E">
        <w:t xml:space="preserve">could start a new life and </w:t>
      </w:r>
      <w:r w:rsidR="00182A5D">
        <w:t>build wealth for themselves and their family.</w:t>
      </w:r>
    </w:p>
    <w:p w:rsidR="003C0F6E" w:rsidP="00EC341E" w:rsidRDefault="00637AD0" w14:paraId="013651CC" w14:textId="085AB028">
      <w:r>
        <w:t xml:space="preserve">In funding the exploration and expansion of the American West, the federal government of the day </w:t>
      </w:r>
      <w:r w:rsidR="001B1D63">
        <w:t>set off a chain of events that would lead to the expansion of the United States across the continent to the Pacific coast</w:t>
      </w:r>
      <w:r w:rsidR="00E90E28">
        <w:t xml:space="preserve"> and beyond. As public knowledge and a </w:t>
      </w:r>
      <w:r w:rsidR="00DD13FE">
        <w:t>fuller</w:t>
      </w:r>
      <w:r w:rsidR="00E90E28">
        <w:t xml:space="preserve"> picture of </w:t>
      </w:r>
      <w:r w:rsidR="00684CA0">
        <w:t xml:space="preserve">the </w:t>
      </w:r>
      <w:r w:rsidR="00CC42DE">
        <w:t>potential of the West grew,</w:t>
      </w:r>
      <w:r w:rsidR="00BE5631">
        <w:t xml:space="preserve"> </w:t>
      </w:r>
      <w:r w:rsidR="00374BF2">
        <w:t>public interest in emigration grew as well, hitting a fever pitch in 1849 with the discovery of gold in California.</w:t>
      </w:r>
      <w:r w:rsidR="007F6223">
        <w:t xml:space="preserve"> To say that the idea of Manifest Destiny, and by extension the American Dream, is linked closely with early exploration of the West </w:t>
      </w:r>
      <w:r w:rsidR="00C02746">
        <w:t>is accurate but doesn’t quite capture the importance of the turning of the American zeitgeist to</w:t>
      </w:r>
      <w:r w:rsidR="00745493">
        <w:t xml:space="preserve">ward the setting sun. </w:t>
      </w:r>
      <w:r w:rsidR="0024252C">
        <w:t>The sense of mobility, both class</w:t>
      </w:r>
      <w:r w:rsidR="00B562E9">
        <w:t>-</w:t>
      </w:r>
      <w:r w:rsidR="40BDB39E">
        <w:t>wise</w:t>
      </w:r>
      <w:r w:rsidR="0024252C">
        <w:t xml:space="preserve"> and geographically,</w:t>
      </w:r>
      <w:r w:rsidR="00620ED3">
        <w:t xml:space="preserve"> is a quintessential </w:t>
      </w:r>
      <w:r w:rsidR="00273142">
        <w:t>part of the American identity and while it</w:t>
      </w:r>
      <w:r w:rsidR="0024252C">
        <w:t xml:space="preserve"> </w:t>
      </w:r>
      <w:r w:rsidR="00620ED3">
        <w:t>was fostered during the early colonial period</w:t>
      </w:r>
      <w:r w:rsidR="00273142">
        <w:t xml:space="preserve"> it wasn’t</w:t>
      </w:r>
      <w:r w:rsidR="00620ED3">
        <w:t xml:space="preserve"> fully realized </w:t>
      </w:r>
      <w:r w:rsidR="00273142">
        <w:t>until the</w:t>
      </w:r>
      <w:r w:rsidR="00294130">
        <w:t xml:space="preserve"> </w:t>
      </w:r>
      <w:r w:rsidR="005E1812">
        <w:t>early to mid-nineteenth century when the federal government turned their gaze west to the Pacific.</w:t>
      </w:r>
    </w:p>
    <w:p w:rsidR="00A224CD" w:rsidP="00EC341E" w:rsidRDefault="00A224CD" w14:paraId="133448E7" w14:textId="77777777"/>
    <w:p w:rsidR="00A224CD" w:rsidP="00EC341E" w:rsidRDefault="00A224CD" w14:paraId="64FA3B35" w14:textId="77777777"/>
    <w:p w:rsidR="004A052F" w:rsidP="45842ABA" w:rsidRDefault="004A052F" w14:paraId="0E56E319" w14:textId="5E61C0C8">
      <w:pPr>
        <w:pStyle w:val="Normal"/>
        <w:ind/>
      </w:pPr>
    </w:p>
    <w:p w:rsidR="00A224CD" w:rsidP="00A224CD" w:rsidRDefault="00A224CD" w14:paraId="2492D13B" w14:textId="14C2995D">
      <w:pPr>
        <w:suppressAutoHyphens w:val="0"/>
        <w:spacing w:line="360" w:lineRule="auto"/>
        <w:ind w:left="720" w:hanging="720"/>
        <w:jc w:val="center"/>
        <w:rPr>
          <w:rFonts w:ascii="Times New Roman" w:hAnsi="Times New Roman" w:eastAsia="Times New Roman" w:cs="Times New Roman"/>
          <w:lang w:eastAsia="en-US"/>
        </w:rPr>
      </w:pPr>
      <w:r>
        <w:rPr>
          <w:rFonts w:ascii="Times New Roman" w:hAnsi="Times New Roman" w:eastAsia="Times New Roman" w:cs="Times New Roman"/>
          <w:lang w:eastAsia="en-US"/>
        </w:rPr>
        <w:t>Works Cited</w:t>
      </w:r>
    </w:p>
    <w:p w:rsidR="00A224CD" w:rsidP="00A224CD" w:rsidRDefault="00A224CD" w14:paraId="33DD6018" w14:textId="77777777">
      <w:pPr>
        <w:suppressAutoHyphens w:val="0"/>
        <w:spacing w:line="360" w:lineRule="auto"/>
        <w:ind w:left="720" w:hanging="720"/>
        <w:rPr>
          <w:rFonts w:ascii="Times New Roman" w:hAnsi="Times New Roman" w:eastAsia="Times New Roman" w:cs="Times New Roman"/>
          <w:lang w:eastAsia="en-US"/>
        </w:rPr>
      </w:pPr>
    </w:p>
    <w:p w:rsidRPr="00A224CD" w:rsidR="00A224CD" w:rsidP="00A224CD" w:rsidRDefault="00A224CD" w14:paraId="20D5B193" w14:textId="713ED45F">
      <w:pPr>
        <w:suppressAutoHyphens w:val="0"/>
        <w:spacing w:line="360" w:lineRule="auto"/>
        <w:ind w:left="720" w:hanging="720"/>
        <w:rPr>
          <w:rFonts w:ascii="Times New Roman" w:hAnsi="Times New Roman" w:eastAsia="Times New Roman" w:cs="Times New Roman"/>
          <w:lang w:eastAsia="en-US"/>
        </w:rPr>
      </w:pPr>
      <w:r w:rsidRPr="00A224CD">
        <w:rPr>
          <w:rFonts w:ascii="Times New Roman" w:hAnsi="Times New Roman" w:eastAsia="Times New Roman" w:cs="Times New Roman"/>
          <w:lang w:eastAsia="en-US"/>
        </w:rPr>
        <w:t xml:space="preserve">Milner, Clyde A, Anne M Butler, and David R Lewis, eds. </w:t>
      </w:r>
      <w:r w:rsidR="00B60376">
        <w:rPr>
          <w:rFonts w:ascii="Times New Roman" w:hAnsi="Times New Roman" w:eastAsia="Times New Roman" w:cs="Times New Roman"/>
          <w:lang w:eastAsia="en-US"/>
        </w:rPr>
        <w:t>“</w:t>
      </w:r>
      <w:r w:rsidR="003D7208">
        <w:rPr>
          <w:rFonts w:ascii="Times New Roman" w:hAnsi="Times New Roman" w:eastAsia="Times New Roman" w:cs="Times New Roman"/>
          <w:lang w:eastAsia="en-US"/>
        </w:rPr>
        <w:t xml:space="preserve">Federal Support of Explorers and Emigrants” in </w:t>
      </w:r>
      <w:r w:rsidRPr="00A224CD">
        <w:rPr>
          <w:rFonts w:ascii="Times New Roman" w:hAnsi="Times New Roman" w:eastAsia="Times New Roman" w:cs="Times New Roman"/>
          <w:i/>
          <w:iCs/>
          <w:lang w:eastAsia="en-US"/>
        </w:rPr>
        <w:t>Major Problems in the History of the American West: Second Edition</w:t>
      </w:r>
      <w:r w:rsidRPr="00A224CD">
        <w:rPr>
          <w:rFonts w:ascii="Times New Roman" w:hAnsi="Times New Roman" w:eastAsia="Times New Roman" w:cs="Times New Roman"/>
          <w:lang w:eastAsia="en-US"/>
        </w:rPr>
        <w:t>. 2nd ed. Boston Houghton Mifflin, 2010.</w:t>
      </w:r>
    </w:p>
    <w:p w:rsidR="003C0F6E" w:rsidP="00EC341E" w:rsidRDefault="003C0F6E" w14:paraId="64ABDA79" w14:textId="041CEA19"/>
    <w:sectPr w:rsidR="003C0F6E">
      <w:headerReference w:type="default" r:id="rId9"/>
      <w:headerReference w:type="first" r:id="rId10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2FB9" w:rsidRDefault="00932FB9" w14:paraId="08137DF5" w14:textId="77777777">
      <w:pPr>
        <w:spacing w:line="240" w:lineRule="auto"/>
      </w:pPr>
      <w:r>
        <w:separator/>
      </w:r>
    </w:p>
  </w:endnote>
  <w:endnote w:type="continuationSeparator" w:id="0">
    <w:p w:rsidR="00932FB9" w:rsidRDefault="00932FB9" w14:paraId="4FCF4292" w14:textId="77777777">
      <w:pPr>
        <w:spacing w:line="240" w:lineRule="auto"/>
      </w:pPr>
      <w:r>
        <w:continuationSeparator/>
      </w:r>
    </w:p>
  </w:endnote>
  <w:endnote w:type="continuationNotice" w:id="1">
    <w:p w:rsidR="00932FB9" w:rsidRDefault="00932FB9" w14:paraId="09F3EC61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2FB9" w:rsidRDefault="00932FB9" w14:paraId="024624FF" w14:textId="77777777">
      <w:pPr>
        <w:spacing w:line="240" w:lineRule="auto"/>
      </w:pPr>
      <w:r>
        <w:separator/>
      </w:r>
    </w:p>
  </w:footnote>
  <w:footnote w:type="continuationSeparator" w:id="0">
    <w:p w:rsidR="00932FB9" w:rsidRDefault="00932FB9" w14:paraId="796B2AC6" w14:textId="77777777">
      <w:pPr>
        <w:spacing w:line="240" w:lineRule="auto"/>
      </w:pPr>
      <w:r>
        <w:continuationSeparator/>
      </w:r>
    </w:p>
  </w:footnote>
  <w:footnote w:type="continuationNotice" w:id="1">
    <w:p w:rsidR="00932FB9" w:rsidRDefault="00932FB9" w14:paraId="18B07B22" w14:textId="77777777">
      <w:pPr>
        <w:spacing w:line="240" w:lineRule="auto"/>
      </w:pPr>
    </w:p>
  </w:footnote>
  <w:footnote w:id="2">
    <w:p w:rsidR="00D53747" w:rsidRDefault="00D53747" w14:paraId="66ECA7DB" w14:textId="48D756CD">
      <w:pPr>
        <w:pStyle w:val="FootnoteText"/>
      </w:pPr>
      <w:r>
        <w:rPr>
          <w:rStyle w:val="FootnoteReference"/>
        </w:rPr>
        <w:footnoteRef/>
      </w:r>
      <w:r>
        <w:t xml:space="preserve"> Clyde A Milner, Anne M Butler, and David R Lewis, eds.,</w:t>
      </w:r>
      <w:r w:rsidR="000C4B27">
        <w:t xml:space="preserve"> “Federal Support </w:t>
      </w:r>
      <w:r w:rsidR="00A010EC">
        <w:t>of Explorers and Emigrants” in</w:t>
      </w:r>
      <w:r>
        <w:t xml:space="preserve"> </w:t>
      </w:r>
      <w:r>
        <w:rPr>
          <w:i/>
          <w:iCs/>
        </w:rPr>
        <w:t>Major Problems in the History of the American West: Second Edition</w:t>
      </w:r>
      <w:r>
        <w:t>, 2nd ed. (Boston Houghton Mifflin, 2010), 1</w:t>
      </w:r>
      <w:r w:rsidR="004D56B6">
        <w:t>18</w:t>
      </w:r>
      <w:r>
        <w:t>.</w:t>
      </w:r>
    </w:p>
  </w:footnote>
  <w:footnote w:id="3">
    <w:p w:rsidR="00615250" w:rsidRDefault="00615250" w14:paraId="3C59DA34" w14:textId="2970C8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51AC3">
        <w:t>Milner</w:t>
      </w:r>
      <w:r w:rsidR="00727CDA">
        <w:t>, Butler, and Lewis</w:t>
      </w:r>
      <w:r w:rsidR="000C4B27">
        <w:t>, “</w:t>
      </w:r>
      <w:r w:rsidR="00A010EC">
        <w:t>Federal</w:t>
      </w:r>
      <w:r w:rsidR="00F01551">
        <w:t>,</w:t>
      </w:r>
      <w:r w:rsidR="00A010EC">
        <w:t>”</w:t>
      </w:r>
      <w:r w:rsidR="00F01551">
        <w:t xml:space="preserve"> 133.</w:t>
      </w:r>
    </w:p>
  </w:footnote>
  <w:footnote w:id="4">
    <w:p w:rsidR="00A159DC" w:rsidRDefault="00A159DC" w14:paraId="5E98A9C7" w14:textId="255EAFFD">
      <w:pPr>
        <w:pStyle w:val="FootnoteText"/>
      </w:pPr>
      <w:r>
        <w:rPr>
          <w:rStyle w:val="FootnoteReference"/>
        </w:rPr>
        <w:footnoteRef/>
      </w:r>
      <w:r>
        <w:t xml:space="preserve"> Milner, Butler, and Lewis, “Federal,” 141</w:t>
      </w:r>
    </w:p>
  </w:footnote>
  <w:footnote w:id="5">
    <w:p w:rsidR="008A7A87" w:rsidRDefault="008A7A87" w14:paraId="27201AAD" w14:textId="465558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F104E">
        <w:t>Milner, Butler, Lewis, “Federal,” 128.</w:t>
      </w:r>
    </w:p>
  </w:footnote>
  <w:footnote w:id="6">
    <w:p w:rsidR="00C47117" w:rsidRDefault="00C47117" w14:paraId="028DAA4C" w14:textId="0A35A28C">
      <w:pPr>
        <w:pStyle w:val="FootnoteText"/>
      </w:pPr>
      <w:r>
        <w:rPr>
          <w:rStyle w:val="FootnoteReference"/>
        </w:rPr>
        <w:footnoteRef/>
      </w:r>
      <w:r>
        <w:t xml:space="preserve"> Milner, Butler, Lewis, “Federal,” </w:t>
      </w:r>
      <w:r w:rsidR="009A48DE">
        <w:t>124.</w:t>
      </w:r>
    </w:p>
  </w:footnote>
  <w:footnote w:id="7">
    <w:p w:rsidR="002B1A37" w:rsidRDefault="002B1A37" w14:paraId="6E9CDD6A" w14:textId="16797D17">
      <w:pPr>
        <w:pStyle w:val="FootnoteText"/>
      </w:pPr>
      <w:r>
        <w:rPr>
          <w:rStyle w:val="FootnoteReference"/>
        </w:rPr>
        <w:footnoteRef/>
      </w:r>
      <w:r>
        <w:t xml:space="preserve"> Milner, </w:t>
      </w:r>
      <w:r w:rsidR="004F502E">
        <w:t xml:space="preserve">Butler, </w:t>
      </w:r>
      <w:r>
        <w:t>Lewis,</w:t>
      </w:r>
      <w:r w:rsidR="004F502E">
        <w:t xml:space="preserve"> “Federal,” 124.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0C97" w:rsidRDefault="00000000" w14:paraId="71A50F81" w14:textId="6110B720">
    <w:pPr>
      <w:pStyle w:val="Header"/>
    </w:pPr>
    <w:sdt>
      <w:sdtPr>
        <w:alias w:val="Last Name:"/>
        <w:tag w:val="Last Name:"/>
        <w:id w:val="1658178901"/>
        <w:placeholder>
          <w:docPart w:val="793642A1A93D492698704B3DC3BCBF3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7658B7">
          <w:t>Hollingsworth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0C97" w:rsidRDefault="00000000" w14:paraId="090F91D3" w14:textId="59D317F9">
    <w:pPr>
      <w:pStyle w:val="Header"/>
    </w:pPr>
    <w:sdt>
      <w:sdtPr>
        <w:alias w:val="Last Name:"/>
        <w:tag w:val="Last Name:"/>
        <w:id w:val="-348181431"/>
        <w:placeholder>
          <w:docPart w:val="FCE12C5C03BA4B04A6ADA419B62657A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7658B7">
          <w:t>Hollingsworth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intelligence2.xml><?xml version="1.0" encoding="utf-8"?>
<int2:intelligence xmlns:int2="http://schemas.microsoft.com/office/intelligence/2020/intelligence">
  <int2:observations>
    <int2:bookmark int2:bookmarkName="_Int_2IHdye1E" int2:invalidationBookmarkName="" int2:hashCode="l3W4o/SPPYx1Rg" int2:id="u5GPbj4N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A721030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2945851">
    <w:abstractNumId w:val="9"/>
  </w:num>
  <w:num w:numId="2" w16cid:durableId="611325820">
    <w:abstractNumId w:val="7"/>
  </w:num>
  <w:num w:numId="3" w16cid:durableId="2138529168">
    <w:abstractNumId w:val="6"/>
  </w:num>
  <w:num w:numId="4" w16cid:durableId="1486168060">
    <w:abstractNumId w:val="5"/>
  </w:num>
  <w:num w:numId="5" w16cid:durableId="131556156">
    <w:abstractNumId w:val="4"/>
  </w:num>
  <w:num w:numId="6" w16cid:durableId="735587318">
    <w:abstractNumId w:val="8"/>
  </w:num>
  <w:num w:numId="7" w16cid:durableId="565069318">
    <w:abstractNumId w:val="3"/>
  </w:num>
  <w:num w:numId="8" w16cid:durableId="17892767">
    <w:abstractNumId w:val="2"/>
  </w:num>
  <w:num w:numId="9" w16cid:durableId="556354031">
    <w:abstractNumId w:val="1"/>
  </w:num>
  <w:num w:numId="10" w16cid:durableId="860052690">
    <w:abstractNumId w:val="0"/>
  </w:num>
  <w:num w:numId="11" w16cid:durableId="860240746">
    <w:abstractNumId w:val="11"/>
  </w:num>
  <w:num w:numId="12" w16cid:durableId="638996879">
    <w:abstractNumId w:val="14"/>
  </w:num>
  <w:num w:numId="13" w16cid:durableId="947931300">
    <w:abstractNumId w:val="15"/>
  </w:num>
  <w:num w:numId="14" w16cid:durableId="287585449">
    <w:abstractNumId w:val="13"/>
  </w:num>
  <w:num w:numId="15" w16cid:durableId="366024087">
    <w:abstractNumId w:val="10"/>
  </w:num>
  <w:num w:numId="16" w16cid:durableId="381027915">
    <w:abstractNumId w:val="12"/>
  </w:num>
  <w:num w:numId="17" w16cid:durableId="1081878334">
    <w:abstractNumId w:val="16"/>
  </w:num>
  <w:num w:numId="18" w16cid:durableId="17027774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B5"/>
    <w:rsid w:val="00000000"/>
    <w:rsid w:val="000010F5"/>
    <w:rsid w:val="00011065"/>
    <w:rsid w:val="00023734"/>
    <w:rsid w:val="00032CE0"/>
    <w:rsid w:val="000353BD"/>
    <w:rsid w:val="00040A3E"/>
    <w:rsid w:val="000446CD"/>
    <w:rsid w:val="00047BFF"/>
    <w:rsid w:val="00051AC3"/>
    <w:rsid w:val="000602C6"/>
    <w:rsid w:val="0006046B"/>
    <w:rsid w:val="00080C97"/>
    <w:rsid w:val="00083A78"/>
    <w:rsid w:val="0009101D"/>
    <w:rsid w:val="000A649F"/>
    <w:rsid w:val="000A6B12"/>
    <w:rsid w:val="000B770A"/>
    <w:rsid w:val="000C4B27"/>
    <w:rsid w:val="000D7DE5"/>
    <w:rsid w:val="000F55F1"/>
    <w:rsid w:val="000F71A3"/>
    <w:rsid w:val="00105037"/>
    <w:rsid w:val="00107B36"/>
    <w:rsid w:val="001128B5"/>
    <w:rsid w:val="00113F5A"/>
    <w:rsid w:val="00117FCD"/>
    <w:rsid w:val="0012166E"/>
    <w:rsid w:val="0012644A"/>
    <w:rsid w:val="001649CD"/>
    <w:rsid w:val="00170176"/>
    <w:rsid w:val="00176FA1"/>
    <w:rsid w:val="00182A5D"/>
    <w:rsid w:val="00183878"/>
    <w:rsid w:val="001869BE"/>
    <w:rsid w:val="00191718"/>
    <w:rsid w:val="00192801"/>
    <w:rsid w:val="00194E04"/>
    <w:rsid w:val="001B1D63"/>
    <w:rsid w:val="001B61A6"/>
    <w:rsid w:val="001C3A53"/>
    <w:rsid w:val="00211349"/>
    <w:rsid w:val="00216FA5"/>
    <w:rsid w:val="00217892"/>
    <w:rsid w:val="0022380D"/>
    <w:rsid w:val="0024252C"/>
    <w:rsid w:val="002470C9"/>
    <w:rsid w:val="00251337"/>
    <w:rsid w:val="00261BD8"/>
    <w:rsid w:val="00267C7C"/>
    <w:rsid w:val="00273142"/>
    <w:rsid w:val="00274CB5"/>
    <w:rsid w:val="0027790D"/>
    <w:rsid w:val="002906C5"/>
    <w:rsid w:val="00294130"/>
    <w:rsid w:val="002A2C7C"/>
    <w:rsid w:val="002A4137"/>
    <w:rsid w:val="002A5C22"/>
    <w:rsid w:val="002B0A2F"/>
    <w:rsid w:val="002B1A37"/>
    <w:rsid w:val="002C57CD"/>
    <w:rsid w:val="002D4A2D"/>
    <w:rsid w:val="002D5226"/>
    <w:rsid w:val="002D526E"/>
    <w:rsid w:val="002F611E"/>
    <w:rsid w:val="0031114D"/>
    <w:rsid w:val="00321AD8"/>
    <w:rsid w:val="00327319"/>
    <w:rsid w:val="003360D6"/>
    <w:rsid w:val="00344721"/>
    <w:rsid w:val="00344EF0"/>
    <w:rsid w:val="0034643D"/>
    <w:rsid w:val="003602CB"/>
    <w:rsid w:val="00360874"/>
    <w:rsid w:val="00364889"/>
    <w:rsid w:val="00365655"/>
    <w:rsid w:val="00374BF2"/>
    <w:rsid w:val="0038575D"/>
    <w:rsid w:val="0039077A"/>
    <w:rsid w:val="00396AE9"/>
    <w:rsid w:val="003C0790"/>
    <w:rsid w:val="003C0F6E"/>
    <w:rsid w:val="003D1A61"/>
    <w:rsid w:val="003D6B84"/>
    <w:rsid w:val="003D6F6E"/>
    <w:rsid w:val="003D7208"/>
    <w:rsid w:val="003E4F17"/>
    <w:rsid w:val="003E748F"/>
    <w:rsid w:val="003F226C"/>
    <w:rsid w:val="003F4977"/>
    <w:rsid w:val="00400055"/>
    <w:rsid w:val="00405C6B"/>
    <w:rsid w:val="0042071E"/>
    <w:rsid w:val="004215F3"/>
    <w:rsid w:val="00425D02"/>
    <w:rsid w:val="004338E6"/>
    <w:rsid w:val="00450C56"/>
    <w:rsid w:val="00451007"/>
    <w:rsid w:val="00456F09"/>
    <w:rsid w:val="00466FEF"/>
    <w:rsid w:val="00484916"/>
    <w:rsid w:val="004874CC"/>
    <w:rsid w:val="00490915"/>
    <w:rsid w:val="00491CE8"/>
    <w:rsid w:val="004A052F"/>
    <w:rsid w:val="004A5FA4"/>
    <w:rsid w:val="004C3B9D"/>
    <w:rsid w:val="004D56B6"/>
    <w:rsid w:val="004D5918"/>
    <w:rsid w:val="004F46AA"/>
    <w:rsid w:val="004F502E"/>
    <w:rsid w:val="004F6504"/>
    <w:rsid w:val="00500CDB"/>
    <w:rsid w:val="00504B84"/>
    <w:rsid w:val="00513BCC"/>
    <w:rsid w:val="00520571"/>
    <w:rsid w:val="00524943"/>
    <w:rsid w:val="005374D2"/>
    <w:rsid w:val="00537A60"/>
    <w:rsid w:val="00542879"/>
    <w:rsid w:val="005556C2"/>
    <w:rsid w:val="005565F1"/>
    <w:rsid w:val="005720E9"/>
    <w:rsid w:val="00575D00"/>
    <w:rsid w:val="00581039"/>
    <w:rsid w:val="005866F5"/>
    <w:rsid w:val="00593424"/>
    <w:rsid w:val="005B09B0"/>
    <w:rsid w:val="005B2A3B"/>
    <w:rsid w:val="005B554C"/>
    <w:rsid w:val="005D1915"/>
    <w:rsid w:val="005D5E00"/>
    <w:rsid w:val="005E1812"/>
    <w:rsid w:val="00600108"/>
    <w:rsid w:val="00604F59"/>
    <w:rsid w:val="00612050"/>
    <w:rsid w:val="00615250"/>
    <w:rsid w:val="00620ED3"/>
    <w:rsid w:val="00631626"/>
    <w:rsid w:val="00637AD0"/>
    <w:rsid w:val="0067322F"/>
    <w:rsid w:val="00675668"/>
    <w:rsid w:val="006805F4"/>
    <w:rsid w:val="00684CA0"/>
    <w:rsid w:val="006A64A8"/>
    <w:rsid w:val="006C785F"/>
    <w:rsid w:val="006E41F6"/>
    <w:rsid w:val="006F6980"/>
    <w:rsid w:val="00704506"/>
    <w:rsid w:val="0072370A"/>
    <w:rsid w:val="00723CB4"/>
    <w:rsid w:val="00726B62"/>
    <w:rsid w:val="00727CDA"/>
    <w:rsid w:val="007416C7"/>
    <w:rsid w:val="00741E89"/>
    <w:rsid w:val="0074270E"/>
    <w:rsid w:val="00744911"/>
    <w:rsid w:val="00745493"/>
    <w:rsid w:val="00757B0B"/>
    <w:rsid w:val="00757C14"/>
    <w:rsid w:val="007658B7"/>
    <w:rsid w:val="00767458"/>
    <w:rsid w:val="00776DB6"/>
    <w:rsid w:val="00790813"/>
    <w:rsid w:val="00794A52"/>
    <w:rsid w:val="007957A5"/>
    <w:rsid w:val="007A06F7"/>
    <w:rsid w:val="007B617B"/>
    <w:rsid w:val="007B6A7E"/>
    <w:rsid w:val="007C75F3"/>
    <w:rsid w:val="007D0942"/>
    <w:rsid w:val="007D4B2F"/>
    <w:rsid w:val="007F6223"/>
    <w:rsid w:val="007F6934"/>
    <w:rsid w:val="007F78EE"/>
    <w:rsid w:val="00802069"/>
    <w:rsid w:val="008053A4"/>
    <w:rsid w:val="00806EC9"/>
    <w:rsid w:val="0081111C"/>
    <w:rsid w:val="00823883"/>
    <w:rsid w:val="00846C37"/>
    <w:rsid w:val="00846EFA"/>
    <w:rsid w:val="00847F4B"/>
    <w:rsid w:val="00853EDB"/>
    <w:rsid w:val="00857D74"/>
    <w:rsid w:val="008713AB"/>
    <w:rsid w:val="00871E05"/>
    <w:rsid w:val="00875D94"/>
    <w:rsid w:val="00876E81"/>
    <w:rsid w:val="00880D77"/>
    <w:rsid w:val="0088496D"/>
    <w:rsid w:val="0089493A"/>
    <w:rsid w:val="008A7A87"/>
    <w:rsid w:val="008B5B02"/>
    <w:rsid w:val="008C24B1"/>
    <w:rsid w:val="008D59C4"/>
    <w:rsid w:val="008D7BC8"/>
    <w:rsid w:val="008F590E"/>
    <w:rsid w:val="0091175C"/>
    <w:rsid w:val="00912D33"/>
    <w:rsid w:val="00914CF6"/>
    <w:rsid w:val="0091718A"/>
    <w:rsid w:val="009272D0"/>
    <w:rsid w:val="0092765E"/>
    <w:rsid w:val="00930F5E"/>
    <w:rsid w:val="00932FB9"/>
    <w:rsid w:val="00941372"/>
    <w:rsid w:val="0094187B"/>
    <w:rsid w:val="00965112"/>
    <w:rsid w:val="00976E21"/>
    <w:rsid w:val="009814AA"/>
    <w:rsid w:val="00981AE7"/>
    <w:rsid w:val="00984B11"/>
    <w:rsid w:val="00990971"/>
    <w:rsid w:val="009A429E"/>
    <w:rsid w:val="009A48DE"/>
    <w:rsid w:val="009B1279"/>
    <w:rsid w:val="009B37E3"/>
    <w:rsid w:val="009C6A6C"/>
    <w:rsid w:val="009D66BF"/>
    <w:rsid w:val="009E5D60"/>
    <w:rsid w:val="00A00569"/>
    <w:rsid w:val="00A010EC"/>
    <w:rsid w:val="00A0327E"/>
    <w:rsid w:val="00A14591"/>
    <w:rsid w:val="00A14775"/>
    <w:rsid w:val="00A159DC"/>
    <w:rsid w:val="00A21511"/>
    <w:rsid w:val="00A224CD"/>
    <w:rsid w:val="00A30749"/>
    <w:rsid w:val="00A414F2"/>
    <w:rsid w:val="00A5337C"/>
    <w:rsid w:val="00A54B1F"/>
    <w:rsid w:val="00A57D1D"/>
    <w:rsid w:val="00A70CFA"/>
    <w:rsid w:val="00A7123C"/>
    <w:rsid w:val="00A74C07"/>
    <w:rsid w:val="00A8212F"/>
    <w:rsid w:val="00A9031C"/>
    <w:rsid w:val="00A94D4A"/>
    <w:rsid w:val="00A97BDD"/>
    <w:rsid w:val="00AA4817"/>
    <w:rsid w:val="00AA7E77"/>
    <w:rsid w:val="00AB09AF"/>
    <w:rsid w:val="00AB1E45"/>
    <w:rsid w:val="00AB4419"/>
    <w:rsid w:val="00AB5B50"/>
    <w:rsid w:val="00AB6A50"/>
    <w:rsid w:val="00AB71CC"/>
    <w:rsid w:val="00AC1525"/>
    <w:rsid w:val="00AD1C7C"/>
    <w:rsid w:val="00AD4010"/>
    <w:rsid w:val="00AD5340"/>
    <w:rsid w:val="00AE1B6B"/>
    <w:rsid w:val="00AE40A5"/>
    <w:rsid w:val="00AE682B"/>
    <w:rsid w:val="00AF104E"/>
    <w:rsid w:val="00AF235D"/>
    <w:rsid w:val="00B04405"/>
    <w:rsid w:val="00B103E9"/>
    <w:rsid w:val="00B15156"/>
    <w:rsid w:val="00B17F5C"/>
    <w:rsid w:val="00B33415"/>
    <w:rsid w:val="00B44488"/>
    <w:rsid w:val="00B457F1"/>
    <w:rsid w:val="00B562E9"/>
    <w:rsid w:val="00B60376"/>
    <w:rsid w:val="00B705E5"/>
    <w:rsid w:val="00B7203A"/>
    <w:rsid w:val="00B747A9"/>
    <w:rsid w:val="00B82F8F"/>
    <w:rsid w:val="00B95B2E"/>
    <w:rsid w:val="00BA4D00"/>
    <w:rsid w:val="00BB6E7F"/>
    <w:rsid w:val="00BC751F"/>
    <w:rsid w:val="00BD3A4E"/>
    <w:rsid w:val="00BD6C88"/>
    <w:rsid w:val="00BE5631"/>
    <w:rsid w:val="00BF0AAB"/>
    <w:rsid w:val="00BF3625"/>
    <w:rsid w:val="00BF5E34"/>
    <w:rsid w:val="00C008B6"/>
    <w:rsid w:val="00C02746"/>
    <w:rsid w:val="00C23BDA"/>
    <w:rsid w:val="00C26420"/>
    <w:rsid w:val="00C30C0F"/>
    <w:rsid w:val="00C47117"/>
    <w:rsid w:val="00C5181D"/>
    <w:rsid w:val="00C5513A"/>
    <w:rsid w:val="00C55B15"/>
    <w:rsid w:val="00C7437B"/>
    <w:rsid w:val="00C7603F"/>
    <w:rsid w:val="00C80847"/>
    <w:rsid w:val="00C92B2D"/>
    <w:rsid w:val="00CA49DC"/>
    <w:rsid w:val="00CB408A"/>
    <w:rsid w:val="00CC28F2"/>
    <w:rsid w:val="00CC42DE"/>
    <w:rsid w:val="00CE261A"/>
    <w:rsid w:val="00CE3D99"/>
    <w:rsid w:val="00CE65F4"/>
    <w:rsid w:val="00CF4B76"/>
    <w:rsid w:val="00D01083"/>
    <w:rsid w:val="00D1343C"/>
    <w:rsid w:val="00D35AFE"/>
    <w:rsid w:val="00D50C1D"/>
    <w:rsid w:val="00D53747"/>
    <w:rsid w:val="00D53E48"/>
    <w:rsid w:val="00D8340F"/>
    <w:rsid w:val="00D946E7"/>
    <w:rsid w:val="00DB0012"/>
    <w:rsid w:val="00DB0B53"/>
    <w:rsid w:val="00DB26EA"/>
    <w:rsid w:val="00DB5C0B"/>
    <w:rsid w:val="00DC4062"/>
    <w:rsid w:val="00DD13FE"/>
    <w:rsid w:val="00DF5E74"/>
    <w:rsid w:val="00E0111A"/>
    <w:rsid w:val="00E555F1"/>
    <w:rsid w:val="00E63FD2"/>
    <w:rsid w:val="00E70128"/>
    <w:rsid w:val="00E85144"/>
    <w:rsid w:val="00E90E28"/>
    <w:rsid w:val="00EC050C"/>
    <w:rsid w:val="00EC2FE4"/>
    <w:rsid w:val="00EC341E"/>
    <w:rsid w:val="00EF4630"/>
    <w:rsid w:val="00F01551"/>
    <w:rsid w:val="00F15FC8"/>
    <w:rsid w:val="00F31341"/>
    <w:rsid w:val="00F35CC4"/>
    <w:rsid w:val="00F42535"/>
    <w:rsid w:val="00F440D4"/>
    <w:rsid w:val="00F70ABA"/>
    <w:rsid w:val="00F81A4C"/>
    <w:rsid w:val="00F9128C"/>
    <w:rsid w:val="00F97A5B"/>
    <w:rsid w:val="00FB7CAA"/>
    <w:rsid w:val="00FC04E7"/>
    <w:rsid w:val="00FC43B6"/>
    <w:rsid w:val="00FC5434"/>
    <w:rsid w:val="00FE542C"/>
    <w:rsid w:val="00FF290C"/>
    <w:rsid w:val="00FF641D"/>
    <w:rsid w:val="06F8D1E0"/>
    <w:rsid w:val="0B10D1B5"/>
    <w:rsid w:val="3FD445AE"/>
    <w:rsid w:val="40BDB39E"/>
    <w:rsid w:val="45842ABA"/>
    <w:rsid w:val="4D7B2C56"/>
    <w:rsid w:val="5F3F5777"/>
    <w:rsid w:val="6FC44884"/>
    <w:rsid w:val="6FE03368"/>
    <w:rsid w:val="79F1F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07108"/>
  <w15:chartTrackingRefBased/>
  <w15:docId w15:val="{B9CEE892-AE5E-4AEC-A427-18488016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08B6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C008B6"/>
    <w:pPr>
      <w:keepNext/>
      <w:keepLines/>
      <w:ind w:firstLine="0"/>
      <w:outlineLvl w:val="0"/>
    </w:pPr>
    <w:rPr>
      <w:rFonts w:asciiTheme="majorHAnsi" w:hAnsiTheme="majorHAnsi" w:eastAsiaTheme="majorEastAsia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8B6"/>
    <w:pPr>
      <w:keepNext/>
      <w:keepLines/>
      <w:ind w:firstLine="0"/>
      <w:outlineLvl w:val="1"/>
    </w:pPr>
    <w:rPr>
      <w:rFonts w:asciiTheme="majorHAnsi" w:hAnsiTheme="majorHAnsi" w:eastAsiaTheme="majorEastAsia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8B6"/>
    <w:pPr>
      <w:keepNext/>
      <w:keepLines/>
      <w:ind w:firstLine="0"/>
      <w:outlineLvl w:val="2"/>
    </w:pPr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8B6"/>
    <w:pPr>
      <w:keepNext/>
      <w:keepLines/>
      <w:ind w:firstLine="0"/>
      <w:outlineLvl w:val="3"/>
    </w:pPr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8B6"/>
    <w:pPr>
      <w:keepNext/>
      <w:keepLines/>
      <w:ind w:firstLine="0"/>
      <w:outlineLvl w:val="4"/>
    </w:pPr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8B6"/>
    <w:pPr>
      <w:keepNext/>
      <w:keepLines/>
      <w:ind w:firstLine="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8B6"/>
    <w:pPr>
      <w:keepNext/>
      <w:keepLines/>
      <w:ind w:firstLine="0"/>
      <w:outlineLvl w:val="6"/>
    </w:pPr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8B6"/>
    <w:pPr>
      <w:keepNext/>
      <w:keepLines/>
      <w:ind w:firstLine="0"/>
      <w:outlineLvl w:val="7"/>
    </w:pPr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8B6"/>
    <w:pPr>
      <w:keepNext/>
      <w:keepLines/>
      <w:ind w:firstLine="0"/>
      <w:outlineLvl w:val="8"/>
    </w:pPr>
    <w:rPr>
      <w:rFonts w:asciiTheme="majorHAnsi" w:hAnsiTheme="majorHAnsi" w:eastAsiaTheme="majorEastAsia" w:cstheme="majorBid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aliases w:val="Work Cited"/>
    <w:basedOn w:val="Normal"/>
    <w:next w:val="Normal"/>
    <w:uiPriority w:val="8"/>
    <w:unhideWhenUsed/>
    <w:qFormat/>
    <w:rsid w:val="00C008B6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color="404040" w:themeColor="text1" w:themeTint="BF" w:sz="2" w:space="10" w:shadow="1"/>
        <w:left w:val="single" w:color="404040" w:themeColor="text1" w:themeTint="BF" w:sz="2" w:space="10" w:shadow="1"/>
        <w:bottom w:val="single" w:color="404040" w:themeColor="text1" w:themeTint="BF" w:sz="2" w:space="10" w:shadow="1"/>
        <w:right w:val="single" w:color="404040" w:themeColor="text1" w:themeTint="BF" w:sz="2" w:space="10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08B6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styleId="EndnoteTextChar" w:customStyle="1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hAnsiTheme="majorHAnsi" w:eastAsiaTheme="majorEastAsia" w:cstheme="majorBidi"/>
      <w:sz w:val="22"/>
      <w:szCs w:val="20"/>
    </w:rPr>
  </w:style>
  <w:style w:type="paragraph" w:styleId="TableTitle" w:customStyle="1">
    <w:name w:val="Table Title"/>
    <w:basedOn w:val="Normal"/>
    <w:next w:val="Normal"/>
    <w:uiPriority w:val="5"/>
    <w:qFormat/>
    <w:rsid w:val="00C008B6"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styleId="FootnoteTextChar" w:customStyle="1">
    <w:name w:val="Footnote Text Char"/>
    <w:basedOn w:val="DefaultParagraphFont"/>
    <w:link w:val="FootnoteText"/>
    <w:uiPriority w:val="99"/>
    <w:semiHidden/>
  </w:style>
  <w:style w:type="character" w:styleId="Heading1Char" w:customStyle="1">
    <w:name w:val="Heading 1 Char"/>
    <w:basedOn w:val="DefaultParagraphFont"/>
    <w:link w:val="Heading1"/>
    <w:uiPriority w:val="9"/>
    <w:rsid w:val="00C008B6"/>
    <w:rPr>
      <w:rFonts w:asciiTheme="majorHAnsi" w:hAnsiTheme="majorHAnsi" w:eastAsiaTheme="majorEastAsia" w:cstheme="majorBidi"/>
    </w:rPr>
  </w:style>
  <w:style w:type="character" w:styleId="Heading2Char" w:customStyle="1">
    <w:name w:val="Heading 2 Char"/>
    <w:basedOn w:val="DefaultParagraphFont"/>
    <w:link w:val="Heading2"/>
    <w:uiPriority w:val="9"/>
    <w:rsid w:val="00C008B6"/>
    <w:rPr>
      <w:rFonts w:asciiTheme="majorHAnsi" w:hAnsiTheme="majorHAnsi" w:eastAsiaTheme="majorEastAsia" w:cstheme="majorBidi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008B6"/>
    <w:rPr>
      <w:rFonts w:asciiTheme="majorHAnsi" w:hAnsiTheme="majorHAnsi" w:eastAsiaTheme="majorEastAsia" w:cstheme="majorBidi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008B6"/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008B6"/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008B6"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008B6"/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008B6"/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008B6"/>
    <w:rPr>
      <w:rFonts w:asciiTheme="majorHAnsi" w:hAnsiTheme="majorHAnsi" w:eastAsiaTheme="majorEastAsia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rsid w:val="00C008B6"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rsid w:val="00C008B6"/>
    <w:pPr>
      <w:ind w:left="1440" w:firstLine="0"/>
    </w:pPr>
  </w:style>
  <w:style w:type="character" w:styleId="QuoteChar" w:customStyle="1">
    <w:name w:val="Quote Char"/>
    <w:basedOn w:val="DefaultParagraphFont"/>
    <w:link w:val="Quote"/>
    <w:uiPriority w:val="4"/>
    <w:rsid w:val="00C008B6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rsid w:val="00C008B6"/>
    <w:pPr>
      <w:ind w:firstLine="0"/>
      <w:jc w:val="center"/>
    </w:pPr>
    <w:rPr>
      <w:rFonts w:asciiTheme="majorHAnsi" w:hAnsiTheme="majorHAnsi" w:eastAsiaTheme="majorEastAsia" w:cstheme="majorBidi"/>
      <w:spacing w:val="-10"/>
      <w:kern w:val="28"/>
    </w:rPr>
  </w:style>
  <w:style w:type="character" w:styleId="TitleChar" w:customStyle="1">
    <w:name w:val="Title Char"/>
    <w:basedOn w:val="DefaultParagraphFont"/>
    <w:link w:val="Title"/>
    <w:uiPriority w:val="2"/>
    <w:rsid w:val="00C008B6"/>
    <w:rPr>
      <w:rFonts w:asciiTheme="majorHAnsi" w:hAnsiTheme="majorHAnsi" w:eastAsiaTheme="majorEastAsia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8B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sid w:val="00C008B6"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LAresearchpapertable" w:customStyle="1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color="auto" w:sz="4" w:space="0"/>
        <w:bottom w:val="single" w:color="auto" w:sz="4" w:space="0"/>
      </w:tblBorders>
      <w:tblCellMar>
        <w:left w:w="0" w:type="dxa"/>
        <w:right w:w="0" w:type="dxa"/>
      </w:tblCellMar>
    </w:tblPr>
    <w:tblStylePr w:type="firstRow">
      <w:pPr>
        <w:wordWrap/>
        <w:spacing w:before="240" w:beforeLines="0" w:beforeAutospacing="0" w:after="0" w:afterLines="0" w:afterAutospacing="0"/>
      </w:pPr>
      <w:tblPr/>
      <w:tcPr>
        <w:tcBorders>
          <w:top w:val="single" w:color="auto" w:sz="4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styleId="TableSource" w:customStyle="1">
    <w:name w:val="Table Source"/>
    <w:basedOn w:val="TableTitle"/>
    <w:next w:val="Normal"/>
    <w:uiPriority w:val="6"/>
    <w:qFormat/>
    <w:rsid w:val="00C008B6"/>
    <w:pPr>
      <w:spacing w:before="240"/>
    </w:pPr>
  </w:style>
  <w:style w:type="paragraph" w:styleId="TableNote" w:customStyle="1">
    <w:name w:val="Table Note"/>
    <w:basedOn w:val="Normal"/>
    <w:uiPriority w:val="7"/>
    <w:qFormat/>
    <w:rsid w:val="00C008B6"/>
    <w:pPr>
      <w:numPr>
        <w:numId w:val="18"/>
      </w:numPr>
    </w:pPr>
  </w:style>
  <w:style w:type="numbering" w:styleId="MLAOutline" w:customStyle="1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C008B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008B6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C008B6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008B6"/>
    <w:rPr>
      <w:b/>
      <w:bCs/>
      <w:caps w:val="0"/>
      <w:smallCaps/>
      <w:color w:val="6E6E6E" w:themeColor="accent1" w:themeShade="80"/>
      <w:spacing w:val="5"/>
    </w:rPr>
  </w:style>
  <w:style w:type="character" w:styleId="FootnoteReference">
    <w:name w:val="footnote reference"/>
    <w:basedOn w:val="DefaultParagraphFont"/>
    <w:uiPriority w:val="99"/>
    <w:semiHidden/>
    <w:unhideWhenUsed/>
    <w:rsid w:val="007658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microsoft.com/office/2020/10/relationships/intelligence" Target="intelligence2.xml" Id="Rf9e8416e7da84835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ny%20Hollingsworth\AppData\Roaming\Microsoft\Templates\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E12C5C03BA4B04A6ADA419B6265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33C69-CC8E-4E16-B464-039BA4F83664}"/>
      </w:docPartPr>
      <w:docPartBody>
        <w:p w:rsidR="00982AAB" w:rsidRDefault="00000000">
          <w:pPr>
            <w:pStyle w:val="FCE12C5C03BA4B04A6ADA419B62657A1"/>
          </w:pPr>
          <w:r>
            <w:t>Table data</w:t>
          </w:r>
        </w:p>
      </w:docPartBody>
    </w:docPart>
    <w:docPart>
      <w:docPartPr>
        <w:name w:val="793642A1A93D492698704B3DC3BCB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5F4C4-B1FB-4A84-869C-4FBA99AC977A}"/>
      </w:docPartPr>
      <w:docPartBody>
        <w:p w:rsidR="00982AAB" w:rsidRDefault="00000000">
          <w:pPr>
            <w:pStyle w:val="793642A1A93D492698704B3DC3BCBF31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AB"/>
    <w:rsid w:val="001009F3"/>
    <w:rsid w:val="00292A2F"/>
    <w:rsid w:val="00362AA7"/>
    <w:rsid w:val="00724DDD"/>
    <w:rsid w:val="00982AAB"/>
    <w:rsid w:val="00AB7C17"/>
    <w:rsid w:val="00D8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FCE12C5C03BA4B04A6ADA419B62657A1">
    <w:name w:val="FCE12C5C03BA4B04A6ADA419B62657A1"/>
  </w:style>
  <w:style w:type="paragraph" w:customStyle="1" w:styleId="793642A1A93D492698704B3DC3BCBF31">
    <w:name w:val="793642A1A93D492698704B3DC3BCBF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Hollingsworth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2E01E0-9B46-4638-9B52-038A4C799AB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MLA%20style%20research%20paper.dotx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Sunny Hollingsworth</dc:creator>
  <keywords/>
  <dc:description/>
  <lastModifiedBy>Sundance Hollingsworth</lastModifiedBy>
  <revision>74</revision>
  <dcterms:created xsi:type="dcterms:W3CDTF">2023-02-10T02:49:00.0000000Z</dcterms:created>
  <dcterms:modified xsi:type="dcterms:W3CDTF">2025-06-11T18:22:55.4300554Z</dcterms:modified>
</coreProperties>
</file>