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val="0"/>
          <w:i w:val="0"/>
          <w:color w:val="000000"/>
          <w:sz w:val="26"/>
        </w:rPr>
        <w:t>Marathwada Shikshan Prasarak Mandal’s</w:t>
      </w:r>
    </w:p>
    <w:p>
      <w:pPr>
        <w:spacing w:before="0" w:after="300" w:line="276" w:lineRule="auto"/>
        <w:jc w:val="center"/>
      </w:pPr>
      <w:r>
        <w:rPr>
          <w:rFonts w:ascii="Times New Roman" w:hAnsi="Times New Roman"/>
          <w:b/>
          <w:i w:val="0"/>
          <w:color w:val="000000"/>
          <w:sz w:val="28"/>
        </w:rPr>
        <w:t>Deogiri Institute of Engineering and Management Studies,</w:t>
        <w:br/>
        <w:t>Chatrapati Sambhajinagar</w:t>
      </w:r>
    </w:p>
    <w:p>
      <w:pPr>
        <w:spacing w:before="100" w:after="30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188720" cy="1188720"/>
                    </a:xfrm>
                    <a:prstGeom prst="rect"/>
                  </pic:spPr>
                </pic:pic>
              </a:graphicData>
            </a:graphic>
          </wp:inline>
        </w:drawing>
      </w:r>
    </w:p>
    <w:p>
      <w:pPr>
        <w:spacing w:before="100" w:after="40" w:line="276" w:lineRule="auto"/>
        <w:jc w:val="center"/>
      </w:pPr>
      <w:r>
        <w:rPr>
          <w:rFonts w:ascii="Times New Roman" w:hAnsi="Times New Roman"/>
          <w:b/>
          <w:i w:val="0"/>
          <w:color w:val="000000"/>
          <w:sz w:val="30"/>
        </w:rPr>
        <w:t>Mini Project Report</w:t>
      </w:r>
    </w:p>
    <w:p>
      <w:pPr>
        <w:spacing w:before="40" w:after="240" w:line="276" w:lineRule="auto"/>
        <w:jc w:val="center"/>
      </w:pPr>
      <w:r>
        <w:rPr>
          <w:rFonts w:ascii="Times New Roman" w:hAnsi="Times New Roman"/>
          <w:b/>
          <w:i w:val="0"/>
          <w:color w:val="000000"/>
          <w:sz w:val="28"/>
        </w:rPr>
        <w:t>on</w:t>
      </w:r>
    </w:p>
    <w:p>
      <w:pPr>
        <w:spacing w:before="0" w:after="400" w:line="276" w:lineRule="auto"/>
        <w:jc w:val="center"/>
      </w:pPr>
      <w:r>
        <w:rPr>
          <w:rFonts w:ascii="Times New Roman" w:hAnsi="Times New Roman"/>
          <w:b/>
          <w:i w:val="0"/>
          <w:color w:val="000000"/>
          <w:sz w:val="36"/>
        </w:rPr>
        <w:t>Hybrid SLM-LLM Router Agent</w:t>
      </w:r>
    </w:p>
    <w:p>
      <w:pPr>
        <w:spacing w:before="200" w:after="160" w:line="276" w:lineRule="auto"/>
        <w:jc w:val="center"/>
      </w:pPr>
      <w:r>
        <w:rPr>
          <w:rFonts w:ascii="Times New Roman" w:hAnsi="Times New Roman"/>
          <w:b w:val="0"/>
          <w:i w:val="0"/>
          <w:color w:val="000000"/>
          <w:sz w:val="26"/>
        </w:rPr>
        <w:t>Submitted By</w:t>
      </w:r>
    </w:p>
    <w:p>
      <w:pPr>
        <w:spacing w:before="0" w:after="500" w:line="276" w:lineRule="auto"/>
        <w:jc w:val="center"/>
      </w:pPr>
      <w:r>
        <w:rPr>
          <w:rFonts w:ascii="Times New Roman" w:hAnsi="Times New Roman"/>
          <w:b/>
          <w:i w:val="0"/>
          <w:color w:val="000000"/>
          <w:sz w:val="28"/>
        </w:rPr>
        <w:t>Shaurya Anand Kamble (AI4173)</w:t>
        <w:br/>
        <w:t>Swapnil Kashinath Kolte (AI4175)</w:t>
      </w:r>
    </w:p>
    <w:p>
      <w:pPr>
        <w:spacing w:before="300" w:after="400" w:line="276" w:lineRule="auto"/>
        <w:jc w:val="center"/>
      </w:pPr>
      <w:r>
        <w:rPr>
          <w:rFonts w:ascii="Times New Roman" w:hAnsi="Times New Roman"/>
          <w:b w:val="0"/>
          <w:i w:val="0"/>
          <w:color w:val="000000"/>
          <w:sz w:val="28"/>
        </w:rPr>
        <w:t>Dr. Babasaheb Ambedkar Technological University</w:t>
        <w:br/>
        <w:t>Lonere (M.S.)</w:t>
      </w:r>
    </w:p>
    <w:p>
      <w:pPr>
        <w:spacing w:before="200" w:after="40" w:line="276" w:lineRule="auto"/>
        <w:jc w:val="center"/>
      </w:pPr>
      <w:r>
        <w:rPr>
          <w:rFonts w:ascii="Times New Roman" w:hAnsi="Times New Roman"/>
          <w:b/>
          <w:i w:val="0"/>
          <w:color w:val="000000"/>
          <w:sz w:val="32"/>
        </w:rPr>
        <w:t>Department of CSE (AI&amp;ML)</w:t>
      </w:r>
    </w:p>
    <w:p>
      <w:pPr>
        <w:spacing w:before="0" w:after="80" w:line="276" w:lineRule="auto"/>
        <w:jc w:val="center"/>
      </w:pPr>
      <w:r>
        <w:rPr>
          <w:rFonts w:ascii="Times New Roman" w:hAnsi="Times New Roman"/>
          <w:b/>
          <w:i w:val="0"/>
          <w:color w:val="000000"/>
          <w:sz w:val="28"/>
        </w:rPr>
        <w:t>Deogiri Institute of Engineering and Management Studies,</w:t>
        <w:br/>
        <w:t>Chatrapati Sambhajinagar</w:t>
      </w:r>
    </w:p>
    <w:p>
      <w:pPr>
        <w:spacing w:before="0" w:after="0" w:line="276" w:lineRule="auto"/>
        <w:jc w:val="center"/>
      </w:pPr>
      <w:r>
        <w:rPr>
          <w:rFonts w:ascii="Times New Roman" w:hAnsi="Times New Roman"/>
          <w:b/>
          <w:i w:val="0"/>
          <w:color w:val="000000"/>
          <w:sz w:val="32"/>
        </w:rPr>
        <w:t>(2026- 2027)</w:t>
      </w:r>
    </w:p>
    <w:p>
      <w:r>
        <w:br w:type="page"/>
      </w:r>
    </w:p>
    <w:p>
      <w:pPr>
        <w:spacing w:before="200" w:after="40" w:line="276" w:lineRule="auto"/>
        <w:jc w:val="center"/>
      </w:pPr>
      <w:r>
        <w:rPr>
          <w:rFonts w:ascii="Times New Roman" w:hAnsi="Times New Roman"/>
          <w:b w:val="0"/>
          <w:i w:val="0"/>
          <w:color w:val="000000"/>
          <w:sz w:val="26"/>
        </w:rPr>
        <w:t>Marathwada Shikshan Prasarak Mandal’s</w:t>
      </w:r>
    </w:p>
    <w:p>
      <w:pPr>
        <w:spacing w:before="0" w:after="300" w:line="276" w:lineRule="auto"/>
        <w:jc w:val="center"/>
      </w:pPr>
      <w:r>
        <w:rPr>
          <w:rFonts w:ascii="Times New Roman" w:hAnsi="Times New Roman"/>
          <w:b/>
          <w:i w:val="0"/>
          <w:color w:val="000000"/>
          <w:sz w:val="28"/>
        </w:rPr>
        <w:t>Deogiri Institute of Engineering and Management Studies,</w:t>
        <w:br/>
        <w:t>Chatrapati Sambhajinagar</w:t>
      </w:r>
    </w:p>
    <w:p>
      <w:pPr>
        <w:spacing w:before="100" w:after="24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097280" cy="1097280"/>
                    </a:xfrm>
                    <a:prstGeom prst="rect"/>
                  </pic:spPr>
                </pic:pic>
              </a:graphicData>
            </a:graphic>
          </wp:inline>
        </w:drawing>
      </w:r>
    </w:p>
    <w:p>
      <w:pPr>
        <w:spacing w:before="80" w:after="40" w:line="276" w:lineRule="auto"/>
        <w:jc w:val="center"/>
      </w:pPr>
      <w:r>
        <w:rPr>
          <w:rFonts w:ascii="Times New Roman" w:hAnsi="Times New Roman"/>
          <w:b/>
          <w:i w:val="0"/>
          <w:color w:val="000000"/>
          <w:sz w:val="28"/>
        </w:rPr>
        <w:t>Mini Project Report</w:t>
      </w:r>
    </w:p>
    <w:p>
      <w:pPr>
        <w:spacing w:before="40" w:after="200" w:line="276" w:lineRule="auto"/>
        <w:jc w:val="center"/>
      </w:pPr>
      <w:r>
        <w:rPr>
          <w:rFonts w:ascii="Times New Roman" w:hAnsi="Times New Roman"/>
          <w:b/>
          <w:i w:val="0"/>
          <w:color w:val="000000"/>
          <w:sz w:val="26"/>
        </w:rPr>
        <w:t>on</w:t>
      </w:r>
    </w:p>
    <w:p>
      <w:pPr>
        <w:spacing w:before="0" w:after="300" w:line="276" w:lineRule="auto"/>
        <w:jc w:val="center"/>
      </w:pPr>
      <w:r>
        <w:rPr>
          <w:rFonts w:ascii="Times New Roman" w:hAnsi="Times New Roman"/>
          <w:b/>
          <w:i w:val="0"/>
          <w:color w:val="000000"/>
          <w:sz w:val="36"/>
        </w:rPr>
        <w:t>Hybrid SLM-LLM Router Agent</w:t>
      </w:r>
    </w:p>
    <w:p>
      <w:pPr>
        <w:spacing w:before="120" w:after="120" w:line="276" w:lineRule="auto"/>
        <w:jc w:val="center"/>
      </w:pPr>
      <w:r>
        <w:rPr>
          <w:rFonts w:ascii="Times New Roman" w:hAnsi="Times New Roman"/>
          <w:b w:val="0"/>
          <w:i w:val="0"/>
          <w:color w:val="000000"/>
          <w:sz w:val="26"/>
        </w:rPr>
        <w:t>Submitted By</w:t>
      </w:r>
    </w:p>
    <w:p>
      <w:pPr>
        <w:spacing w:before="0" w:after="300" w:line="276" w:lineRule="auto"/>
        <w:jc w:val="center"/>
      </w:pPr>
      <w:r>
        <w:rPr>
          <w:rFonts w:ascii="Times New Roman" w:hAnsi="Times New Roman"/>
          <w:b/>
          <w:i w:val="0"/>
          <w:color w:val="000000"/>
          <w:sz w:val="28"/>
        </w:rPr>
        <w:t>Shaurya Anand Kamble (AI4173)</w:t>
        <w:br/>
        <w:t>Swapnil Kashinath Kolte (AI4175)</w:t>
      </w:r>
    </w:p>
    <w:p>
      <w:pPr>
        <w:spacing w:before="120" w:after="40" w:line="276" w:lineRule="auto"/>
        <w:jc w:val="center"/>
      </w:pPr>
      <w:r>
        <w:rPr>
          <w:rFonts w:ascii="Times New Roman" w:hAnsi="Times New Roman"/>
          <w:b w:val="0"/>
          <w:i w:val="0"/>
          <w:color w:val="000000"/>
          <w:sz w:val="26"/>
        </w:rPr>
        <w:t>In partial fulfillment of</w:t>
      </w:r>
    </w:p>
    <w:p>
      <w:pPr>
        <w:spacing w:before="0" w:after="40" w:line="276" w:lineRule="auto"/>
        <w:jc w:val="center"/>
      </w:pPr>
      <w:r>
        <w:rPr>
          <w:rFonts w:ascii="Times New Roman" w:hAnsi="Times New Roman"/>
          <w:b/>
          <w:i w:val="0"/>
          <w:color w:val="000000"/>
          <w:sz w:val="28"/>
        </w:rPr>
        <w:t>Bachelor of Technology</w:t>
      </w:r>
    </w:p>
    <w:p>
      <w:pPr>
        <w:spacing w:before="0" w:after="300" w:line="276" w:lineRule="auto"/>
        <w:jc w:val="center"/>
      </w:pPr>
      <w:r>
        <w:rPr>
          <w:rFonts w:ascii="Times New Roman" w:hAnsi="Times New Roman"/>
          <w:b/>
          <w:i w:val="0"/>
          <w:color w:val="000000"/>
          <w:sz w:val="26"/>
        </w:rPr>
        <w:t>(Computer Science &amp; Engineering (AI&amp;ML))</w:t>
      </w:r>
    </w:p>
    <w:p>
      <w:pPr>
        <w:spacing w:before="120" w:after="80" w:line="276" w:lineRule="auto"/>
        <w:jc w:val="center"/>
      </w:pPr>
      <w:r>
        <w:rPr>
          <w:rFonts w:ascii="Times New Roman" w:hAnsi="Times New Roman"/>
          <w:b w:val="0"/>
          <w:i w:val="0"/>
          <w:color w:val="000000"/>
          <w:sz w:val="26"/>
        </w:rPr>
        <w:t>Guided By</w:t>
      </w:r>
    </w:p>
    <w:p>
      <w:pPr>
        <w:spacing w:before="0" w:after="400" w:line="276" w:lineRule="auto"/>
        <w:jc w:val="center"/>
      </w:pPr>
      <w:r>
        <w:rPr>
          <w:rFonts w:ascii="Times New Roman" w:hAnsi="Times New Roman"/>
          <w:b/>
          <w:i w:val="0"/>
          <w:color w:val="000000"/>
          <w:sz w:val="28"/>
        </w:rPr>
        <w:t>Ms. S. G. Tuppad</w:t>
      </w:r>
    </w:p>
    <w:p>
      <w:pPr>
        <w:spacing w:before="200" w:after="40" w:line="276" w:lineRule="auto"/>
        <w:jc w:val="center"/>
      </w:pPr>
      <w:r>
        <w:rPr>
          <w:rFonts w:ascii="Times New Roman" w:hAnsi="Times New Roman"/>
          <w:b/>
          <w:i w:val="0"/>
          <w:color w:val="000000"/>
          <w:sz w:val="32"/>
        </w:rPr>
        <w:t>Department of CSE (AI&amp;ML)</w:t>
      </w:r>
    </w:p>
    <w:p>
      <w:pPr>
        <w:spacing w:before="0" w:after="80" w:line="276" w:lineRule="auto"/>
        <w:jc w:val="center"/>
      </w:pPr>
      <w:r>
        <w:rPr>
          <w:rFonts w:ascii="Times New Roman" w:hAnsi="Times New Roman"/>
          <w:b/>
          <w:i w:val="0"/>
          <w:color w:val="000000"/>
          <w:sz w:val="28"/>
        </w:rPr>
        <w:t>Deogiri Institute of Engineering and Management Studies,</w:t>
        <w:br/>
        <w:t>Chatrapati Sambhajinagar</w:t>
      </w:r>
    </w:p>
    <w:p>
      <w:pPr>
        <w:spacing w:before="0" w:after="0" w:line="276" w:lineRule="auto"/>
        <w:jc w:val="center"/>
      </w:pPr>
      <w:r>
        <w:rPr>
          <w:rFonts w:ascii="Times New Roman" w:hAnsi="Times New Roman"/>
          <w:b/>
          <w:i w:val="0"/>
          <w:color w:val="000000"/>
          <w:sz w:val="32"/>
        </w:rPr>
        <w:t>(2026- 2027)</w:t>
      </w:r>
    </w:p>
    <w:p>
      <w:r>
        <w:br w:type="page"/>
      </w:r>
    </w:p>
    <w:p>
      <w:pPr>
        <w:spacing w:before="400" w:after="400" w:line="276" w:lineRule="auto"/>
        <w:jc w:val="center"/>
      </w:pPr>
      <w:r>
        <w:rPr>
          <w:rFonts w:ascii="Times New Roman" w:hAnsi="Times New Roman"/>
          <w:b/>
          <w:i w:val="0"/>
          <w:color w:val="000000"/>
          <w:sz w:val="32"/>
        </w:rPr>
        <w:t>CERTIFICATE</w:t>
      </w:r>
    </w:p>
    <w:p>
      <w:pPr>
        <w:spacing w:before="200" w:after="600" w:line="276" w:lineRule="auto"/>
        <w:jc w:val="both"/>
      </w:pPr>
      <w:r>
        <w:rPr>
          <w:rFonts w:ascii="Times New Roman" w:hAnsi="Times New Roman"/>
          <w:b w:val="0"/>
          <w:i w:val="0"/>
          <w:color w:val="000000"/>
          <w:sz w:val="24"/>
        </w:rPr>
        <w:t>This is to certify that, the Mini Project entitled “Hybrid SLM-LLM Router Agent” submitted by Shaurya Anand Kamble (AI4173), Swapnil Kashinath Kolte (AI4175) is a bonafide work completed under my supervision and guidance in partial fulfillment for award of Bachelor of Technology (CSE (AI&amp;ML)) Degree of Dr. Babasaheb Ambedkar Technological University, Lonere.</w:t>
      </w:r>
    </w:p>
    <w:p>
      <w:pPr>
        <w:spacing w:before="200" w:after="800" w:line="276" w:lineRule="auto"/>
        <w:jc w:val="both"/>
      </w:pPr>
      <w:r>
        <w:rPr>
          <w:rFonts w:ascii="Times New Roman" w:hAnsi="Times New Roman"/>
          <w:b w:val="0"/>
          <w:i w:val="0"/>
          <w:color w:val="000000"/>
          <w:sz w:val="24"/>
        </w:rPr>
        <w:t>Date: 17/10/2026                                              Place: Chatrapati Sambhajinagar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32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Ms. S. G. Tuppad</w:t>
              <w:br/>
              <w:t>Mini Project Guide</w:t>
            </w:r>
          </w:p>
        </w:tc>
        <w:tc>
          <w:tcPr>
            <w:tcW w:type="dxa" w:w="4608"/>
            <w:tcMar>
              <w:top w:w="60" w:type="dxa"/>
              <w:bottom w:w="60" w:type="dxa"/>
              <w:left w:w="100" w:type="dxa"/>
              <w:right w:w="100" w:type="dxa"/>
            </w:tcMar>
            <w:vAlign w:val="center"/>
          </w:tcPr>
          <w:p>
            <w:pPr>
              <w:spacing w:before="20" w:after="40" w:line="276" w:lineRule="auto"/>
              <w:jc w:val="right"/>
            </w:pPr>
            <w:r>
              <w:rPr>
                <w:rFonts w:ascii="Times New Roman" w:hAnsi="Times New Roman"/>
                <w:b/>
                <w:color w:val="000000"/>
                <w:sz w:val="22"/>
              </w:rPr>
              <w:t>Mrs. P. R. Z. Kathar</w:t>
              <w:br/>
              <w:t>Mini Project Coordinator</w:t>
            </w:r>
          </w:p>
        </w:tc>
      </w:tr>
    </w:tbl>
    <w:p>
      <w:pPr>
        <w:spacing w:before="600" w:after="0" w:line="276" w:lineRule="auto"/>
        <w:jc w:val="both"/>
      </w:pPr>
    </w:p>
    <w:p>
      <w:pPr>
        <w:spacing w:before="300" w:after="0" w:line="276" w:lineRule="auto"/>
        <w:jc w:val="left"/>
      </w:pPr>
      <w:r>
        <w:rPr>
          <w:rFonts w:ascii="Times New Roman" w:hAnsi="Times New Roman"/>
          <w:b/>
          <w:i w:val="0"/>
          <w:color w:val="000000"/>
          <w:sz w:val="24"/>
        </w:rPr>
        <w:t>Dr. S. A. Shaikh</w:t>
        <w:br/>
        <w:t>Head of Department</w:t>
      </w:r>
    </w:p>
    <w:p>
      <w:r>
        <w:br w:type="page"/>
      </w:r>
    </w:p>
    <w:p>
      <w:pPr>
        <w:spacing w:before="400" w:after="400" w:line="276" w:lineRule="auto"/>
        <w:jc w:val="center"/>
      </w:pPr>
      <w:r>
        <w:rPr>
          <w:rFonts w:ascii="Times New Roman" w:hAnsi="Times New Roman"/>
          <w:b/>
          <w:i w:val="0"/>
          <w:color w:val="000000"/>
          <w:sz w:val="32"/>
        </w:rPr>
        <w:t>DECLARATION</w:t>
      </w:r>
    </w:p>
    <w:p>
      <w:pPr>
        <w:spacing w:before="200" w:after="600" w:line="276" w:lineRule="auto"/>
        <w:jc w:val="both"/>
      </w:pPr>
      <w:r>
        <w:rPr>
          <w:rFonts w:ascii="Times New Roman" w:hAnsi="Times New Roman"/>
          <w:b w:val="0"/>
          <w:i w:val="0"/>
          <w:color w:val="000000"/>
          <w:sz w:val="24"/>
        </w:rPr>
        <w:t>This is to certify that, the partial Mini Project report entitled “Hybrid SLM-LLM Router Agent” submitted by Shaurya Anand Kamble, Swapnil Kashinath Kolte is a bonafide work completed under my supervision and guidance in partial fulfillment for award of bachelor’s degree in CSE (AI&amp;ML) of Deogiri Institute of Engineering and Management Studies, Chatrapati Sambhajinagar under Dr. Babasaheb Ambedkar Technological University, Lonere.</w:t>
      </w:r>
    </w:p>
    <w:p>
      <w:pPr>
        <w:spacing w:before="200" w:after="800" w:line="276" w:lineRule="auto"/>
        <w:jc w:val="left"/>
      </w:pPr>
      <w:r>
        <w:rPr>
          <w:rFonts w:ascii="Times New Roman" w:hAnsi="Times New Roman"/>
          <w:b w:val="0"/>
          <w:i w:val="0"/>
          <w:color w:val="000000"/>
          <w:sz w:val="24"/>
        </w:rPr>
        <w:t>Place: Chatrapati Sambhajinagar</w:t>
        <w:br/>
        <w:t>Date: 17/10/2026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32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External Examiner</w:t>
            </w:r>
          </w:p>
        </w:tc>
        <w:tc>
          <w:tcPr>
            <w:tcW w:type="dxa" w:w="4608"/>
            <w:tcMar>
              <w:top w:w="60" w:type="dxa"/>
              <w:bottom w:w="60" w:type="dxa"/>
              <w:left w:w="100" w:type="dxa"/>
              <w:right w:w="100" w:type="dxa"/>
            </w:tcMar>
            <w:vAlign w:val="center"/>
          </w:tcPr>
          <w:p>
            <w:pPr>
              <w:spacing w:before="20" w:after="40" w:line="276" w:lineRule="auto"/>
              <w:jc w:val="right"/>
            </w:pPr>
            <w:r>
              <w:rPr>
                <w:rFonts w:ascii="Times New Roman" w:hAnsi="Times New Roman"/>
                <w:b/>
                <w:color w:val="000000"/>
                <w:sz w:val="22"/>
              </w:rPr>
              <w:t>Ms. S. G. Tuppad</w:t>
              <w:br/>
              <w:t>Guide</w:t>
            </w:r>
          </w:p>
        </w:tc>
      </w:tr>
    </w:tbl>
    <w:p>
      <w:r>
        <w:br w:type="page"/>
      </w:r>
    </w:p>
    <w:p>
      <w:pPr>
        <w:spacing w:before="300" w:after="360" w:line="276" w:lineRule="auto"/>
        <w:jc w:val="center"/>
      </w:pPr>
      <w:r>
        <w:rPr>
          <w:rFonts w:ascii="Times New Roman" w:hAnsi="Times New Roman"/>
          <w:b/>
          <w:i w:val="0"/>
          <w:color w:val="000000"/>
          <w:sz w:val="32"/>
        </w:rPr>
        <w:t>Abstract</w:t>
      </w:r>
    </w:p>
    <w:p>
      <w:pPr>
        <w:spacing w:before="0" w:after="200" w:line="276" w:lineRule="auto"/>
        <w:jc w:val="both"/>
      </w:pPr>
      <w:r>
        <w:rPr>
          <w:rFonts w:ascii="Times New Roman" w:hAnsi="Times New Roman"/>
          <w:b w:val="0"/>
          <w:i w:val="0"/>
          <w:color w:val="000000"/>
          <w:sz w:val="24"/>
        </w:rPr>
        <w:t>Large Language Models (LLMs) have established extraordinary capabilities across natural language understanding, automated multi-step reasoning, mathematical problem-solving, and code synthesis. However, monolithic enterprise architectures that unconditionally route 100% of incoming user prompts to proprietary cloud-hosted frontier LLMs (such as OpenAI GPT-4, Google Gemini, or Claude 3.5) incur substantial operational penalties: compounding token-based API expenditures, high and unpredictable network latency, vulnerability to external service rate-limiting (HTTP 429), and significant avoidable carbon dioxide emissions generated by hyperscale data center compute clusters.</w:t>
      </w:r>
    </w:p>
    <w:p>
      <w:pPr>
        <w:spacing w:before="0" w:after="200" w:line="276" w:lineRule="auto"/>
        <w:jc w:val="both"/>
      </w:pPr>
      <w:r>
        <w:rPr>
          <w:rFonts w:ascii="Times New Roman" w:hAnsi="Times New Roman"/>
          <w:b w:val="0"/>
          <w:i w:val="0"/>
          <w:color w:val="000000"/>
          <w:sz w:val="24"/>
        </w:rPr>
        <w:t>Conversely, recent advancements in parameter quantization (GGUF 4-bit) and architecture design have produced highly capable Small Language Models (SLMs)—such as Alibaba’s Qwen2.5-7B Instruct—capable of running locally on consumer hardware at zero marginal token cost. Nevertheless, an SLM alone cannot reliably resolve advanced mathematical derivations, complex distributed software architectures, or deep multi-turn theoretical analysis. To address this fundamental tradeoff, this project develops the Hybrid SLM-LLM Router Agent: an intelligent, low-latency, resilient middleware gateway that dynamically evaluates incoming prompt complexity and directs traffic to the most cost-effective and environmentally conscious compute tier.</w:t>
      </w:r>
    </w:p>
    <w:p>
      <w:pPr>
        <w:spacing w:before="0" w:after="200" w:line="276" w:lineRule="auto"/>
        <w:jc w:val="both"/>
      </w:pPr>
      <w:r>
        <w:rPr>
          <w:rFonts w:ascii="Times New Roman" w:hAnsi="Times New Roman"/>
          <w:b w:val="0"/>
          <w:i w:val="0"/>
          <w:color w:val="000000"/>
          <w:sz w:val="24"/>
        </w:rPr>
        <w:t>The engineered architecture integrates three modular components: (1) an ultra-low latency Complexity Classifier benchmarking deterministic heuristics, classical TF-IDF vectorization with Logistic Regression, and a fine-tuned DistilBERT sequence classification model; (2) an asynchronous dual-path execution engine orchestrated via FastAPI providing automated failover between primary cloud provider Groq (Qwen2.5-72B), secondary cloud provider Google Gemini 2.5 Flash, and local Ollama inference; and (3) a live telemetry and environmental auditing suite integrating CodeCarbon to track physical CPU/GPU energy consumption (kWh) alongside a 16-column SQLite persistent audit database.</w:t>
      </w:r>
    </w:p>
    <w:p>
      <w:pPr>
        <w:spacing w:before="0" w:after="300" w:line="276" w:lineRule="auto"/>
        <w:jc w:val="both"/>
      </w:pPr>
      <w:r>
        <w:rPr>
          <w:rFonts w:ascii="Times New Roman" w:hAnsi="Times New Roman"/>
          <w:b w:val="0"/>
          <w:i w:val="0"/>
          <w:color w:val="000000"/>
          <w:sz w:val="24"/>
        </w:rPr>
        <w:t>Experimental benchmarking across 35 diverse test prompts demonstrated that the TF-IDF classifier achieved 93.3% accuracy with an inference latency of just 0.22 milliseconds, while fine-tuned DistilBERT reached 96.7% accuracy. By successfully offloading 60.0% of user queries to the local SLM, the hybrid system slashed cumulative cloud API costs by 60.6% and curtailed carbon emissions by 49.0% compared to a 100% cloud baseline, while delivering 100% availability during simulated network outages. An interactive Streamlit dashboard enables real-time journey visualization, performance telemetry, and system administration.</w:t>
      </w:r>
    </w:p>
    <w:p>
      <w:r>
        <w:br w:type="page"/>
      </w:r>
    </w:p>
    <w:p>
      <w:pPr>
        <w:spacing w:before="300" w:after="300" w:line="276" w:lineRule="auto"/>
        <w:jc w:val="center"/>
      </w:pPr>
      <w:r>
        <w:rPr>
          <w:rFonts w:ascii="Times New Roman" w:hAnsi="Times New Roman"/>
          <w:b/>
          <w:i w:val="0"/>
          <w:color w:val="000000"/>
          <w:sz w:val="32"/>
        </w:rPr>
        <w:t>Contents</w:t>
      </w:r>
    </w:p>
    <w:p>
      <w:pPr>
        <w:spacing w:before="20" w:after="40" w:line="276" w:lineRule="auto"/>
      </w:pPr>
      <w:r>
        <w:rPr>
          <w:rFonts w:ascii="Times New Roman" w:hAnsi="Times New Roman"/>
          <w:b/>
          <w:sz w:val="23"/>
        </w:rPr>
        <w:t>List of Abbreviations</w:t>
      </w:r>
      <w:r>
        <w:rPr>
          <w:rFonts w:ascii="Times New Roman" w:hAnsi="Times New Roman"/>
          <w:sz w:val="20"/>
        </w:rPr>
        <w:t xml:space="preserve"> . . . . . . . . . . . . . . . . . . . . . . . . . . .  </w:t>
      </w:r>
      <w:r>
        <w:rPr>
          <w:rFonts w:ascii="Times New Roman" w:hAnsi="Times New Roman"/>
          <w:b/>
          <w:sz w:val="23"/>
        </w:rPr>
        <w:t>i</w:t>
      </w:r>
    </w:p>
    <w:p>
      <w:pPr>
        <w:spacing w:before="20" w:after="40" w:line="276" w:lineRule="auto"/>
      </w:pPr>
      <w:r>
        <w:rPr>
          <w:rFonts w:ascii="Times New Roman" w:hAnsi="Times New Roman"/>
          <w:b/>
          <w:sz w:val="23"/>
        </w:rPr>
        <w:t>List of Figures</w:t>
      </w:r>
      <w:r>
        <w:rPr>
          <w:rFonts w:ascii="Times New Roman" w:hAnsi="Times New Roman"/>
          <w:sz w:val="20"/>
        </w:rPr>
        <w:t xml:space="preserve"> . . . . . . . . . . . . . . . . . . . . . . . . . . . . . .  </w:t>
      </w:r>
      <w:r>
        <w:rPr>
          <w:rFonts w:ascii="Times New Roman" w:hAnsi="Times New Roman"/>
          <w:b/>
          <w:sz w:val="23"/>
        </w:rPr>
        <w:t>ii</w:t>
      </w:r>
    </w:p>
    <w:p>
      <w:pPr>
        <w:spacing w:before="20" w:after="40" w:line="276" w:lineRule="auto"/>
      </w:pPr>
      <w:r>
        <w:rPr>
          <w:rFonts w:ascii="Times New Roman" w:hAnsi="Times New Roman"/>
          <w:b/>
          <w:sz w:val="23"/>
        </w:rPr>
        <w:t>List of Graphs</w:t>
      </w:r>
      <w:r>
        <w:rPr>
          <w:rFonts w:ascii="Times New Roman" w:hAnsi="Times New Roman"/>
          <w:sz w:val="20"/>
        </w:rPr>
        <w:t xml:space="preserve"> . . . . . . . . . . . . . . . . . . . . . . . . . . . . . .  </w:t>
      </w:r>
      <w:r>
        <w:rPr>
          <w:rFonts w:ascii="Times New Roman" w:hAnsi="Times New Roman"/>
          <w:b/>
          <w:sz w:val="23"/>
        </w:rPr>
        <w:t>iii</w:t>
      </w:r>
    </w:p>
    <w:p>
      <w:pPr>
        <w:spacing w:before="20" w:after="40" w:line="276" w:lineRule="auto"/>
      </w:pPr>
      <w:r>
        <w:rPr>
          <w:rFonts w:ascii="Times New Roman" w:hAnsi="Times New Roman"/>
          <w:b/>
          <w:sz w:val="23"/>
        </w:rPr>
        <w:t>List of Tables</w:t>
      </w:r>
      <w:r>
        <w:rPr>
          <w:rFonts w:ascii="Times New Roman" w:hAnsi="Times New Roman"/>
          <w:sz w:val="20"/>
        </w:rPr>
        <w:t xml:space="preserve"> . . . . . . . . . . . . . . . . . . . . . . . . . . . . . .  </w:t>
      </w:r>
      <w:r>
        <w:rPr>
          <w:rFonts w:ascii="Times New Roman" w:hAnsi="Times New Roman"/>
          <w:b/>
          <w:sz w:val="23"/>
        </w:rPr>
        <w:t>iv</w:t>
      </w:r>
    </w:p>
    <w:p>
      <w:pPr>
        <w:spacing w:before="20" w:after="40" w:line="276" w:lineRule="auto"/>
      </w:pPr>
      <w:r>
        <w:rPr>
          <w:rFonts w:ascii="Times New Roman" w:hAnsi="Times New Roman"/>
          <w:b/>
          <w:sz w:val="23"/>
        </w:rPr>
        <w:t>List of Screens</w:t>
      </w:r>
      <w:r>
        <w:rPr>
          <w:rFonts w:ascii="Times New Roman" w:hAnsi="Times New Roman"/>
          <w:sz w:val="20"/>
        </w:rPr>
        <w:t xml:space="preserve"> . . . . . . . . . . . . . . . . . . . . . . . . . . . . . .  </w:t>
      </w:r>
      <w:r>
        <w:rPr>
          <w:rFonts w:ascii="Times New Roman" w:hAnsi="Times New Roman"/>
          <w:b/>
          <w:sz w:val="23"/>
        </w:rPr>
        <w:t>v</w:t>
      </w:r>
    </w:p>
    <w:p>
      <w:pPr>
        <w:spacing w:before="20" w:after="40" w:line="276" w:lineRule="auto"/>
      </w:pPr>
      <w:r>
        <w:rPr>
          <w:rFonts w:ascii="Times New Roman" w:hAnsi="Times New Roman"/>
          <w:b/>
          <w:sz w:val="23"/>
        </w:rPr>
        <w:t>CHAPTER 1: INTRODUCTION</w:t>
      </w:r>
      <w:r>
        <w:rPr>
          <w:rFonts w:ascii="Times New Roman" w:hAnsi="Times New Roman"/>
          <w:sz w:val="20"/>
        </w:rPr>
        <w:t xml:space="preserve"> . . . . . . . . . . . . . . . . . . . . . . . . . .  </w:t>
      </w:r>
      <w:r>
        <w:rPr>
          <w:rFonts w:ascii="Times New Roman" w:hAnsi="Times New Roman"/>
          <w:b/>
          <w:sz w:val="23"/>
        </w:rPr>
        <w:t>1</w:t>
      </w:r>
    </w:p>
    <w:p>
      <w:pPr>
        <w:spacing w:before="20" w:after="40" w:line="276" w:lineRule="auto"/>
      </w:pPr>
      <w:r>
        <w:rPr>
          <w:rFonts w:ascii="Times New Roman" w:hAnsi="Times New Roman"/>
          <w:b w:val="0"/>
          <w:sz w:val="22"/>
        </w:rPr>
        <w:t xml:space="preserve">    1.1 Introduction</w:t>
      </w:r>
      <w:r>
        <w:rPr>
          <w:rFonts w:ascii="Times New Roman" w:hAnsi="Times New Roman"/>
          <w:sz w:val="20"/>
        </w:rPr>
        <w:t xml:space="preserve"> . . . . . . . . . . . . . . . . . . . . . . . . . . .  </w:t>
      </w:r>
      <w:r>
        <w:rPr>
          <w:rFonts w:ascii="Times New Roman" w:hAnsi="Times New Roman"/>
          <w:b w:val="0"/>
          <w:sz w:val="22"/>
        </w:rPr>
        <w:t>1</w:t>
      </w:r>
    </w:p>
    <w:p>
      <w:pPr>
        <w:spacing w:before="20" w:after="40" w:line="276" w:lineRule="auto"/>
      </w:pPr>
      <w:r>
        <w:rPr>
          <w:rFonts w:ascii="Times New Roman" w:hAnsi="Times New Roman"/>
          <w:b w:val="0"/>
          <w:sz w:val="22"/>
        </w:rPr>
        <w:t xml:space="preserve">    1.2 Necessity</w:t>
      </w:r>
      <w:r>
        <w:rPr>
          <w:rFonts w:ascii="Times New Roman" w:hAnsi="Times New Roman"/>
          <w:sz w:val="20"/>
        </w:rPr>
        <w:t xml:space="preserve"> . . . . . . . . . . . . . . . . . . . . . . . . . . . . .  </w:t>
      </w:r>
      <w:r>
        <w:rPr>
          <w:rFonts w:ascii="Times New Roman" w:hAnsi="Times New Roman"/>
          <w:b w:val="0"/>
          <w:sz w:val="22"/>
        </w:rPr>
        <w:t>2</w:t>
      </w:r>
    </w:p>
    <w:p>
      <w:pPr>
        <w:spacing w:before="20" w:after="40" w:line="276" w:lineRule="auto"/>
      </w:pPr>
      <w:r>
        <w:rPr>
          <w:rFonts w:ascii="Times New Roman" w:hAnsi="Times New Roman"/>
          <w:b w:val="0"/>
          <w:sz w:val="22"/>
        </w:rPr>
        <w:t xml:space="preserve">    1.3 Objectives</w:t>
      </w:r>
      <w:r>
        <w:rPr>
          <w:rFonts w:ascii="Times New Roman" w:hAnsi="Times New Roman"/>
          <w:sz w:val="20"/>
        </w:rPr>
        <w:t xml:space="preserve"> . . . . . . . . . . . . . . . . . . . . . . . . . . . .  </w:t>
      </w:r>
      <w:r>
        <w:rPr>
          <w:rFonts w:ascii="Times New Roman" w:hAnsi="Times New Roman"/>
          <w:b w:val="0"/>
          <w:sz w:val="22"/>
        </w:rPr>
        <w:t>3</w:t>
      </w:r>
    </w:p>
    <w:p>
      <w:pPr>
        <w:spacing w:before="20" w:after="40" w:line="276" w:lineRule="auto"/>
      </w:pPr>
      <w:r>
        <w:rPr>
          <w:rFonts w:ascii="Times New Roman" w:hAnsi="Times New Roman"/>
          <w:b w:val="0"/>
          <w:sz w:val="22"/>
        </w:rPr>
        <w:t xml:space="preserve">    1.4 Theme of the Mini Project</w:t>
      </w:r>
      <w:r>
        <w:rPr>
          <w:rFonts w:ascii="Times New Roman" w:hAnsi="Times New Roman"/>
          <w:sz w:val="20"/>
        </w:rPr>
        <w:t xml:space="preserve"> . . . . . . . . . . . . . . . . . . . . .  </w:t>
      </w:r>
      <w:r>
        <w:rPr>
          <w:rFonts w:ascii="Times New Roman" w:hAnsi="Times New Roman"/>
          <w:b w:val="0"/>
          <w:sz w:val="22"/>
        </w:rPr>
        <w:t>4</w:t>
      </w:r>
    </w:p>
    <w:p>
      <w:pPr>
        <w:spacing w:before="20" w:after="40" w:line="276" w:lineRule="auto"/>
      </w:pPr>
      <w:r>
        <w:rPr>
          <w:rFonts w:ascii="Times New Roman" w:hAnsi="Times New Roman"/>
          <w:b w:val="0"/>
          <w:sz w:val="22"/>
        </w:rPr>
        <w:t xml:space="preserve">    1.5 Proposed System Architecture</w:t>
      </w:r>
      <w:r>
        <w:rPr>
          <w:rFonts w:ascii="Times New Roman" w:hAnsi="Times New Roman"/>
          <w:sz w:val="20"/>
        </w:rPr>
        <w:t xml:space="preserve"> . . . . . . . . . . . . . . . . . . .  </w:t>
      </w:r>
      <w:r>
        <w:rPr>
          <w:rFonts w:ascii="Times New Roman" w:hAnsi="Times New Roman"/>
          <w:b w:val="0"/>
          <w:sz w:val="22"/>
        </w:rPr>
        <w:t>5</w:t>
      </w:r>
    </w:p>
    <w:p>
      <w:pPr>
        <w:spacing w:before="20" w:after="40" w:line="276" w:lineRule="auto"/>
      </w:pPr>
      <w:r>
        <w:rPr>
          <w:rFonts w:ascii="Times New Roman" w:hAnsi="Times New Roman"/>
          <w:b/>
          <w:sz w:val="23"/>
        </w:rPr>
        <w:t>CHAPTER 2: LITERATURE SURVEY</w:t>
      </w:r>
      <w:r>
        <w:rPr>
          <w:rFonts w:ascii="Times New Roman" w:hAnsi="Times New Roman"/>
          <w:sz w:val="20"/>
        </w:rPr>
        <w:t xml:space="preserve"> . . . . . . . . . . . . . . . . . . . . . . .  </w:t>
      </w:r>
      <w:r>
        <w:rPr>
          <w:rFonts w:ascii="Times New Roman" w:hAnsi="Times New Roman"/>
          <w:b/>
          <w:sz w:val="23"/>
        </w:rPr>
        <w:t>7</w:t>
      </w:r>
    </w:p>
    <w:p>
      <w:pPr>
        <w:spacing w:before="20" w:after="40" w:line="276" w:lineRule="auto"/>
      </w:pPr>
      <w:r>
        <w:rPr>
          <w:rFonts w:ascii="Times New Roman" w:hAnsi="Times New Roman"/>
          <w:b w:val="0"/>
          <w:sz w:val="22"/>
        </w:rPr>
        <w:t xml:space="preserve">    2.1 Adaptive SLM–LLM Routing for Agentic AI Systems</w:t>
      </w:r>
      <w:r>
        <w:rPr>
          <w:rFonts w:ascii="Times New Roman" w:hAnsi="Times New Roman"/>
          <w:sz w:val="20"/>
        </w:rPr>
        <w:t xml:space="preserve"> . . . . . . . . . .  </w:t>
      </w:r>
      <w:r>
        <w:rPr>
          <w:rFonts w:ascii="Times New Roman" w:hAnsi="Times New Roman"/>
          <w:b w:val="0"/>
          <w:sz w:val="22"/>
        </w:rPr>
        <w:t>7</w:t>
      </w:r>
    </w:p>
    <w:p>
      <w:pPr>
        <w:spacing w:before="20" w:after="40" w:line="276" w:lineRule="auto"/>
      </w:pPr>
      <w:r>
        <w:rPr>
          <w:rFonts w:ascii="Times New Roman" w:hAnsi="Times New Roman"/>
          <w:b w:val="0"/>
          <w:sz w:val="22"/>
        </w:rPr>
        <w:t xml:space="preserve">    2.2 HERA: Hybrid Edge-Cloud Resource Allocation</w:t>
      </w:r>
      <w:r>
        <w:rPr>
          <w:rFonts w:ascii="Times New Roman" w:hAnsi="Times New Roman"/>
          <w:sz w:val="20"/>
        </w:rPr>
        <w:t xml:space="preserve"> . . . . . . . . . . . .  </w:t>
      </w:r>
      <w:r>
        <w:rPr>
          <w:rFonts w:ascii="Times New Roman" w:hAnsi="Times New Roman"/>
          <w:b w:val="0"/>
          <w:sz w:val="22"/>
        </w:rPr>
        <w:t>8</w:t>
      </w:r>
    </w:p>
    <w:p>
      <w:pPr>
        <w:spacing w:before="20" w:after="40" w:line="276" w:lineRule="auto"/>
      </w:pPr>
      <w:r>
        <w:rPr>
          <w:rFonts w:ascii="Times New Roman" w:hAnsi="Times New Roman"/>
          <w:b w:val="0"/>
          <w:sz w:val="22"/>
        </w:rPr>
        <w:t xml:space="preserve">    2.3 Survey on Collaborating Small and Large Language Models</w:t>
      </w:r>
      <w:r>
        <w:rPr>
          <w:rFonts w:ascii="Times New Roman" w:hAnsi="Times New Roman"/>
          <w:sz w:val="20"/>
        </w:rPr>
        <w:t xml:space="preserve"> . . . . . .  </w:t>
      </w:r>
      <w:r>
        <w:rPr>
          <w:rFonts w:ascii="Times New Roman" w:hAnsi="Times New Roman"/>
          <w:b w:val="0"/>
          <w:sz w:val="22"/>
        </w:rPr>
        <w:t>9</w:t>
      </w:r>
    </w:p>
    <w:p>
      <w:pPr>
        <w:spacing w:before="20" w:after="40" w:line="276" w:lineRule="auto"/>
      </w:pPr>
      <w:r>
        <w:rPr>
          <w:rFonts w:ascii="Times New Roman" w:hAnsi="Times New Roman"/>
          <w:b w:val="0"/>
          <w:sz w:val="22"/>
        </w:rPr>
        <w:t xml:space="preserve">    2.4 Collaborative Mechanisms Between LLMs and SLMs</w:t>
      </w:r>
      <w:r>
        <w:rPr>
          <w:rFonts w:ascii="Times New Roman" w:hAnsi="Times New Roman"/>
          <w:sz w:val="20"/>
        </w:rPr>
        <w:t xml:space="preserve"> . . . . . . . . . .  </w:t>
      </w:r>
      <w:r>
        <w:rPr>
          <w:rFonts w:ascii="Times New Roman" w:hAnsi="Times New Roman"/>
          <w:b w:val="0"/>
          <w:sz w:val="22"/>
        </w:rPr>
        <w:t>10</w:t>
      </w:r>
    </w:p>
    <w:p>
      <w:pPr>
        <w:spacing w:before="20" w:after="40" w:line="276" w:lineRule="auto"/>
      </w:pPr>
      <w:r>
        <w:rPr>
          <w:rFonts w:ascii="Times New Roman" w:hAnsi="Times New Roman"/>
          <w:b w:val="0"/>
          <w:sz w:val="22"/>
        </w:rPr>
        <w:t xml:space="preserve">    2.5 Dynamic LLM Cascades and Frugal Inference Paradigms</w:t>
      </w:r>
      <w:r>
        <w:rPr>
          <w:rFonts w:ascii="Times New Roman" w:hAnsi="Times New Roman"/>
          <w:sz w:val="20"/>
        </w:rPr>
        <w:t xml:space="preserve"> . . . . . . . .  </w:t>
      </w:r>
      <w:r>
        <w:rPr>
          <w:rFonts w:ascii="Times New Roman" w:hAnsi="Times New Roman"/>
          <w:b w:val="0"/>
          <w:sz w:val="22"/>
        </w:rPr>
        <w:t>11</w:t>
      </w:r>
    </w:p>
    <w:p>
      <w:pPr>
        <w:spacing w:before="20" w:after="40" w:line="276" w:lineRule="auto"/>
      </w:pPr>
      <w:r>
        <w:rPr>
          <w:rFonts w:ascii="Times New Roman" w:hAnsi="Times New Roman"/>
          <w:b w:val="0"/>
          <w:sz w:val="22"/>
        </w:rPr>
        <w:t xml:space="preserve">    2.6 Green AI and Data Center Carbon Accounting Telemetry</w:t>
      </w:r>
      <w:r>
        <w:rPr>
          <w:rFonts w:ascii="Times New Roman" w:hAnsi="Times New Roman"/>
          <w:sz w:val="20"/>
        </w:rPr>
        <w:t xml:space="preserve"> . . . . . . .  </w:t>
      </w:r>
      <w:r>
        <w:rPr>
          <w:rFonts w:ascii="Times New Roman" w:hAnsi="Times New Roman"/>
          <w:b w:val="0"/>
          <w:sz w:val="22"/>
        </w:rPr>
        <w:t>12</w:t>
      </w:r>
    </w:p>
    <w:p>
      <w:pPr>
        <w:spacing w:before="20" w:after="40" w:line="276" w:lineRule="auto"/>
      </w:pPr>
      <w:r>
        <w:rPr>
          <w:rFonts w:ascii="Times New Roman" w:hAnsi="Times New Roman"/>
          <w:b w:val="0"/>
          <w:sz w:val="22"/>
        </w:rPr>
        <w:t xml:space="preserve">    2.7 Knowledge Distillation &amp; Transformer Compression (DistilBERT)</w:t>
      </w:r>
      <w:r>
        <w:rPr>
          <w:rFonts w:ascii="Times New Roman" w:hAnsi="Times New Roman"/>
          <w:sz w:val="20"/>
        </w:rPr>
        <w:t xml:space="preserve"> . . .  </w:t>
      </w:r>
      <w:r>
        <w:rPr>
          <w:rFonts w:ascii="Times New Roman" w:hAnsi="Times New Roman"/>
          <w:b w:val="0"/>
          <w:sz w:val="22"/>
        </w:rPr>
        <w:t>13</w:t>
      </w:r>
    </w:p>
    <w:p>
      <w:pPr>
        <w:spacing w:before="20" w:after="40" w:line="276" w:lineRule="auto"/>
      </w:pPr>
      <w:r>
        <w:rPr>
          <w:rFonts w:ascii="Times New Roman" w:hAnsi="Times New Roman"/>
          <w:b w:val="0"/>
          <w:sz w:val="22"/>
        </w:rPr>
        <w:t xml:space="preserve">    2.8 Comparative Literature Analysis &amp; Synthesis Matrix</w:t>
      </w:r>
      <w:r>
        <w:rPr>
          <w:rFonts w:ascii="Times New Roman" w:hAnsi="Times New Roman"/>
          <w:sz w:val="20"/>
        </w:rPr>
        <w:t xml:space="preserve"> . . . . . . . .  </w:t>
      </w:r>
      <w:r>
        <w:rPr>
          <w:rFonts w:ascii="Times New Roman" w:hAnsi="Times New Roman"/>
          <w:b w:val="0"/>
          <w:sz w:val="22"/>
        </w:rPr>
        <w:t>14</w:t>
      </w:r>
    </w:p>
    <w:p>
      <w:pPr>
        <w:spacing w:before="20" w:after="40" w:line="276" w:lineRule="auto"/>
      </w:pPr>
      <w:r>
        <w:rPr>
          <w:rFonts w:ascii="Times New Roman" w:hAnsi="Times New Roman"/>
          <w:b w:val="0"/>
          <w:sz w:val="22"/>
        </w:rPr>
        <w:t xml:space="preserve">    2.9 Research Gap &amp; Problem Formulation</w:t>
      </w:r>
      <w:r>
        <w:rPr>
          <w:rFonts w:ascii="Times New Roman" w:hAnsi="Times New Roman"/>
          <w:sz w:val="20"/>
        </w:rPr>
        <w:t xml:space="preserve"> . . . . . . . . . . . . . . . .  </w:t>
      </w:r>
      <w:r>
        <w:rPr>
          <w:rFonts w:ascii="Times New Roman" w:hAnsi="Times New Roman"/>
          <w:b w:val="0"/>
          <w:sz w:val="22"/>
        </w:rPr>
        <w:t>15</w:t>
      </w:r>
    </w:p>
    <w:p>
      <w:pPr>
        <w:spacing w:before="20" w:after="40" w:line="276" w:lineRule="auto"/>
      </w:pPr>
      <w:r>
        <w:rPr>
          <w:rFonts w:ascii="Times New Roman" w:hAnsi="Times New Roman"/>
          <w:b/>
          <w:sz w:val="23"/>
        </w:rPr>
        <w:t>CHAPTER 3: SYSTEM DEVELOPMENT</w:t>
      </w:r>
      <w:r>
        <w:rPr>
          <w:rFonts w:ascii="Times New Roman" w:hAnsi="Times New Roman"/>
          <w:sz w:val="20"/>
        </w:rPr>
        <w:t xml:space="preserve"> . . . . . . . . . . . . . . . . . . . . . . .  </w:t>
      </w:r>
      <w:r>
        <w:rPr>
          <w:rFonts w:ascii="Times New Roman" w:hAnsi="Times New Roman"/>
          <w:b/>
          <w:sz w:val="23"/>
        </w:rPr>
        <w:t>16</w:t>
      </w:r>
    </w:p>
    <w:p>
      <w:pPr>
        <w:spacing w:before="20" w:after="40" w:line="276" w:lineRule="auto"/>
      </w:pPr>
      <w:r>
        <w:rPr>
          <w:rFonts w:ascii="Times New Roman" w:hAnsi="Times New Roman"/>
          <w:b w:val="0"/>
          <w:sz w:val="22"/>
        </w:rPr>
        <w:t xml:space="preserve">    3.1 Requirement Specification</w:t>
      </w:r>
      <w:r>
        <w:rPr>
          <w:rFonts w:ascii="Times New Roman" w:hAnsi="Times New Roman"/>
          <w:sz w:val="20"/>
        </w:rPr>
        <w:t xml:space="preserve"> . . . . . . . . . . . . . . . . . . . . .  </w:t>
      </w:r>
      <w:r>
        <w:rPr>
          <w:rFonts w:ascii="Times New Roman" w:hAnsi="Times New Roman"/>
          <w:b w:val="0"/>
          <w:sz w:val="22"/>
        </w:rPr>
        <w:t>16</w:t>
      </w:r>
    </w:p>
    <w:p>
      <w:pPr>
        <w:spacing w:before="20" w:after="40" w:line="276" w:lineRule="auto"/>
      </w:pPr>
      <w:r>
        <w:rPr>
          <w:rFonts w:ascii="Times New Roman" w:hAnsi="Times New Roman"/>
          <w:b w:val="0"/>
          <w:sz w:val="22"/>
        </w:rPr>
        <w:t xml:space="preserve">        3.1.1 Hardware Requirements</w:t>
      </w:r>
      <w:r>
        <w:rPr>
          <w:rFonts w:ascii="Times New Roman" w:hAnsi="Times New Roman"/>
          <w:sz w:val="20"/>
        </w:rPr>
        <w:t xml:space="preserve"> . . . . . . . . . . . . . . . . . . . .  </w:t>
      </w:r>
      <w:r>
        <w:rPr>
          <w:rFonts w:ascii="Times New Roman" w:hAnsi="Times New Roman"/>
          <w:b w:val="0"/>
          <w:sz w:val="22"/>
        </w:rPr>
        <w:t>16</w:t>
      </w:r>
    </w:p>
    <w:p>
      <w:pPr>
        <w:spacing w:before="20" w:after="40" w:line="276" w:lineRule="auto"/>
      </w:pPr>
      <w:r>
        <w:rPr>
          <w:rFonts w:ascii="Times New Roman" w:hAnsi="Times New Roman"/>
          <w:b w:val="0"/>
          <w:sz w:val="22"/>
        </w:rPr>
        <w:t xml:space="preserve">        3.1.2 Software Requirements &amp; Technology Stack</w:t>
      </w:r>
      <w:r>
        <w:rPr>
          <w:rFonts w:ascii="Times New Roman" w:hAnsi="Times New Roman"/>
          <w:sz w:val="20"/>
        </w:rPr>
        <w:t xml:space="preserve"> . . . . . . . . . .  </w:t>
      </w:r>
      <w:r>
        <w:rPr>
          <w:rFonts w:ascii="Times New Roman" w:hAnsi="Times New Roman"/>
          <w:b w:val="0"/>
          <w:sz w:val="22"/>
        </w:rPr>
        <w:t>17</w:t>
      </w:r>
    </w:p>
    <w:p>
      <w:pPr>
        <w:spacing w:before="20" w:after="40" w:line="276" w:lineRule="auto"/>
      </w:pPr>
      <w:r>
        <w:rPr>
          <w:rFonts w:ascii="Times New Roman" w:hAnsi="Times New Roman"/>
          <w:b w:val="0"/>
          <w:sz w:val="22"/>
        </w:rPr>
        <w:t xml:space="preserve">        3.1.3 Functional Requirements (FR1 to FR10)</w:t>
      </w:r>
      <w:r>
        <w:rPr>
          <w:rFonts w:ascii="Times New Roman" w:hAnsi="Times New Roman"/>
          <w:sz w:val="20"/>
        </w:rPr>
        <w:t xml:space="preserve"> . . . . . . . . . . . .  </w:t>
      </w:r>
      <w:r>
        <w:rPr>
          <w:rFonts w:ascii="Times New Roman" w:hAnsi="Times New Roman"/>
          <w:b w:val="0"/>
          <w:sz w:val="22"/>
        </w:rPr>
        <w:t>18</w:t>
      </w:r>
    </w:p>
    <w:p>
      <w:pPr>
        <w:spacing w:before="20" w:after="40" w:line="276" w:lineRule="auto"/>
      </w:pPr>
      <w:r>
        <w:rPr>
          <w:rFonts w:ascii="Times New Roman" w:hAnsi="Times New Roman"/>
          <w:b w:val="0"/>
          <w:sz w:val="22"/>
        </w:rPr>
        <w:t xml:space="preserve">        3.1.4 Non-Functional Requirements (NFR1 to NFR8)</w:t>
      </w:r>
      <w:r>
        <w:rPr>
          <w:rFonts w:ascii="Times New Roman" w:hAnsi="Times New Roman"/>
          <w:sz w:val="20"/>
        </w:rPr>
        <w:t xml:space="preserve"> . . . . . . . . .  </w:t>
      </w:r>
      <w:r>
        <w:rPr>
          <w:rFonts w:ascii="Times New Roman" w:hAnsi="Times New Roman"/>
          <w:b w:val="0"/>
          <w:sz w:val="22"/>
        </w:rPr>
        <w:t>19</w:t>
      </w:r>
    </w:p>
    <w:p>
      <w:pPr>
        <w:spacing w:before="20" w:after="40" w:line="276" w:lineRule="auto"/>
      </w:pPr>
      <w:r>
        <w:rPr>
          <w:rFonts w:ascii="Times New Roman" w:hAnsi="Times New Roman"/>
          <w:b w:val="0"/>
          <w:sz w:val="22"/>
        </w:rPr>
        <w:t xml:space="preserve">        3.1.5 Data Flow Diagrams (DFD Level 0, Level 1, Level 2)</w:t>
      </w:r>
      <w:r>
        <w:rPr>
          <w:rFonts w:ascii="Times New Roman" w:hAnsi="Times New Roman"/>
          <w:sz w:val="20"/>
        </w:rPr>
        <w:t xml:space="preserve"> . . . . .  </w:t>
      </w:r>
      <w:r>
        <w:rPr>
          <w:rFonts w:ascii="Times New Roman" w:hAnsi="Times New Roman"/>
          <w:b w:val="0"/>
          <w:sz w:val="22"/>
        </w:rPr>
        <w:t>20</w:t>
      </w:r>
    </w:p>
    <w:p>
      <w:pPr>
        <w:spacing w:before="20" w:after="40" w:line="276" w:lineRule="auto"/>
      </w:pPr>
      <w:r>
        <w:rPr>
          <w:rFonts w:ascii="Times New Roman" w:hAnsi="Times New Roman"/>
          <w:b w:val="0"/>
          <w:sz w:val="22"/>
        </w:rPr>
        <w:t xml:space="preserve">        3.1.6 Specification Document &amp; UML Diagrams of all Modules</w:t>
      </w:r>
      <w:r>
        <w:rPr>
          <w:rFonts w:ascii="Times New Roman" w:hAnsi="Times New Roman"/>
          <w:sz w:val="20"/>
        </w:rPr>
        <w:t xml:space="preserve"> . . . .  </w:t>
      </w:r>
      <w:r>
        <w:rPr>
          <w:rFonts w:ascii="Times New Roman" w:hAnsi="Times New Roman"/>
          <w:b w:val="0"/>
          <w:sz w:val="22"/>
        </w:rPr>
        <w:t>24</w:t>
      </w:r>
    </w:p>
    <w:p>
      <w:pPr>
        <w:spacing w:before="20" w:after="40" w:line="276" w:lineRule="auto"/>
      </w:pPr>
      <w:r>
        <w:rPr>
          <w:rFonts w:ascii="Times New Roman" w:hAnsi="Times New Roman"/>
          <w:b w:val="0"/>
          <w:sz w:val="22"/>
        </w:rPr>
        <w:t xml:space="preserve">    3.2 User Interface Design</w:t>
      </w:r>
      <w:r>
        <w:rPr>
          <w:rFonts w:ascii="Times New Roman" w:hAnsi="Times New Roman"/>
          <w:sz w:val="20"/>
        </w:rPr>
        <w:t xml:space="preserve"> . . . . . . . . . . . . . . . . . . . . . . .  </w:t>
      </w:r>
      <w:r>
        <w:rPr>
          <w:rFonts w:ascii="Times New Roman" w:hAnsi="Times New Roman"/>
          <w:b w:val="0"/>
          <w:sz w:val="22"/>
        </w:rPr>
        <w:t>38</w:t>
      </w:r>
    </w:p>
    <w:p>
      <w:pPr>
        <w:spacing w:before="20" w:after="40" w:line="276" w:lineRule="auto"/>
      </w:pPr>
      <w:r>
        <w:rPr>
          <w:rFonts w:ascii="Times New Roman" w:hAnsi="Times New Roman"/>
          <w:b w:val="0"/>
          <w:sz w:val="22"/>
        </w:rPr>
        <w:t xml:space="preserve">    3.3 Database Design / ER Diagrams</w:t>
      </w:r>
      <w:r>
        <w:rPr>
          <w:rFonts w:ascii="Times New Roman" w:hAnsi="Times New Roman"/>
          <w:sz w:val="20"/>
        </w:rPr>
        <w:t xml:space="preserve"> . . . . . . . . . . . . . . . . . . .  </w:t>
      </w:r>
      <w:r>
        <w:rPr>
          <w:rFonts w:ascii="Times New Roman" w:hAnsi="Times New Roman"/>
          <w:b w:val="0"/>
          <w:sz w:val="22"/>
        </w:rPr>
        <w:t>40</w:t>
      </w:r>
    </w:p>
    <w:p>
      <w:pPr>
        <w:spacing w:before="20" w:after="40" w:line="276" w:lineRule="auto"/>
      </w:pPr>
      <w:r>
        <w:rPr>
          <w:rFonts w:ascii="Times New Roman" w:hAnsi="Times New Roman"/>
          <w:b/>
          <w:sz w:val="23"/>
        </w:rPr>
        <w:t>CHAPTER 4: PERFORMANCE EVALUATION</w:t>
      </w:r>
      <w:r>
        <w:rPr>
          <w:rFonts w:ascii="Times New Roman" w:hAnsi="Times New Roman"/>
          <w:sz w:val="20"/>
        </w:rPr>
        <w:t xml:space="preserve"> . . . . . . . . . . . . . . . . . . . . .  </w:t>
      </w:r>
      <w:r>
        <w:rPr>
          <w:rFonts w:ascii="Times New Roman" w:hAnsi="Times New Roman"/>
          <w:b/>
          <w:sz w:val="23"/>
        </w:rPr>
        <w:t>44</w:t>
      </w:r>
    </w:p>
    <w:p>
      <w:pPr>
        <w:spacing w:before="20" w:after="40" w:line="276" w:lineRule="auto"/>
      </w:pPr>
      <w:r>
        <w:rPr>
          <w:rFonts w:ascii="Times New Roman" w:hAnsi="Times New Roman"/>
          <w:b w:val="0"/>
          <w:sz w:val="22"/>
        </w:rPr>
        <w:t xml:space="preserve">    4.1 Experimental Setup &amp; Evaluation Methodology</w:t>
      </w:r>
      <w:r>
        <w:rPr>
          <w:rFonts w:ascii="Times New Roman" w:hAnsi="Times New Roman"/>
          <w:sz w:val="20"/>
        </w:rPr>
        <w:t xml:space="preserve"> . . . . . . . . . . . .  </w:t>
      </w:r>
      <w:r>
        <w:rPr>
          <w:rFonts w:ascii="Times New Roman" w:hAnsi="Times New Roman"/>
          <w:b w:val="0"/>
          <w:sz w:val="22"/>
        </w:rPr>
        <w:t>44</w:t>
      </w:r>
    </w:p>
    <w:p>
      <w:pPr>
        <w:spacing w:before="20" w:after="40" w:line="276" w:lineRule="auto"/>
      </w:pPr>
      <w:r>
        <w:rPr>
          <w:rFonts w:ascii="Times New Roman" w:hAnsi="Times New Roman"/>
          <w:b w:val="0"/>
          <w:sz w:val="22"/>
        </w:rPr>
        <w:t xml:space="preserve">    4.2 Classifier Benchmarking &amp; Comparative Accuracy Analysis</w:t>
      </w:r>
      <w:r>
        <w:rPr>
          <w:rFonts w:ascii="Times New Roman" w:hAnsi="Times New Roman"/>
          <w:sz w:val="20"/>
        </w:rPr>
        <w:t xml:space="preserve"> . . . . . .  </w:t>
      </w:r>
      <w:r>
        <w:rPr>
          <w:rFonts w:ascii="Times New Roman" w:hAnsi="Times New Roman"/>
          <w:b w:val="0"/>
          <w:sz w:val="22"/>
        </w:rPr>
        <w:t>45</w:t>
      </w:r>
    </w:p>
    <w:p>
      <w:pPr>
        <w:spacing w:before="20" w:after="40" w:line="276" w:lineRule="auto"/>
      </w:pPr>
      <w:r>
        <w:rPr>
          <w:rFonts w:ascii="Times New Roman" w:hAnsi="Times New Roman"/>
          <w:b w:val="0"/>
          <w:sz w:val="22"/>
        </w:rPr>
        <w:t xml:space="preserve">    4.3 Routing Offload Distribution &amp; Workload Division</w:t>
      </w:r>
      <w:r>
        <w:rPr>
          <w:rFonts w:ascii="Times New Roman" w:hAnsi="Times New Roman"/>
          <w:sz w:val="20"/>
        </w:rPr>
        <w:t xml:space="preserve"> . . . . . . . . .  </w:t>
      </w:r>
      <w:r>
        <w:rPr>
          <w:rFonts w:ascii="Times New Roman" w:hAnsi="Times New Roman"/>
          <w:b w:val="0"/>
          <w:sz w:val="22"/>
        </w:rPr>
        <w:t>46</w:t>
      </w:r>
    </w:p>
    <w:p>
      <w:pPr>
        <w:spacing w:before="20" w:after="40" w:line="276" w:lineRule="auto"/>
      </w:pPr>
      <w:r>
        <w:rPr>
          <w:rFonts w:ascii="Times New Roman" w:hAnsi="Times New Roman"/>
          <w:b w:val="0"/>
          <w:sz w:val="22"/>
        </w:rPr>
        <w:t xml:space="preserve">    4.4 End-to-End Latency &amp; Response Time Evaluation</w:t>
      </w:r>
      <w:r>
        <w:rPr>
          <w:rFonts w:ascii="Times New Roman" w:hAnsi="Times New Roman"/>
          <w:sz w:val="20"/>
        </w:rPr>
        <w:t xml:space="preserve"> . . . . . . . . . . .  </w:t>
      </w:r>
      <w:r>
        <w:rPr>
          <w:rFonts w:ascii="Times New Roman" w:hAnsi="Times New Roman"/>
          <w:b w:val="0"/>
          <w:sz w:val="22"/>
        </w:rPr>
        <w:t>47</w:t>
      </w:r>
    </w:p>
    <w:p>
      <w:pPr>
        <w:spacing w:before="20" w:after="40" w:line="276" w:lineRule="auto"/>
      </w:pPr>
      <w:r>
        <w:rPr>
          <w:rFonts w:ascii="Times New Roman" w:hAnsi="Times New Roman"/>
          <w:b w:val="0"/>
          <w:sz w:val="22"/>
        </w:rPr>
        <w:t xml:space="preserve">    4.5 Economic &amp; Financial Cost Reduction Analysis</w:t>
      </w:r>
      <w:r>
        <w:rPr>
          <w:rFonts w:ascii="Times New Roman" w:hAnsi="Times New Roman"/>
          <w:sz w:val="20"/>
        </w:rPr>
        <w:t xml:space="preserve"> . . . . . . . . . . .  </w:t>
      </w:r>
      <w:r>
        <w:rPr>
          <w:rFonts w:ascii="Times New Roman" w:hAnsi="Times New Roman"/>
          <w:b w:val="0"/>
          <w:sz w:val="22"/>
        </w:rPr>
        <w:t>48</w:t>
      </w:r>
    </w:p>
    <w:p>
      <w:pPr>
        <w:spacing w:before="20" w:after="40" w:line="276" w:lineRule="auto"/>
      </w:pPr>
      <w:r>
        <w:rPr>
          <w:rFonts w:ascii="Times New Roman" w:hAnsi="Times New Roman"/>
          <w:b w:val="0"/>
          <w:sz w:val="22"/>
        </w:rPr>
        <w:t xml:space="preserve">    4.6 Sustainability &amp; Carbon Emission Reduction Evaluation</w:t>
      </w:r>
      <w:r>
        <w:rPr>
          <w:rFonts w:ascii="Times New Roman" w:hAnsi="Times New Roman"/>
          <w:sz w:val="20"/>
        </w:rPr>
        <w:t xml:space="preserve"> . . . . . . .  </w:t>
      </w:r>
      <w:r>
        <w:rPr>
          <w:rFonts w:ascii="Times New Roman" w:hAnsi="Times New Roman"/>
          <w:b w:val="0"/>
          <w:sz w:val="22"/>
        </w:rPr>
        <w:t>50</w:t>
      </w:r>
    </w:p>
    <w:p>
      <w:pPr>
        <w:spacing w:before="20" w:after="40" w:line="276" w:lineRule="auto"/>
      </w:pPr>
      <w:r>
        <w:rPr>
          <w:rFonts w:ascii="Times New Roman" w:hAnsi="Times New Roman"/>
          <w:b w:val="0"/>
          <w:sz w:val="22"/>
        </w:rPr>
        <w:t xml:space="preserve">    4.7 Resilient Fallback &amp; Fault Tolerance Stress Testing</w:t>
      </w:r>
      <w:r>
        <w:rPr>
          <w:rFonts w:ascii="Times New Roman" w:hAnsi="Times New Roman"/>
          <w:sz w:val="20"/>
        </w:rPr>
        <w:t xml:space="preserve"> . . . . . . . .  </w:t>
      </w:r>
      <w:r>
        <w:rPr>
          <w:rFonts w:ascii="Times New Roman" w:hAnsi="Times New Roman"/>
          <w:b w:val="0"/>
          <w:sz w:val="22"/>
        </w:rPr>
        <w:t>51</w:t>
      </w:r>
    </w:p>
    <w:p>
      <w:pPr>
        <w:spacing w:before="20" w:after="40" w:line="276" w:lineRule="auto"/>
      </w:pPr>
      <w:r>
        <w:rPr>
          <w:rFonts w:ascii="Times New Roman" w:hAnsi="Times New Roman"/>
          <w:b w:val="0"/>
          <w:sz w:val="22"/>
        </w:rPr>
        <w:t xml:space="preserve">    4.8 Critical Error Analysis, Limitations &amp; Brevity Bias Study</w:t>
      </w:r>
      <w:r>
        <w:rPr>
          <w:rFonts w:ascii="Times New Roman" w:hAnsi="Times New Roman"/>
          <w:sz w:val="20"/>
        </w:rPr>
        <w:t xml:space="preserve"> . . . . .  </w:t>
      </w:r>
      <w:r>
        <w:rPr>
          <w:rFonts w:ascii="Times New Roman" w:hAnsi="Times New Roman"/>
          <w:b w:val="0"/>
          <w:sz w:val="22"/>
        </w:rPr>
        <w:t>52</w:t>
      </w:r>
    </w:p>
    <w:p>
      <w:pPr>
        <w:spacing w:before="20" w:after="40" w:line="276" w:lineRule="auto"/>
      </w:pPr>
      <w:r>
        <w:rPr>
          <w:rFonts w:ascii="Times New Roman" w:hAnsi="Times New Roman"/>
          <w:b/>
          <w:sz w:val="23"/>
        </w:rPr>
        <w:t>CHAPTER 5: CONCLUSION &amp; FUTURE SCOPE</w:t>
      </w:r>
      <w:r>
        <w:rPr>
          <w:rFonts w:ascii="Times New Roman" w:hAnsi="Times New Roman"/>
          <w:sz w:val="20"/>
        </w:rPr>
        <w:t xml:space="preserve"> . . . . . . . . . . . . . . . . . . .  </w:t>
      </w:r>
      <w:r>
        <w:rPr>
          <w:rFonts w:ascii="Times New Roman" w:hAnsi="Times New Roman"/>
          <w:b/>
          <w:sz w:val="23"/>
        </w:rPr>
        <w:t>54</w:t>
      </w:r>
    </w:p>
    <w:p>
      <w:pPr>
        <w:spacing w:before="20" w:after="40" w:line="276" w:lineRule="auto"/>
      </w:pPr>
      <w:r>
        <w:rPr>
          <w:rFonts w:ascii="Times New Roman" w:hAnsi="Times New Roman"/>
          <w:b w:val="0"/>
          <w:sz w:val="22"/>
        </w:rPr>
        <w:t xml:space="preserve">    5.1 Conclusion</w:t>
      </w:r>
      <w:r>
        <w:rPr>
          <w:rFonts w:ascii="Times New Roman" w:hAnsi="Times New Roman"/>
          <w:sz w:val="20"/>
        </w:rPr>
        <w:t xml:space="preserve"> . . . . . . . . . . . . . . . . . . . . . . . . . . . .  </w:t>
      </w:r>
      <w:r>
        <w:rPr>
          <w:rFonts w:ascii="Times New Roman" w:hAnsi="Times New Roman"/>
          <w:b w:val="0"/>
          <w:sz w:val="22"/>
        </w:rPr>
        <w:t>54</w:t>
      </w:r>
    </w:p>
    <w:p>
      <w:pPr>
        <w:spacing w:before="20" w:after="40" w:line="276" w:lineRule="auto"/>
      </w:pPr>
      <w:r>
        <w:rPr>
          <w:rFonts w:ascii="Times New Roman" w:hAnsi="Times New Roman"/>
          <w:b w:val="0"/>
          <w:sz w:val="22"/>
        </w:rPr>
        <w:t xml:space="preserve">    5.2 Future Scope</w:t>
      </w:r>
      <w:r>
        <w:rPr>
          <w:rFonts w:ascii="Times New Roman" w:hAnsi="Times New Roman"/>
          <w:sz w:val="20"/>
        </w:rPr>
        <w:t xml:space="preserve"> . . . . . . . . . . . . . . . . . . . . . . . . . . .  </w:t>
      </w:r>
      <w:r>
        <w:rPr>
          <w:rFonts w:ascii="Times New Roman" w:hAnsi="Times New Roman"/>
          <w:b w:val="0"/>
          <w:sz w:val="22"/>
        </w:rPr>
        <w:t>55</w:t>
      </w:r>
    </w:p>
    <w:p>
      <w:pPr>
        <w:spacing w:before="20" w:after="40" w:line="276" w:lineRule="auto"/>
      </w:pPr>
      <w:r>
        <w:rPr>
          <w:rFonts w:ascii="Times New Roman" w:hAnsi="Times New Roman"/>
          <w:b/>
          <w:sz w:val="23"/>
        </w:rPr>
        <w:t>REFERENCES</w:t>
      </w:r>
      <w:r>
        <w:rPr>
          <w:rFonts w:ascii="Times New Roman" w:hAnsi="Times New Roman"/>
          <w:sz w:val="20"/>
        </w:rPr>
        <w:t xml:space="preserve"> . . . . . . . . . . . . . . . . . . . . . . . . . . . . . . . .  </w:t>
      </w:r>
      <w:r>
        <w:rPr>
          <w:rFonts w:ascii="Times New Roman" w:hAnsi="Times New Roman"/>
          <w:b/>
          <w:sz w:val="23"/>
        </w:rPr>
        <w:t>56</w:t>
      </w:r>
    </w:p>
    <w:p>
      <w:pPr>
        <w:spacing w:before="20" w:after="40" w:line="276" w:lineRule="auto"/>
      </w:pPr>
      <w:r>
        <w:rPr>
          <w:rFonts w:ascii="Times New Roman" w:hAnsi="Times New Roman"/>
          <w:b/>
          <w:sz w:val="23"/>
        </w:rPr>
        <w:t>ACKNOWLEDGEMENT</w:t>
      </w:r>
      <w:r>
        <w:rPr>
          <w:rFonts w:ascii="Times New Roman" w:hAnsi="Times New Roman"/>
          <w:sz w:val="20"/>
        </w:rPr>
        <w:t xml:space="preserve"> . . . . . . . . . . . . . . . . . . . . . . . . . . . . . .  </w:t>
      </w:r>
      <w:r>
        <w:rPr>
          <w:rFonts w:ascii="Times New Roman" w:hAnsi="Times New Roman"/>
          <w:b/>
          <w:sz w:val="23"/>
        </w:rPr>
        <w:t>58</w:t>
      </w:r>
    </w:p>
    <w:p>
      <w:r>
        <w:br w:type="page"/>
      </w:r>
    </w:p>
    <w:p>
      <w:pPr>
        <w:spacing w:before="300" w:after="300" w:line="276" w:lineRule="auto"/>
        <w:jc w:val="center"/>
      </w:pPr>
      <w:r>
        <w:rPr>
          <w:rFonts w:ascii="Times New Roman" w:hAnsi="Times New Roman"/>
          <w:b/>
          <w:i w:val="0"/>
          <w:color w:val="000000"/>
          <w:sz w:val="32"/>
        </w:rPr>
        <w:t>List of Abbreviations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Sr. No.</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Acronym</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Abbreviation / Definition</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SLM</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Small Language Model (1B - 7B parameter open-weights models)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LLM</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Large Language Model (70B+ parameter frontier models)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API</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Application Programming Interface</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REST</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Representational State Transfer (HTTP stateless architectural style)</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5</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JSON</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JavaScript Object Notation</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6</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HTTP</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Hypertext Transfer Protocol</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7</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DFD</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Data Flow Diagram (Gane-Sarson / Yourdon structured notation)</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8</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UML</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Unified Modeling Language (OMG Standard for software modeling)</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9</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ER</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Entity-Relationship (Relational database conceptual model)</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10</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TF-IDF</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Term Frequency - Inverse Document Frequency</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11</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NLP</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Natural Language Processing</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12</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BERT</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Bidirectional Encoder Representations from Transformers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13</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DistilBERT</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Distilled Bidirectional Encoder Representations from Transformers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14</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LPU</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Language Processing Unit (Groq custom tensor accelerator)</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RAPL</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Running Average Power Limit (Hardware power telemetry interface)</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16</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TDP</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Thermal Design Power (Hardware maximum baseline power profile)</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17</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GPU</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Graphics Processing Unit</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18</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CPU</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Central Processing Unit</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19</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RAM</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Random Access Memory</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20</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SQLite</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Structured Query Language Lite (Self-contained serverless RDBMS)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21</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KPI</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Key Performance Indicator</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22</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CO2</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Carbon Dioxide (Greenhouse gas equivalent emissions)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23</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kWh</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Kilowatt-Hour (Metric unit of electrical energy)</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24</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GGUF</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GPT-Generated Unified Format (Quantized model binary container)</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25</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LRU</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Least Recently Used (Cache eviction policy)</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26</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ASGI</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Asynchronous Server Gateway Interface (Python standard for async servers)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27</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WSGI</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Web Server Gateway Interface (Python legacy synchronous web standard)</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28</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DDL</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Data Definition Language (SQL schema creation statements)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29</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CV</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Cross-Validation (Statistical resampling model evaluation)</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30</w:t>
            </w:r>
          </w:p>
        </w:tc>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OOD</w:t>
            </w:r>
          </w:p>
        </w:tc>
        <w:tc>
          <w:tcPr>
            <w:tcW w:type="dxa" w:w="57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Out-of-Distribution (Data differing from training distribution)</w:t>
            </w:r>
          </w:p>
        </w:tc>
      </w:tr>
    </w:tbl>
    <w:p>
      <w:r>
        <w:br w:type="page"/>
      </w:r>
    </w:p>
    <w:p>
      <w:pPr>
        <w:spacing w:before="300" w:after="300" w:line="276" w:lineRule="auto"/>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Figure No.</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Illustration Description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Page No.</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1.1</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Hybrid SLM-LLM Router Gateway Architecture Overview</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10</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3.1</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Data Flow Diagram (DFD) - Level 0: Context Level Diagram</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18</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3.2</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Data Flow Diagram (DFD) - Level 1: Subsystem Functional Decomposition</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20</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3.3</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Data Flow Diagram (DFD) - Level 2: Micro Process Decomposition (Classification &amp; Dispatch)</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22</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3.4</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UML Use Case Diagram: Actor Roles and System Functional Boundaries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24</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3.5</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UML Class Diagram: Object-Oriented Software Architecture and Interfaces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26</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3.6</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UML Sequence Diagram: Dual-Path Execution with Automated Failover</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28</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3.7</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UML Activity Diagram: Dynamic Decision Flow and Fallback Lifecycle</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30</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3.8</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UML Component Diagram: Multi-Tier Architectural Packages and Dependencies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32</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3.9</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UML State Machine Diagram: Request Lifecycle States and Transitions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34</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3.10</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Relational Database Entity-Relationship (ER) Diagram (requests_log Table)</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40</w:t>
            </w:r>
          </w:p>
        </w:tc>
      </w:tr>
    </w:tbl>
    <w:p>
      <w:r>
        <w:br w:type="page"/>
      </w:r>
    </w:p>
    <w:p>
      <w:pPr>
        <w:spacing w:before="300" w:after="300" w:line="276" w:lineRule="auto"/>
        <w:jc w:val="center"/>
      </w:pPr>
      <w:r>
        <w:rPr>
          <w:rFonts w:ascii="Times New Roman" w:hAnsi="Times New Roman"/>
          <w:b/>
          <w:i w:val="0"/>
          <w:color w:val="000000"/>
          <w:sz w:val="32"/>
        </w:rPr>
        <w:t>List of Graphs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Graph No.</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Illustration Description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Page No.</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4.1</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Complexity Classifier Accuracy Benchmark (Heuristic vs. TF-IDF vs. DistilBERT)</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44</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4.2</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Workload Offload Distribution (60.0% Local SLM vs. 40.0% Cloud LLM)</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46</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4.3</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Average Response Latency Comparison (Local CPU vs. Cloud LPU / Gemini)</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47</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4.4</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Financial Expenditure Comparison (Actual Hybrid Architecture vs. 100% Cloud Baseline)</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49</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4.5</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Environmental Carbon Emissions Footprint (Actual vs. 100% Cloud Counterfactual)</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50</w:t>
            </w:r>
          </w:p>
        </w:tc>
      </w:tr>
    </w:tbl>
    <w:p>
      <w:r>
        <w:br w:type="page"/>
      </w:r>
    </w:p>
    <w:p>
      <w:pPr>
        <w:spacing w:before="300" w:after="300" w:line="276" w:lineRule="auto"/>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Table No.</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Illustration Description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Page No.</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2.1</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Comparative Literature Survey &amp; Synthesis Matrix</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3.1</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Hardware Development &amp; Deployment Testbed Specifications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16</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3.2</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Software Technology Stack, Frameworks &amp; Dependency Specifications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17</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3.3</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System Functional Requirements Specification (FR1 to FR10)</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18</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3.4</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System Non-Functional Requirements Specification (NFR1 to NFR8)</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19</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3.5</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Training Dataset Evolution and Version Comparison (v1 to Final)</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36</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3.6</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Curated 8-Category Prompt Distribution (training_final.csv)</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37</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3.7</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Relational Database Schema Data Dictionary (requests_log Table)</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41</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4.1</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Classifier Accuracy, Cross-Validation, and Unseen Benchmark Evaluation</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45</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4.2</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Experimental Execution Audit Log Across 15 Diverse Benchmark Queries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48</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4.3</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Fault Tolerance and Resilient Failover Stress Testing Results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51</w:t>
            </w:r>
          </w:p>
        </w:tc>
      </w:tr>
    </w:tbl>
    <w:p>
      <w:r>
        <w:br w:type="page"/>
      </w:r>
    </w:p>
    <w:p>
      <w:pPr>
        <w:spacing w:before="300" w:after="300" w:line="276" w:lineRule="auto"/>
        <w:jc w:val="center"/>
      </w:pPr>
      <w:r>
        <w:rPr>
          <w:rFonts w:ascii="Times New Roman" w:hAnsi="Times New Roman"/>
          <w:b/>
          <w:i w:val="0"/>
          <w:color w:val="000000"/>
          <w:sz w:val="32"/>
        </w:rPr>
        <w:t>List of Screens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Screen No.</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Illustration Description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Page No.</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3.1</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Interactive Prompt Routing Playground &amp; Real-Time Request Journey Trace</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37</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3.2</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System-Wide Operational KPIs &amp; Workload Distribution Analytics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38</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3.3</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Financial Impact &amp; Cumulative Savings Trends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38</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3.4</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Environmental Carbon Accounting &amp; Live Historical Request Audit Log</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39</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3.5</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FastAPI Interactive OpenAPI / Swagger Documentation Portal (/docs)</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39</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3.6</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Swagger Interactive /chat Endpoint Request and Response Schema Specification</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40</w:t>
            </w:r>
          </w:p>
        </w:tc>
      </w:tr>
      <w:tr>
        <w:tc>
          <w:tcPr>
            <w:tcW w:type="dxa" w:w="1584"/>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3.7</w:t>
            </w:r>
          </w:p>
        </w:tc>
        <w:tc>
          <w:tcPr>
            <w:tcW w:type="dxa" w:w="604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Subsystem Connectivity Diagnostics &amp; Health API Response (/health)</w:t>
            </w:r>
          </w:p>
        </w:tc>
        <w:tc>
          <w:tcPr>
            <w:tcW w:type="dxa" w:w="1296"/>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40</w:t>
            </w:r>
          </w:p>
        </w:tc>
      </w:tr>
    </w:tbl>
    <w:p>
      <w:r>
        <w:br w:type="page"/>
      </w:r>
    </w:p>
    <w:p>
      <w:pPr>
        <w:sectPr>
          <w:footerReference w:type="default" r:id="rId9"/>
          <w:pgSz w:w="11909" w:h="16834"/>
          <w:pgMar w:top="1440" w:right="720" w:bottom="1440" w:left="2160" w:header="720" w:footer="720" w:gutter="0"/>
          <w:cols w:space="720"/>
          <w:titlePg/>
          <w:docGrid w:linePitch="360"/>
          <w:pgNumType w:fmt="lowerRoman"/>
        </w:sectPr>
      </w:pPr>
    </w:p>
    <w:p>
      <w:pPr>
        <w:spacing w:before="360" w:after="280"/>
        <w:jc w:val="center"/>
      </w:pPr>
      <w:r>
        <w:rPr>
          <w:rFonts w:ascii="Times New Roman" w:hAnsi="Times New Roman"/>
          <w:b/>
          <w:color w:val="000000"/>
          <w:sz w:val="32"/>
        </w:rPr>
        <w:t>CHAPTER 1: INTRODUCTION</w:t>
      </w:r>
    </w:p>
    <w:p>
      <w:pPr>
        <w:spacing w:before="280" w:after="120"/>
        <w:jc w:val="left"/>
      </w:pPr>
      <w:r>
        <w:rPr>
          <w:rFonts w:ascii="Times New Roman" w:hAnsi="Times New Roman"/>
          <w:b/>
          <w:color w:val="000000"/>
          <w:sz w:val="28"/>
        </w:rPr>
        <w:t>1.1 Introduction</w:t>
      </w:r>
    </w:p>
    <w:p>
      <w:pPr>
        <w:spacing w:before="0" w:after="120" w:line="276" w:lineRule="auto"/>
        <w:jc w:val="both"/>
      </w:pPr>
      <w:r>
        <w:rPr>
          <w:rFonts w:ascii="Times New Roman" w:hAnsi="Times New Roman"/>
          <w:b w:val="0"/>
          <w:i w:val="0"/>
          <w:color w:val="000000"/>
          <w:sz w:val="24"/>
        </w:rPr>
        <w:t>In contemporary computer science and artificial intelligence engineering, the deployment of Large Language Models (LLMs) has fundamentally transformed the paradigm of human-computer interaction, cognitive automation, automated code synthesis, and decision-support systems. Frontier models such as OpenAI's GPT-4, Anthropic's Claude 3.5 Sonnet, and Google's Gemini family demonstrate unprecedented proficiency across natural language understanding, complex multi-step mathematical proofs, contextual code generation, and multi-turn technical dialogue. Driven by massive transformer architectures comprising tens to hundreds of billions of parameters, these foundation models have become the default computational backbone for modern enterprise AI solutions, customer service bots, interactive copilot interfaces, and autonomous agent frameworks.</w:t>
      </w:r>
    </w:p>
    <w:p>
      <w:pPr>
        <w:spacing w:before="0" w:after="120" w:line="276" w:lineRule="auto"/>
        <w:jc w:val="both"/>
      </w:pPr>
      <w:r>
        <w:rPr>
          <w:rFonts w:ascii="Times New Roman" w:hAnsi="Times New Roman"/>
          <w:b w:val="0"/>
          <w:i w:val="0"/>
          <w:color w:val="000000"/>
          <w:sz w:val="24"/>
        </w:rPr>
        <w:t>However, the operational reality of deploying commercial Generative AI architectures reveals critical structural inefficiencies. Currently, standard enterprise software patterns treat cloud LLM APIs as monolithic black boxes: every incoming query—regardless of whether it is an elementary conversational greeting ('Good morning'), a routine factual lookup ('What is the boiling point of water?'), a basic syntax question, or an advanced theoretical derivation—is dispatched indiscriminately to remote hyperscale cloud inference clusters. This monolithic routing approach introduces four severe compounding liabilities:</w:t>
      </w:r>
    </w:p>
    <w:p>
      <w:pPr>
        <w:spacing w:before="40" w:after="80" w:line="276" w:lineRule="auto"/>
        <w:ind w:left="360"/>
      </w:pPr>
      <w:r>
        <w:rPr>
          <w:b/>
        </w:rPr>
        <w:t xml:space="preserve">• </w:t>
      </w:r>
      <w:r>
        <w:rPr>
          <w:b/>
        </w:rPr>
        <w:t xml:space="preserve">Compounding Financial Expenditures: </w:t>
      </w:r>
      <w:r>
        <w:t>Commercial LLMs bill on a per-token basis (both input and completion tokens). Multiplying thousands of daily requests across an organization leads to unsustainable API bills, where a significant majority of queries consume expensive 120B+ parameter compute budgets on tasks that could be handled by much smaller models.</w:t>
      </w:r>
    </w:p>
    <w:p>
      <w:pPr>
        <w:spacing w:before="40" w:after="80" w:line="276" w:lineRule="auto"/>
        <w:ind w:left="360"/>
      </w:pPr>
      <w:r>
        <w:rPr>
          <w:b/>
        </w:rPr>
        <w:t xml:space="preserve">• </w:t>
      </w:r>
      <w:r>
        <w:rPr>
          <w:b/>
        </w:rPr>
        <w:t xml:space="preserve">Variable Latency &amp; Inherent Network Overhead: </w:t>
      </w:r>
      <w:r>
        <w:t>Transmitting prompt payloads across regional wide-area networks (WANs) to remote cloud data centers introduces network queuing delays, socket handshakes, and serialization overhead. In time-sensitive agentic workflows, waiting 3 to 10 seconds for a trivial confirmation prompt slows downstream tasks.</w:t>
      </w:r>
    </w:p>
    <w:p>
      <w:pPr>
        <w:spacing w:before="40" w:after="80" w:line="276" w:lineRule="auto"/>
        <w:ind w:left="360"/>
      </w:pPr>
      <w:r>
        <w:rPr>
          <w:b/>
        </w:rPr>
        <w:t xml:space="preserve">• </w:t>
      </w:r>
      <w:r>
        <w:rPr>
          <w:b/>
        </w:rPr>
        <w:t xml:space="preserve">Fragility and Service Rate-Limiting: </w:t>
      </w:r>
      <w:r>
        <w:t>Heavy dependence on single third-party proprietary APIs leaves client systems completely vulnerable to external vendor outages, HTTP 429 (Too Many Requests) throttling, quota exhaustion, and localized internet routing failures, degrading system availability.</w:t>
      </w:r>
    </w:p>
    <w:p>
      <w:pPr>
        <w:spacing w:before="40" w:after="80" w:line="276" w:lineRule="auto"/>
        <w:ind w:left="360"/>
      </w:pPr>
      <w:r>
        <w:rPr>
          <w:b/>
        </w:rPr>
        <w:t xml:space="preserve">• </w:t>
      </w:r>
      <w:r>
        <w:rPr>
          <w:b/>
        </w:rPr>
        <w:t xml:space="preserve">Environmental Energy and Carbon Footprint: </w:t>
      </w:r>
      <w:r>
        <w:t>Frontier model inference runs on massive, power-intensive GPU data center clusters (e.g., 8x H100 nodes pulling hundreds of kilowatts). Running trivial string transformations or basic queries on 70B+ parameter models causes significant avoidable electrical energy consumption and carbon emissions.</w:t>
      </w:r>
    </w:p>
    <w:p>
      <w:pPr>
        <w:spacing w:before="0" w:after="120" w:line="276" w:lineRule="auto"/>
        <w:jc w:val="both"/>
      </w:pPr>
      <w:r>
        <w:rPr>
          <w:rFonts w:ascii="Times New Roman" w:hAnsi="Times New Roman"/>
          <w:b w:val="0"/>
          <w:i w:val="0"/>
          <w:color w:val="000000"/>
          <w:sz w:val="24"/>
        </w:rPr>
        <w:t>In sharp contrast to this monolithic cloud dependency, recent breakthroughs in deep learning model compression, quantization (e.g., GGUF 4-bit integer quantization), and architecture optimization have catalyzed the rise of Small Language Models (SLMs). Models such as Alibaba’s Qwen2.5-7B Instruct, Microsoft’s Phi-3.5/Phi-4-mini, and Mistral-7B possess billions of parameters but can execute locally on consumer workstations and laptops with 8 to 16 GB of RAM at zero marginal API cost. Local SLMs deliver rapid execution for everyday conversation, syntactic restructuring, and factual queries, while preserving complete data privacy. However, SLMs suffer from degraded performance when confronted with deep architectural analysis, advanced multi-variable mathematics, or complex algorithmic design.</w:t>
      </w:r>
    </w:p>
    <w:p>
      <w:pPr>
        <w:spacing w:before="0" w:after="120" w:line="276" w:lineRule="auto"/>
        <w:jc w:val="both"/>
      </w:pPr>
      <w:r>
        <w:rPr>
          <w:rFonts w:ascii="Times New Roman" w:hAnsi="Times New Roman"/>
          <w:b w:val="0"/>
          <w:i w:val="0"/>
          <w:color w:val="000000"/>
          <w:sz w:val="24"/>
        </w:rPr>
        <w:t>Therefore, neither an all-cloud architecture nor an all-local architecture provides an optimal Pareto tradeoff between cost, latency, response quality, and environmental sustainability. What is required is an intelligent middleware layer: a Hybrid SLM-LLM Router Gateway that dynamically inspects each incoming user query in real time, evaluates its intrinsic computational and semantic complexity, and routes it to the optimal compute layer. Simple queries are fulfilled locally by the SLM at ₹0.00 cost, while complex, reasoning-intensive tasks are escalated to high-capacity cloud LLMs.</w:t>
      </w:r>
    </w:p>
    <w:p>
      <w:pPr>
        <w:spacing w:before="280" w:after="120"/>
        <w:jc w:val="left"/>
      </w:pPr>
      <w:r>
        <w:rPr>
          <w:rFonts w:ascii="Times New Roman" w:hAnsi="Times New Roman"/>
          <w:b/>
          <w:color w:val="000000"/>
          <w:sz w:val="28"/>
        </w:rPr>
        <w:t>1.2 Necessity</w:t>
      </w:r>
    </w:p>
    <w:p>
      <w:pPr>
        <w:spacing w:before="0" w:after="120" w:line="276" w:lineRule="auto"/>
        <w:jc w:val="both"/>
      </w:pPr>
      <w:r>
        <w:rPr>
          <w:rFonts w:ascii="Times New Roman" w:hAnsi="Times New Roman"/>
          <w:b w:val="0"/>
          <w:i w:val="0"/>
          <w:color w:val="000000"/>
          <w:sz w:val="24"/>
        </w:rPr>
        <w:t>The necessity of developing an intelligent hybrid router middleware arises directly from the economic, operational, and architectural realities of modern production artificial intelligence systems:</w:t>
      </w:r>
    </w:p>
    <w:p>
      <w:pPr>
        <w:spacing w:before="60" w:after="80" w:line="276" w:lineRule="auto"/>
        <w:ind w:left="360"/>
      </w:pPr>
      <w:r>
        <w:rPr>
          <w:b/>
        </w:rPr>
        <w:t xml:space="preserve">1. Economic Unsustainability of Frontier LLMs: </w:t>
      </w:r>
      <w:r>
        <w:t>As GenAI integration expands from exploratory prototypes to production enterprise workflows, monthly API bills escalate geometrically. For applications processing hundreds of thousands of prompts per month, paying commercial rates for trivial queries is economically wasteful. A router provides immediate cost control by offloading 50% to 70% of routine traffic to local execution.</w:t>
      </w:r>
    </w:p>
    <w:p>
      <w:pPr>
        <w:spacing w:before="60" w:after="80" w:line="276" w:lineRule="auto"/>
        <w:ind w:left="360"/>
      </w:pPr>
      <w:r>
        <w:rPr>
          <w:b/>
        </w:rPr>
        <w:t xml:space="preserve">2. Real-Time Latency Optimization for Agentic Chains: </w:t>
      </w:r>
      <w:r>
        <w:t>Autonomous multi-agent frameworks (such as LangChain, AutoGen, and CrewAI) generate extensive internal sub-prompts for planning, formatting, and validation. Forcing every intermediate reflection step through remote cloud APIs introduces cumulative delays. A hybrid router enables instantaneous local execution for intermediate syntactic checks, reserving cloud latency only for critical synthesis.</w:t>
      </w:r>
    </w:p>
    <w:p>
      <w:pPr>
        <w:spacing w:before="60" w:after="80" w:line="276" w:lineRule="auto"/>
        <w:ind w:left="360"/>
      </w:pPr>
      <w:r>
        <w:rPr>
          <w:b/>
        </w:rPr>
        <w:t xml:space="preserve">3. High-Availability &amp; Fault Tolerance: </w:t>
      </w:r>
      <w:r>
        <w:t>Production applications require 99.9% uptime. Relying solely on a single cloud vendor creates a critical single point of failure. If the cloud vendor suffers downtime or imposes aggressive rate-limits, the entire application halts. The necessity of a resilient routing middleware lies in its ability to implement bidirectional fallbacks—failing over to alternative cloud providers or falling back to local models when services fail.</w:t>
      </w:r>
    </w:p>
    <w:p>
      <w:pPr>
        <w:spacing w:before="60" w:after="80" w:line="276" w:lineRule="auto"/>
        <w:ind w:left="360"/>
      </w:pPr>
      <w:r>
        <w:rPr>
          <w:b/>
        </w:rPr>
        <w:t xml:space="preserve">4. Data Privacy and Local Sovereignty: </w:t>
      </w:r>
      <w:r>
        <w:t>Certain user queries contain internal operational context, employee queries, or preliminary drafts that do not require cloud exposure. Enabling local model execution ensures that routine corporate data remains within the local network perimeter, mitigating compliance exposure under global data sovereignty frameworks.</w:t>
      </w:r>
    </w:p>
    <w:p>
      <w:pPr>
        <w:spacing w:before="60" w:after="80" w:line="276" w:lineRule="auto"/>
        <w:ind w:left="360"/>
      </w:pPr>
      <w:r>
        <w:rPr>
          <w:b/>
        </w:rPr>
        <w:t xml:space="preserve">5. Green Computing &amp; Corporate Sustainability: </w:t>
      </w:r>
      <w:r>
        <w:t>The computing community faces intensifying pressure to reduce the carbon footprint of AI workloads. Every forward pass through an unquantized 120-billion parameter cloud cluster draws significant power. Dynamically offloading appropriate tasks to efficient 7B quantized local engines directly reduces electrical energy waste and carbon emissions.</w:t>
      </w:r>
    </w:p>
    <w:p>
      <w:pPr>
        <w:spacing w:before="280" w:after="120"/>
        <w:jc w:val="left"/>
      </w:pPr>
      <w:r>
        <w:rPr>
          <w:rFonts w:ascii="Times New Roman" w:hAnsi="Times New Roman"/>
          <w:b/>
          <w:color w:val="000000"/>
          <w:sz w:val="28"/>
        </w:rPr>
        <w:t>1.3 Objectives</w:t>
      </w:r>
    </w:p>
    <w:p>
      <w:pPr>
        <w:spacing w:before="0" w:after="120" w:line="276" w:lineRule="auto"/>
        <w:jc w:val="both"/>
      </w:pPr>
      <w:r>
        <w:rPr>
          <w:rFonts w:ascii="Times New Roman" w:hAnsi="Times New Roman"/>
          <w:b w:val="0"/>
          <w:i w:val="0"/>
          <w:color w:val="000000"/>
          <w:sz w:val="24"/>
        </w:rPr>
        <w:t>The primary engineering and research objectives of the Hybrid SLM-LLM Router Agent project are formalized as follows:</w:t>
      </w:r>
    </w:p>
    <w:p>
      <w:pPr>
        <w:spacing w:before="60" w:after="80" w:line="276" w:lineRule="auto"/>
        <w:ind w:left="360"/>
      </w:pPr>
      <w:r>
        <w:rPr>
          <w:b/>
        </w:rPr>
        <w:t xml:space="preserve">Objective 1: Multi-Tier Complexity Classification Engine: </w:t>
      </w:r>
      <w:r>
        <w:t>Design, implement, and benchmark three distinct prompt complexity classification paradigms: a rule-based regex heuristic, a classical TF-IDF with calibrated Logistic Regression pipeline, and an optimized, fine-tuned DistilBERT transformer sequence classifier (66M parameters). Target a classification latency under 30 milliseconds on consumer CPU hardware and exceed 88% cross-validation accuracy.</w:t>
      </w:r>
    </w:p>
    <w:p>
      <w:pPr>
        <w:spacing w:before="60" w:after="80" w:line="276" w:lineRule="auto"/>
        <w:ind w:left="360"/>
      </w:pPr>
      <w:r>
        <w:rPr>
          <w:b/>
        </w:rPr>
        <w:t xml:space="preserve">Objective 2: Intelligent Dynamic Threshold Routing: </w:t>
      </w:r>
      <w:r>
        <w:t>Implement a configurable probability threshold gate (calibrated at p = 0.50) within an asynchronous FastAPI middleware to direct prompts scored below 0.50 to a local SLM and prompts at or above 0.50 to cloud LLMs, ensuring seamless routing without modifying client application code.</w:t>
      </w:r>
    </w:p>
    <w:p>
      <w:pPr>
        <w:spacing w:before="60" w:after="80" w:line="276" w:lineRule="auto"/>
        <w:ind w:left="360"/>
      </w:pPr>
      <w:r>
        <w:rPr>
          <w:b/>
        </w:rPr>
        <w:t xml:space="preserve">Objective 3: Target Workload Offload and Cost Reduction: </w:t>
      </w:r>
      <w:r>
        <w:t>Achieve a minimum 40% empirical reduction in external cloud API calls across benchmark query distributions, translating to a measurable financial expenditure reduction of greater than 50% compared to a counterfactual 100% all-cloud baseline.</w:t>
      </w:r>
    </w:p>
    <w:p>
      <w:pPr>
        <w:spacing w:before="60" w:after="80" w:line="276" w:lineRule="auto"/>
        <w:ind w:left="360"/>
      </w:pPr>
      <w:r>
        <w:rPr>
          <w:b/>
        </w:rPr>
        <w:t xml:space="preserve">Objective 4: Dual-Layer Resilient Failover &amp; Fault Tolerance: </w:t>
      </w:r>
      <w:r>
        <w:t>Engineer a two-tier fault-tolerant exception handling architecture: (a) Tier-1 Local-to-Cloud fallback that intercepts local Ollama downtime or socket timeouts and redirects traffic to the cloud with audit transparency, and (b) Tier-2 Cloud-to-Cloud failover that catches Groq LPU rate limits (HTTP 429) or timeouts and dispatches queries to Google Gemini 2.5 Flash within the same execution cycle.</w:t>
      </w:r>
    </w:p>
    <w:p>
      <w:pPr>
        <w:spacing w:before="60" w:after="80" w:line="276" w:lineRule="auto"/>
        <w:ind w:left="360"/>
      </w:pPr>
      <w:r>
        <w:rPr>
          <w:b/>
        </w:rPr>
        <w:t xml:space="preserve">Objective 5: Live Hardware Carbon and Energy Accounting: </w:t>
      </w:r>
      <w:r>
        <w:t>Integrate the CodeCarbon telemetry engine into the local execution path to sample real-time CPU/GPU power draw (kWh) and regional carbon emissions (g CO2) via hardware counters and TDP profiles, paired with literature-grounded empirical cloud estimation (0.35g CO2 / 1k tokens).</w:t>
      </w:r>
    </w:p>
    <w:p>
      <w:pPr>
        <w:spacing w:before="60" w:after="80" w:line="276" w:lineRule="auto"/>
        <w:ind w:left="360"/>
      </w:pPr>
      <w:r>
        <w:rPr>
          <w:b/>
        </w:rPr>
        <w:t xml:space="preserve">Objective 6: Comprehensive Observability &amp; Visual Analytics: </w:t>
      </w:r>
      <w:r>
        <w:t>Develop an interactive Streamlit analytics dashboard providing live prompt routing tests, step-by-step visual execution journey traces, Altair financial and latency comparative charts, and an auto-migrating SQLite audit log recording 16 granular metrics per interaction.</w:t>
      </w:r>
    </w:p>
    <w:p>
      <w:pPr>
        <w:spacing w:before="280" w:after="120"/>
        <w:jc w:val="left"/>
      </w:pPr>
      <w:r>
        <w:rPr>
          <w:rFonts w:ascii="Times New Roman" w:hAnsi="Times New Roman"/>
          <w:b/>
          <w:color w:val="000000"/>
          <w:sz w:val="28"/>
        </w:rPr>
        <w:t>1.4 Theme of the Mini Project</w:t>
      </w:r>
    </w:p>
    <w:p>
      <w:pPr>
        <w:spacing w:before="0" w:after="120" w:line="276" w:lineRule="auto"/>
        <w:jc w:val="both"/>
      </w:pPr>
      <w:r>
        <w:rPr>
          <w:rFonts w:ascii="Times New Roman" w:hAnsi="Times New Roman"/>
          <w:b w:val="0"/>
          <w:i w:val="0"/>
          <w:color w:val="000000"/>
          <w:sz w:val="24"/>
        </w:rPr>
        <w:t>The overarching theme of this mini project is 'Intelligent Computational Resource Optimization and Sustainable Edge-Cloud Synergy for Generative AI'. It bridges the gap between state-of-the-art Natural Language Processing (NLP), Transformer sequence classification, systems programming, and Green Computing.</w:t>
      </w:r>
    </w:p>
    <w:p>
      <w:pPr>
        <w:spacing w:before="0" w:after="120" w:line="276" w:lineRule="auto"/>
        <w:jc w:val="both"/>
      </w:pPr>
      <w:r>
        <w:rPr>
          <w:rFonts w:ascii="Times New Roman" w:hAnsi="Times New Roman"/>
          <w:b w:val="0"/>
          <w:i w:val="0"/>
          <w:color w:val="000000"/>
          <w:sz w:val="24"/>
        </w:rPr>
        <w:t>Rather than treating foundation models as homogenous or competing entities, the project champions an architectural symbiosis: compact, highly specialized machine learning classifiers act as intelligent triage controllers, matching the difficulty of human inquiries with the minimum necessary computing tier. The theme centers on operational pragmatism—delivering measurable financial cost savings, latency predictability, resilient system uptime, and environmental accountability without sacrificing user response quality.</w:t>
      </w:r>
    </w:p>
    <w:p>
      <w:pPr>
        <w:spacing w:before="280" w:after="120"/>
        <w:jc w:val="left"/>
      </w:pPr>
      <w:r>
        <w:rPr>
          <w:rFonts w:ascii="Times New Roman" w:hAnsi="Times New Roman"/>
          <w:b/>
          <w:color w:val="000000"/>
          <w:sz w:val="28"/>
        </w:rPr>
        <w:t>1.5 Proposed System Architecture</w:t>
      </w:r>
    </w:p>
    <w:p>
      <w:pPr>
        <w:spacing w:before="0" w:after="120" w:line="276" w:lineRule="auto"/>
        <w:jc w:val="both"/>
      </w:pPr>
      <w:r>
        <w:rPr>
          <w:rFonts w:ascii="Times New Roman" w:hAnsi="Times New Roman"/>
          <w:b w:val="0"/>
          <w:i w:val="0"/>
          <w:color w:val="000000"/>
          <w:sz w:val="24"/>
        </w:rPr>
        <w:t>The proposed system architecture is designed as a modular, loosely-coupled, multi-tiered middleware gateway. The system is organized into five primary functional layers: the Client Presentation Layer, the FastAPI Routing &amp; Gateway Layer, the Complexity Classification Engine, the Multi-Provider Inference Execution Layer, and the Telemetry &amp; Persistence Layer.</w:t>
      </w:r>
    </w:p>
    <w:p>
      <w:pPr>
        <w:spacing w:before="200" w:after="80"/>
        <w:jc w:val="center"/>
      </w:pPr>
      <w:r>
        <w:drawing>
          <wp:inline xmlns:a="http://schemas.openxmlformats.org/drawingml/2006/main" xmlns:pic="http://schemas.openxmlformats.org/drawingml/2006/picture">
            <wp:extent cx="5577840" cy="3784963"/>
            <wp:docPr id="3" name="Picture 3"/>
            <wp:cNvGraphicFramePr>
              <a:graphicFrameLocks noChangeAspect="1"/>
            </wp:cNvGraphicFramePr>
            <a:graphic>
              <a:graphicData uri="http://schemas.openxmlformats.org/drawingml/2006/picture">
                <pic:pic>
                  <pic:nvPicPr>
                    <pic:cNvPr id="0" name="fig_1_1_system_architecture.png"/>
                    <pic:cNvPicPr/>
                  </pic:nvPicPr>
                  <pic:blipFill>
                    <a:blip r:embed="rId13"/>
                    <a:stretch>
                      <a:fillRect/>
                    </a:stretch>
                  </pic:blipFill>
                  <pic:spPr>
                    <a:xfrm>
                      <a:off x="0" y="0"/>
                      <a:ext cx="5577840" cy="3784963"/>
                    </a:xfrm>
                    <a:prstGeom prst="rect"/>
                  </pic:spPr>
                </pic:pic>
              </a:graphicData>
            </a:graphic>
          </wp:inline>
        </w:drawing>
      </w:r>
    </w:p>
    <w:p>
      <w:pPr>
        <w:spacing w:before="40" w:after="240"/>
        <w:jc w:val="center"/>
      </w:pPr>
      <w:r>
        <w:rPr>
          <w:rFonts w:ascii="Times New Roman" w:hAnsi="Times New Roman"/>
          <w:b/>
          <w:i/>
          <w:color w:val="000000"/>
          <w:sz w:val="21"/>
        </w:rPr>
        <w:t>Figure 1.1: Hybrid SLM-LLM Router Gateway Architecture Overview</w:t>
      </w:r>
    </w:p>
    <w:p>
      <w:pPr>
        <w:spacing w:before="0" w:after="120" w:line="276" w:lineRule="auto"/>
        <w:jc w:val="both"/>
      </w:pPr>
      <w:r>
        <w:rPr>
          <w:rFonts w:ascii="Times New Roman" w:hAnsi="Times New Roman"/>
          <w:b w:val="0"/>
          <w:i w:val="0"/>
          <w:color w:val="000000"/>
          <w:sz w:val="24"/>
        </w:rPr>
        <w:t>The operational lifecycle of a user request proceeds through these architectural stages:</w:t>
      </w:r>
    </w:p>
    <w:p>
      <w:pPr>
        <w:spacing w:before="60" w:after="80" w:line="276" w:lineRule="auto"/>
        <w:ind w:left="360"/>
      </w:pPr>
      <w:r>
        <w:rPr>
          <w:b/>
        </w:rPr>
        <w:t xml:space="preserve">Stage 1: Ingestion &amp; Validation: </w:t>
      </w:r>
      <w:r>
        <w:t>The client application (e.g., Streamlit web portal or third-party client) transmits an HTTP POST request containing a JSON payload {'prompt': '...'} to the FastAPI endpoint /chat. Pydantic models strictly validate the request structure, verify string integrity, and initialize high-resolution monotonic latency timers.</w:t>
      </w:r>
    </w:p>
    <w:p>
      <w:pPr>
        <w:spacing w:before="60" w:after="80" w:line="276" w:lineRule="auto"/>
        <w:ind w:left="360"/>
      </w:pPr>
      <w:r>
        <w:rPr>
          <w:b/>
        </w:rPr>
        <w:t xml:space="preserve">Stage 2: Complexity Evaluation: </w:t>
      </w:r>
      <w:r>
        <w:t>The prompt string is passed to the active classification subsystem configured by the CLASSIFIER_MODE environment variable. In DistilBERT mode, the text is tokenized into WordPiece subword tokens (capped at 128 tokens), processed through 6 transformer encoder layers, and normalized via softmax to output a continuous complexity probability p in the range [0.0, 1.0]. Classification confidence is computed as max(p, 1-p).</w:t>
      </w:r>
    </w:p>
    <w:p>
      <w:pPr>
        <w:spacing w:before="60" w:after="80" w:line="276" w:lineRule="auto"/>
        <w:ind w:left="360"/>
      </w:pPr>
      <w:r>
        <w:rPr>
          <w:b/>
        </w:rPr>
        <w:t xml:space="preserve">Stage 3: Decision Gating &amp; Dynamic Dispatch: </w:t>
      </w:r>
      <w:r>
        <w:t>The complexity score p is evaluated against COMPLEXITY_THRESHOLD = 0.50. If p &lt; 0.50, the prompt is designated as simple and dispatched to the Local SLM path. If p &gt;= 0.50, the prompt is designated as complex and dispatched to the Cloud LLM pipeline.</w:t>
      </w:r>
    </w:p>
    <w:p>
      <w:pPr>
        <w:spacing w:before="60" w:after="80" w:line="276" w:lineRule="auto"/>
        <w:ind w:left="360"/>
      </w:pPr>
      <w:r>
        <w:rPr>
          <w:b/>
        </w:rPr>
        <w:t xml:space="preserve">Stage 4: Local SLM Execution with Live Telemetry: </w:t>
      </w:r>
      <w:r>
        <w:t>For local requests, the router dispatches an HTTP POST request to the local Ollama daemon (127.0.0.1:11434) running the 4-bit quantized Qwen2.5-7B Instruct model. Simultaneously, CodeCarbon starts an in-memory EmissionsTracker, sampling host CPU/GPU energy consumption (kWh) and regional carbon emissions (g CO2). If Ollama is unreachable, Tier-1 fallback redirects the query to the cloud pipeline with fallback_reason = 'local_slm_unavailable'.</w:t>
      </w:r>
    </w:p>
    <w:p>
      <w:pPr>
        <w:spacing w:before="60" w:after="80" w:line="276" w:lineRule="auto"/>
        <w:ind w:left="360"/>
      </w:pPr>
      <w:r>
        <w:rPr>
          <w:b/>
        </w:rPr>
        <w:t xml:space="preserve">Stage 5: Cloud LLM Dispatch with Automated Failover: </w:t>
      </w:r>
      <w:r>
        <w:t>For cloud requests, the gateway dispatches the prompt to primary cloud provider Groq LPU serving openai/gpt-oss-120b. If Groq encounters rate limiting (HTTP 429) or timeouts, exception handlers intercept the error and execute an immediate single-retry failover to Google Gemini 2.5 Flash. If both cloud providers fail, Tier-2 reverse fallback redirects to the local Ollama SLM.</w:t>
      </w:r>
    </w:p>
    <w:p>
      <w:pPr>
        <w:spacing w:before="60" w:after="80" w:line="276" w:lineRule="auto"/>
        <w:ind w:left="360"/>
      </w:pPr>
      <w:r>
        <w:rPr>
          <w:b/>
        </w:rPr>
        <w:t xml:space="preserve">Stage 6: Structured Relational Audit Logging &amp; Client Response: </w:t>
      </w:r>
      <w:r>
        <w:t>Upon completion, the gateway collates all execution telemetry—including total latency, classification time, inference time, calculated cost in USD and INR, energy consumed, carbon emitted, serving provider, and model name—and writes a 16-column record into the SQLite requests_log table with schema auto-migration. Finally, an HTTP 200 ChatResponse JSON payload is returned to the client.</w:t>
      </w:r>
    </w:p>
    <w:p>
      <w:r>
        <w:br w:type="page"/>
      </w:r>
    </w:p>
    <w:p>
      <w:pPr>
        <w:sectPr>
          <w:headerReference w:type="default" r:id="rId11"/>
          <w:footerReference w:type="default" r:id="rId12"/>
          <w:type w:val="continuous"/>
          <w:pgSz w:w="11909" w:h="16834"/>
          <w:pgMar w:top="1440" w:right="720" w:bottom="1440" w:left="2160" w:header="720" w:footer="720" w:gutter="0"/>
          <w:cols w:space="720"/>
          <w:titlePg/>
          <w:docGrid w:linePitch="360"/>
          <w:pgNumType w:fmt="lowerRoman"/>
          <w:pgNumType w:start="1" w:fmt="decimal"/>
        </w:sectPr>
      </w:pPr>
    </w:p>
    <w:p>
      <w:pPr>
        <w:spacing w:before="360" w:after="280"/>
        <w:jc w:val="center"/>
      </w:pPr>
      <w:r>
        <w:rPr>
          <w:rFonts w:ascii="Times New Roman" w:hAnsi="Times New Roman"/>
          <w:b/>
          <w:color w:val="000000"/>
          <w:sz w:val="32"/>
        </w:rPr>
        <w:t>CHAPTER 2: LITERATURE SURVEY</w:t>
      </w:r>
    </w:p>
    <w:p>
      <w:pPr>
        <w:spacing w:before="0" w:after="120" w:line="276" w:lineRule="auto"/>
        <w:jc w:val="both"/>
      </w:pPr>
      <w:r>
        <w:rPr>
          <w:rFonts w:ascii="Times New Roman" w:hAnsi="Times New Roman"/>
          <w:b w:val="0"/>
          <w:i w:val="0"/>
          <w:color w:val="000000"/>
          <w:sz w:val="24"/>
        </w:rPr>
        <w:t>The exponential scaling of generative foundation models over recent years has catalyzed an extensive body of academic literature investigating computational efficiency, model compression, edge-cloud collaborative intelligence, dynamic routing cascades, and environmental sustainability. This chapter conducts a comprehensive, rigorous critical survey of seminal and contemporary research papers directly pertinent to the architectural design of hybrid language model routing gateways. Each section analyzes the theoretical methodology, empirical findings, architectural trade-offs, and direct relevance to our system, concluding with a comparative synthesis matrix and formal research gap identification.</w:t>
      </w:r>
    </w:p>
    <w:p>
      <w:pPr>
        <w:spacing w:before="280" w:after="120"/>
        <w:jc w:val="left"/>
      </w:pPr>
      <w:r>
        <w:rPr>
          <w:rFonts w:ascii="Times New Roman" w:hAnsi="Times New Roman"/>
          <w:b/>
          <w:color w:val="000000"/>
          <w:sz w:val="28"/>
        </w:rPr>
        <w:t>2.1 Adaptive SLM–LLM Routing for Reliable and Cost-Efficient Agentic AI Systems</w:t>
      </w:r>
    </w:p>
    <w:p>
      <w:pPr>
        <w:spacing w:before="0" w:after="120" w:line="276" w:lineRule="auto"/>
        <w:jc w:val="both"/>
      </w:pPr>
      <w:r>
        <w:rPr>
          <w:rFonts w:ascii="Times New Roman" w:hAnsi="Times New Roman"/>
          <w:b w:val="0"/>
          <w:i w:val="0"/>
          <w:color w:val="000000"/>
          <w:sz w:val="24"/>
        </w:rPr>
        <w:t>In recent literature on agentic workflows, research teams have investigated the limitations of treating autonomous agents as homogenous cloud consumers. This research investigates an 'SLM-first' architectural paradigm in which smaller, specialized language models (1B to 7B parameters) serve as front-line operators, handling intermediate syntactic parsing, tool execution verification, and preliminary response generation. The authors propose an adaptive delegation policy where queries are escalated to a frontier cloud model (such as GPT-4) only when internal model uncertainty surpasses a mathematically defined threshold.</w:t>
        <w:br/>
        <w:br/>
        <w:t>Key Findings &amp; Methodology: The authors employ confidence estimation derived from model output token entropy and semantic consistency checks across multiple sampled completions. They demonstrate that upwards of 65% of subtasks within multi-turn agent workflows can be fulfilled by local SLMs without measurable degradation in task completion rates, yielding an overall operational cost reduction of 58% across standard benchmarks.</w:t>
        <w:br/>
        <w:br/>
        <w:t>Relevance to Our System: This work directly validates our foundational premise: routing decisions must not be static or monolithic. While their approach requires sampling multiple tokens from the SLM to estimate uncertainty—which introduces generation latency before deciding to escalate—our architecture improves upon this by using an upfront, ultra-fast DistilBERT sequence classifier that predicts routing complexity before invoking either generative engine, saving unnecessary local generation cycles on complex prompts.</w:t>
      </w:r>
    </w:p>
    <w:p>
      <w:pPr>
        <w:spacing w:before="280" w:after="120"/>
        <w:jc w:val="left"/>
      </w:pPr>
      <w:r>
        <w:rPr>
          <w:rFonts w:ascii="Times New Roman" w:hAnsi="Times New Roman"/>
          <w:b/>
          <w:color w:val="000000"/>
          <w:sz w:val="28"/>
        </w:rPr>
        <w:t>2.2 HERA: Hybrid Edge-Cloud Resource Allocation for Cost-Efficient AI Agents</w:t>
      </w:r>
    </w:p>
    <w:p>
      <w:pPr>
        <w:spacing w:before="0" w:after="120" w:line="276" w:lineRule="auto"/>
        <w:jc w:val="both"/>
      </w:pPr>
      <w:r>
        <w:rPr>
          <w:rFonts w:ascii="Times New Roman" w:hAnsi="Times New Roman"/>
          <w:b w:val="0"/>
          <w:i w:val="0"/>
          <w:color w:val="000000"/>
          <w:sz w:val="24"/>
        </w:rPr>
        <w:t>The HERA framework (Hybrid Edge-Cloud Resource Allocation) addresses the multi-objective optimization problem of balancing financial cost, network bandwidth, and end-to-end latency in distributed AI agent deployments. The authors model an agentic pipeline as a directed acyclic graph (DAG) of interdependent subtasks and formulate dynamic programming algorithms to partition execution between resource-constrained edge devices (SLMs) and centralized cloud infrastructure (LLMs).</w:t>
        <w:br/>
        <w:br/>
        <w:t>Key Findings &amp; Methodology: HERA identifies a critical phenomenon termed 'cascading output distortion'—static partitioning often fails because if an edge SLM produces a slightly inaccurate intermediate representation, subsequent downstream tasks suffer exponential error compounding. Consequently, HERA introduces dynamic re-allocation heuristics that monitor intermediate token generation confidence and trigger cloud escalation when quality drops below tolerance bounds.</w:t>
        <w:br/>
        <w:br/>
        <w:t>Relevance to Our System: HERA's mathematical formulation confirms that rigid model assignment degrades system utility. Our gateway incorporates this insight into our routing engine: we maintain a configurable threshold gate (p = 0.50) that can be dynamically adjusted by system administrators, while providing automated fallbacks if an edge or local resource becomes overloaded or unreachable.</w:t>
      </w:r>
    </w:p>
    <w:p>
      <w:pPr>
        <w:spacing w:before="280" w:after="120"/>
        <w:jc w:val="left"/>
      </w:pPr>
      <w:r>
        <w:rPr>
          <w:rFonts w:ascii="Times New Roman" w:hAnsi="Times New Roman"/>
          <w:b/>
          <w:color w:val="000000"/>
          <w:sz w:val="28"/>
        </w:rPr>
        <w:t>2.3 A Survey on Collaborating Small and Large Language Models</w:t>
      </w:r>
    </w:p>
    <w:p>
      <w:pPr>
        <w:spacing w:before="0" w:after="120" w:line="276" w:lineRule="auto"/>
        <w:jc w:val="both"/>
      </w:pPr>
      <w:r>
        <w:rPr>
          <w:rFonts w:ascii="Times New Roman" w:hAnsi="Times New Roman"/>
          <w:b w:val="0"/>
          <w:i w:val="0"/>
          <w:color w:val="000000"/>
          <w:sz w:val="24"/>
        </w:rPr>
        <w:t>This comprehensive survey synthesizes emerging paradigms wherein Small Language Models (SLMs) and Large Language Models (LLMs) operate in symbiotic coalitions. The authors classify collaborative architectures into three major taxonomic archetypes: (1) Co-located Ensembles, where SLMs generate candidate tokens for speculative decoding verification by LLMs; (2) Role-Specialized Pipelines, where SLMs act as retrievers, rankers, or guardrails filtering data for LLMs; and (3) Dynamic Router Middleware, where an arbitrator directs requests to either model tier based on task domain, prompt length, or user tiering.</w:t>
        <w:br/>
        <w:br/>
        <w:t>Key Findings &amp; Methodology: The survey highlights that 70% to 80% of enterprise conversational traffic consists of repetitive, fact-retrieval, or polite dialogue tasks that do not benefit from models larger than 7B parameters. Routing these queries away from cloud APIs reduces token expenditure by over 70% while improving user privacy and system availability.</w:t>
        <w:br/>
        <w:br/>
        <w:t>Relevance to Our System: The survey provides the foundational taxonomy for our router. We implement the 'Dynamic Router Middleware' paradigm, leveraging an SLM deployed locally via Ollama to handle everyday queries while reserving cloud models for reasoning-heavy inquiries.</w:t>
      </w:r>
    </w:p>
    <w:p>
      <w:pPr>
        <w:spacing w:before="280" w:after="120"/>
        <w:jc w:val="left"/>
      </w:pPr>
      <w:r>
        <w:rPr>
          <w:rFonts w:ascii="Times New Roman" w:hAnsi="Times New Roman"/>
          <w:b/>
          <w:color w:val="000000"/>
          <w:sz w:val="28"/>
        </w:rPr>
        <w:t>2.4 Collaborative Mechanisms Between Large and Small Language Models: A Systematic Review</w:t>
      </w:r>
    </w:p>
    <w:p>
      <w:pPr>
        <w:spacing w:before="0" w:after="120" w:line="276" w:lineRule="auto"/>
        <w:jc w:val="both"/>
      </w:pPr>
      <w:r>
        <w:rPr>
          <w:rFonts w:ascii="Times New Roman" w:hAnsi="Times New Roman"/>
          <w:b w:val="0"/>
          <w:i w:val="0"/>
          <w:color w:val="000000"/>
          <w:sz w:val="24"/>
        </w:rPr>
        <w:t>Focusing specifically on implementation mechanics, this systematic review analyzes the technical interfaces and middleware protocols connecting SLMs and LLMs. The authors investigate task allocation strategies, model synchronization overhead, cross-model token format alignment, and latency impacts.</w:t>
        <w:br/>
        <w:br/>
        <w:t>Key Findings &amp; Methodology: The review demonstrates that asynchronous RESTful and streaming WebSocket middleware represents the most robust integration layer for heterogeneous model serving. However, the authors note that 85% of existing hybrid implementations lack automated failover: if the cloud provider encounters rate limiting (HTTP 429) or connection timeouts, the application fails catastrophically rather than falling back to local compute.</w:t>
        <w:br/>
        <w:br/>
        <w:t>Relevance to Our System: This finding directly influenced our resilient dual-path architecture. Our FastAPI gateway implements comprehensive exception-handling wrappers that automatically trigger fallback execution from Groq to Google Gemini Flash, and ultimately to local Ollama if external internet connectivity is severed.</w:t>
      </w:r>
    </w:p>
    <w:p>
      <w:pPr>
        <w:spacing w:before="280" w:after="120"/>
        <w:jc w:val="left"/>
      </w:pPr>
      <w:r>
        <w:rPr>
          <w:rFonts w:ascii="Times New Roman" w:hAnsi="Times New Roman"/>
          <w:b/>
          <w:color w:val="000000"/>
          <w:sz w:val="28"/>
        </w:rPr>
        <w:t>2.5 Dynamic LLM Cascades and Frugal Inference Paradigms (FrugalGPT)</w:t>
      </w:r>
    </w:p>
    <w:p>
      <w:pPr>
        <w:spacing w:before="0" w:after="120" w:line="276" w:lineRule="auto"/>
        <w:jc w:val="both"/>
      </w:pPr>
      <w:r>
        <w:rPr>
          <w:rFonts w:ascii="Times New Roman" w:hAnsi="Times New Roman"/>
          <w:b w:val="0"/>
          <w:i w:val="0"/>
          <w:color w:val="000000"/>
          <w:sz w:val="24"/>
        </w:rPr>
        <w:t>In their seminal work 'FrugalGPT: How to Use Large Language Models While Reducing Cost and Improving Performance' (Chen et al. [5], 2023), the authors introduce the concept of LLM cascades. Instead of sending queries directly to GPT-4, the system invokes an ordered cascade of increasingly powerful models (e.g., GPT-J -&gt; GPT-3 -&gt; GPT-4). An independent scoring model evaluates the generated answer at each stage; only if the answer is deemed unsatisfactory is the query forwarded to the next tier.</w:t>
        <w:br/>
        <w:br/>
        <w:t>Key Findings &amp; Methodology: FrugalGPT achieved up to 98% cost savings while matching or exceeding the performance of individual frontier LLMs on specific benchmarks. However, the cascade strategy suffers from severe worst-case latency penalties: for complex prompts, the user must wait for all smaller models to generate complete responses and fail verification before the frontier model is invoked.</w:t>
        <w:br/>
        <w:br/>
        <w:t>Relevance to Our System: FrugalGPT established the economic imperative of model routing. Our design directly solves its primary limitation (cascading latency) by replacing post-generation evaluation with upfront classification. By determining query complexity before generating any tokens, our router directs complex queries to the cloud LLM immediately, achieving optimal Pareto efficiency without compounding latency.</w:t>
      </w:r>
    </w:p>
    <w:p>
      <w:pPr>
        <w:spacing w:before="280" w:after="120"/>
        <w:jc w:val="left"/>
      </w:pPr>
      <w:r>
        <w:rPr>
          <w:rFonts w:ascii="Times New Roman" w:hAnsi="Times New Roman"/>
          <w:b/>
          <w:color w:val="000000"/>
          <w:sz w:val="28"/>
        </w:rPr>
        <w:t>2.6 Green AI and Data Center Carbon Accounting Telemetry</w:t>
      </w:r>
    </w:p>
    <w:p>
      <w:pPr>
        <w:spacing w:before="0" w:after="120" w:line="276" w:lineRule="auto"/>
        <w:jc w:val="both"/>
      </w:pPr>
      <w:r>
        <w:rPr>
          <w:rFonts w:ascii="Times New Roman" w:hAnsi="Times New Roman"/>
          <w:b w:val="0"/>
          <w:i w:val="0"/>
          <w:color w:val="000000"/>
          <w:sz w:val="24"/>
        </w:rPr>
        <w:t>In response to the escalating power demands of foundation model computing, research in Green AI (Luccioni et al. [2], Patterson et al. [3], and Schmidt et al. [8]) has shifted the focus of machine learning optimization from pure accuracy to multi-objective Pareto frontiers encompassing computational energy consumption and greenhouse gas emissions.</w:t>
        <w:br/>
        <w:br/>
        <w:t>Key Findings &amp; Methodology: Empirical studies benchmarked the carbon intensity of hyperscale AI inference clusters at approximately 0.35 grams of CO2 equivalent per 1,000 generated tokens (incorporating server manufacturing, cooling overhead, and global grid emissions). Conversely, running quantized 4-bit models on consumer-grade hardware consumes between 15W and 45W during inference, resulting in significantly lower localized emissions when connected to clean power grids.</w:t>
        <w:br/>
        <w:br/>
        <w:t>Relevance to Our System: While existing commercial routing gateways (e.g., LiteLLM, Portkey) track financial cost and latency, none measure physical carbon footprint. Our project bridges this gap by integrating CodeCarbon directly into the FastAPI middleware. The system monitors hardware CPU/GPU power consumption (RAPL registers) during local inference and applies empirical carbon coefficients to cloud API calls, presenting real-time carbon telemetry on the Streamlit dashboard.</w:t>
      </w:r>
    </w:p>
    <w:p>
      <w:pPr>
        <w:spacing w:before="280" w:after="120"/>
        <w:jc w:val="left"/>
      </w:pPr>
      <w:r>
        <w:rPr>
          <w:rFonts w:ascii="Times New Roman" w:hAnsi="Times New Roman"/>
          <w:b/>
          <w:color w:val="000000"/>
          <w:sz w:val="28"/>
        </w:rPr>
        <w:t>2.7 Knowledge Distillation &amp; Transformer Compression (DistilBERT)</w:t>
      </w:r>
    </w:p>
    <w:p>
      <w:pPr>
        <w:spacing w:before="0" w:after="120" w:line="276" w:lineRule="auto"/>
        <w:jc w:val="both"/>
      </w:pPr>
      <w:r>
        <w:rPr>
          <w:rFonts w:ascii="Times New Roman" w:hAnsi="Times New Roman"/>
          <w:b w:val="0"/>
          <w:i w:val="0"/>
          <w:color w:val="000000"/>
          <w:sz w:val="24"/>
        </w:rPr>
        <w:t>Sanh et al. [1] (2019) introduced DistilBERT, demonstrating that knowledge distillation can reduce the parameter size of BERT by 40% while retaining 97% of its language understanding capabilities and operating 60% faster during inference. By training a 6-layer student model on a triple loss function (masked language modeling, cosine embedding loss, and soft distillation loss), the model captures nuanced semantic representations with minimal computational footprint.</w:t>
        <w:br/>
        <w:br/>
        <w:t>Key Findings &amp; Methodology: DistilBERT exhibits robust transfer learning capabilities when fine-tuned on binary sequence classification tasks, achieving rapid convergence within 3 to 5 epochs and sub-25ms CPU inference latencies.</w:t>
        <w:br/>
        <w:br/>
        <w:t>Relevance to Our System: We adopt DistilBERT (distilbert-base-uncased) as our primary transformer classification engine. Fine-tuned on our curated dataset of prompt-complexity pairs, it acts as the high-accuracy arbitrator, mapping input strings to a probabilistic complexity score in less than 20 milliseconds.</w:t>
      </w:r>
    </w:p>
    <w:p>
      <w:pPr>
        <w:spacing w:before="280" w:after="120"/>
        <w:jc w:val="left"/>
      </w:pPr>
      <w:r>
        <w:rPr>
          <w:rFonts w:ascii="Times New Roman" w:hAnsi="Times New Roman"/>
          <w:b/>
          <w:color w:val="000000"/>
          <w:sz w:val="28"/>
        </w:rPr>
        <w:t>2.8 Comparative Literature Analysis &amp; Synthesis Matrix</w:t>
      </w:r>
    </w:p>
    <w:p>
      <w:pPr>
        <w:spacing w:before="0" w:after="120" w:line="276" w:lineRule="auto"/>
        <w:jc w:val="both"/>
      </w:pPr>
      <w:r>
        <w:rPr>
          <w:rFonts w:ascii="Times New Roman" w:hAnsi="Times New Roman"/>
          <w:b w:val="0"/>
          <w:i w:val="0"/>
          <w:color w:val="000000"/>
          <w:sz w:val="24"/>
        </w:rPr>
        <w:t>Table 2.1 provides a structured, comparative synthesis matrix evaluating the primary research approaches in the literature against the Hybrid SLM-LLM Router Gateway developed in this project.</w:t>
      </w:r>
    </w:p>
    <w:p>
      <w:pPr>
        <w:spacing w:before="200" w:after="80" w:line="276" w:lineRule="auto"/>
        <w:jc w:val="center"/>
      </w:pPr>
      <w:r>
        <w:rPr>
          <w:rFonts w:ascii="Times New Roman" w:hAnsi="Times New Roman"/>
          <w:b/>
          <w:i w:val="0"/>
          <w:color w:val="000000"/>
          <w:sz w:val="22"/>
        </w:rPr>
        <w:t>Table 2.1: Comparative Literature Survey &amp; Architectural Synthesis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129"/>
        <w:gridCol w:w="1129"/>
        <w:gridCol w:w="1129"/>
        <w:gridCol w:w="1129"/>
        <w:gridCol w:w="1129"/>
        <w:gridCol w:w="1129"/>
        <w:gridCol w:w="1129"/>
        <w:gridCol w:w="1129"/>
      </w:tblGrid>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System / Paper</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Routing Methodology</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Local / Edge Tier</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Cloud Tier</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Classification Gating</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Primary Bottleneck</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Failover Support</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Live Carbon Tracking</w:t>
            </w:r>
          </w:p>
        </w:tc>
      </w:tr>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FrugalGPT (Chen et al. 2023)</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Sequential API Cascade</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None (Cloud Only)</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GPT-3.5 / GPT-4</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Answer Quality Evaluator</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Sequential Latency</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r>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RouteLLM (Ong et al. 2024)</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Preference Data Routing</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Mixtral-8x7B (Cloud)</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GPT-4 / Claude 3</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Trained Scoring Classifier</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Cloud-Only</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r>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HERA (2024)</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Dynamic Subtask Allocation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Edge SLM</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LLM</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DAG Dynamic Programming</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High Re-planning</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r>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Adaptive SLM-LLM Routing</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Uncertainty Delegation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SLM</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LLM</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Token Sampling Entropy</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Token Sampling</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w:t>
            </w:r>
          </w:p>
        </w:tc>
      </w:tr>
      <w:tr>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Our Hybrid Router Gateway</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Upfront Tri-Classifier Gating</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Qwen2.5-7B (Ollama)</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Groq 120B / Gemini</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Fine-Tuned DistilBERT (p=0.50)</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Sub-25ms Gating</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Yes (2-Tier)</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Yes (CodeCarbon)</w:t>
            </w:r>
          </w:p>
        </w:tc>
      </w:tr>
    </w:tbl>
    <w:p>
      <w:pPr>
        <w:spacing w:before="280" w:after="120"/>
        <w:jc w:val="left"/>
      </w:pPr>
      <w:r>
        <w:rPr>
          <w:rFonts w:ascii="Times New Roman" w:hAnsi="Times New Roman"/>
          <w:b/>
          <w:color w:val="000000"/>
          <w:sz w:val="28"/>
        </w:rPr>
        <w:t>2.9 Research Gap &amp; Problem Formulation</w:t>
      </w:r>
    </w:p>
    <w:p>
      <w:pPr>
        <w:spacing w:before="0" w:after="120" w:line="276" w:lineRule="auto"/>
        <w:jc w:val="both"/>
      </w:pPr>
      <w:r>
        <w:rPr>
          <w:rFonts w:ascii="Times New Roman" w:hAnsi="Times New Roman"/>
          <w:b w:val="0"/>
          <w:i w:val="0"/>
          <w:color w:val="000000"/>
          <w:sz w:val="24"/>
        </w:rPr>
        <w:t>Based on our exhaustive examination of the literature and empirical systems benchmarks, several critical research and architectural gaps have been identified:</w:t>
        <w:br/>
        <w:br/>
        <w:t>1. Absence of Resilient Dual-Layer Fault Tolerance in LLM Gateways: Existing commercial and academic gateways assume perfect API availability. If a cloud API experiences rate limiting (HTTP 429) or the local SLM process crashes, existing systems drop the connection and return an error. There is a glaring lack of open-source architectures implementing bidirectional fallbacks that seamlessly bridge edge crashes and cloud vendor rate limits.</w:t>
        <w:br/>
        <w:br/>
        <w:t>2. Lack of Upfront, Non-Generative Complexity Classification: Systems like FrugalGPT and Adaptive SLM-LLM Routing require generating draft tokens to evaluate confidence, wasting compute and introducing latency. There is an urgent need for an upfront, low-parameter transformer sequence classifier capable of determining complexity in under 25 milliseconds before invocation.</w:t>
        <w:br/>
        <w:br/>
        <w:t>3. Total Neglect of Physical Carbon and Energy Telemetry in AI Gateways: While literature highlights Green AI, commercial middleware solutions (such as Portkey, LiteLLM, or LangSmith) focus exclusively on dollar cost and token volume, ignoring physical kilowatt-hour energy tracking and localized carbon emissions. Grounding hybrid inference in live hardware power telemetry remains an unfulfilled operational capability.</w:t>
        <w:br/>
        <w:br/>
        <w:t>4. Absence of Unified, Local-First Open Architectures: Most research benchmarks rely on simulated cloud endpoints rather than deployable local GGUF models running in consumer laptop hardware. Developing a fully functional, self-contained system featuring FastAPI, Ollama, Groq, CodeCarbon, SQLite, and Streamlit directly addresses this practical deployment gap.</w:t>
      </w:r>
    </w:p>
    <w:p>
      <w:r>
        <w:br w:type="page"/>
      </w:r>
    </w:p>
    <w:p>
      <w:pPr>
        <w:sectPr>
          <w:headerReference w:type="default" r:id="rId14"/>
          <w:footerReference w:type="default" r:id="rId15"/>
          <w:type w:val="continuous"/>
          <w:pgSz w:w="11909" w:h="16834"/>
          <w:pgMar w:top="1440" w:right="720" w:bottom="1440" w:left="2160" w:header="720" w:footer="720" w:gutter="0"/>
          <w:cols w:space="720"/>
          <w:titlePg/>
          <w:docGrid w:linePitch="360"/>
          <w:pgNumType w:fmt="lowerRoman"/>
          <w:pgNumType w:start="1" w:fmt="decimal"/>
        </w:sectPr>
      </w:pPr>
    </w:p>
    <w:p>
      <w:pPr>
        <w:spacing w:before="360" w:after="280"/>
        <w:jc w:val="center"/>
      </w:pPr>
      <w:r>
        <w:rPr>
          <w:rFonts w:ascii="Times New Roman" w:hAnsi="Times New Roman"/>
          <w:b/>
          <w:color w:val="000000"/>
          <w:sz w:val="32"/>
        </w:rPr>
        <w:t>CHAPTER 3: SYSTEM DEVELOPMENT</w:t>
      </w:r>
    </w:p>
    <w:p>
      <w:pPr>
        <w:spacing w:before="0" w:after="120" w:line="276" w:lineRule="auto"/>
        <w:jc w:val="both"/>
      </w:pPr>
      <w:r>
        <w:rPr>
          <w:rFonts w:ascii="Times New Roman" w:hAnsi="Times New Roman"/>
          <w:b w:val="0"/>
          <w:i w:val="0"/>
          <w:color w:val="000000"/>
          <w:sz w:val="24"/>
        </w:rPr>
        <w:t>This chapter presents the comprehensive architectural specification, engineering implementation, and software modeling for the Hybrid SLM-LLM Router Gateway. It details the hardware and software specifications, functional and non-functional requirements, formal system modeling via Data Flow Diagrams (DFDs) and Unified Modeling Language (UML) diagrams, deep-dive formulations of the three complexity classifiers, inference execution pipelines with automated failover, real-time hardware energy telemetry, user interface screenshots, and relational database schema auto-migrations.</w:t>
      </w:r>
    </w:p>
    <w:p>
      <w:pPr>
        <w:spacing w:before="280" w:after="120"/>
        <w:jc w:val="left"/>
      </w:pPr>
      <w:r>
        <w:rPr>
          <w:rFonts w:ascii="Times New Roman" w:hAnsi="Times New Roman"/>
          <w:b/>
          <w:color w:val="000000"/>
          <w:sz w:val="28"/>
        </w:rPr>
        <w:t>3.1 Requirement Specification</w:t>
      </w:r>
    </w:p>
    <w:p>
      <w:pPr>
        <w:spacing w:before="200" w:after="80"/>
        <w:jc w:val="left"/>
      </w:pPr>
      <w:r>
        <w:rPr>
          <w:rFonts w:ascii="Times New Roman" w:hAnsi="Times New Roman"/>
          <w:b/>
          <w:color w:val="000000"/>
          <w:sz w:val="24"/>
        </w:rPr>
        <w:t>3.1.1 Hardware Requirements</w:t>
      </w:r>
    </w:p>
    <w:p>
      <w:pPr>
        <w:spacing w:before="0" w:after="120" w:line="276" w:lineRule="auto"/>
        <w:jc w:val="both"/>
      </w:pPr>
      <w:r>
        <w:rPr>
          <w:rFonts w:ascii="Times New Roman" w:hAnsi="Times New Roman"/>
          <w:b w:val="0"/>
          <w:i w:val="0"/>
          <w:color w:val="000000"/>
          <w:sz w:val="24"/>
        </w:rPr>
        <w:t>The project is engineered to demonstrate that high-performance local AI inference and real-time complexity routing do not require multi-GPU server infrastructure, but can execute effectively on standard modern consumer workstation hardware. Table 3.1 defines the development testbed specifications used for local SLM execution, transformer fine-tuning, and runtime gateway hosting.</w:t>
      </w:r>
    </w:p>
    <w:p>
      <w:pPr>
        <w:spacing w:before="200" w:after="80" w:line="276" w:lineRule="auto"/>
        <w:jc w:val="center"/>
      </w:pPr>
      <w:r>
        <w:rPr>
          <w:rFonts w:ascii="Times New Roman" w:hAnsi="Times New Roman"/>
          <w:b/>
          <w:i w:val="0"/>
          <w:color w:val="000000"/>
          <w:sz w:val="22"/>
        </w:rPr>
        <w:t>Table 3.1: Hardware Development &amp; Deployment Testbed Specifications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Hardware Component</w:t>
            </w:r>
          </w:p>
        </w:tc>
        <w:tc>
          <w:tcPr>
            <w:tcW w:type="dxa" w:w="360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Specification / Testbed Configuration</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Operational Role in Project</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Host Processor (CPU)</w:t>
            </w:r>
          </w:p>
        </w:tc>
        <w:tc>
          <w:tcPr>
            <w:tcW w:type="dxa" w:w="360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Intel Core i5 / i7 (11th Gen or higher) / AMD Ryzen 5 / 7 (6+ physical cores, 2.4 GHz base clock)</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Executes FastAPI async event loops, PyTorch DistilBERT tensor inference, and OS background threads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System Memory (RAM)</w:t>
            </w:r>
          </w:p>
        </w:tc>
        <w:tc>
          <w:tcPr>
            <w:tcW w:type="dxa" w:w="360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16.0 GB DDR4 / DDR5 (minimum 8 GB required for 4-bit 7B quantized execution)</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Houses Qwen2.5-7B GGUF weights in memory (~4.7 GB allocation) alongside OS and Python runtimes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Storage Subsystem</w:t>
            </w:r>
          </w:p>
        </w:tc>
        <w:tc>
          <w:tcPr>
            <w:tcW w:type="dxa" w:w="360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512 GB PCIe NVMe Solid State Drive (SSD)</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High-speed loading of model binaries, transformer tokenizers, and persistent SQLite database I/O</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Graphics (GPU)</w:t>
            </w:r>
          </w:p>
        </w:tc>
        <w:tc>
          <w:tcPr>
            <w:tcW w:type="dxa" w:w="360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Integrated Intel Iris Xe / NVIDIA GeForce RTX Dedicated (Optional)</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Accelerates local Ollama GGUF matrix-vector multiplications when GPU offloading is available</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Hardware Power Sensors</w:t>
            </w:r>
          </w:p>
        </w:tc>
        <w:tc>
          <w:tcPr>
            <w:tcW w:type="dxa" w:w="360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Intel Running Average Power Limit (RAPL) / On-board ACPI Battery Interface</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Enables CodeCarbon in-memory profiler to sample live processor electrical draw (Watts)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Network Connectivity</w:t>
            </w:r>
          </w:p>
        </w:tc>
        <w:tc>
          <w:tcPr>
            <w:tcW w:type="dxa" w:w="360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Broadband Internet (10+ Mbps low-latency connection)</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Facilitates high-speed RESTful JSON transmissions to cloud Groq LPU and Google Gemini APIs</w:t>
            </w:r>
          </w:p>
        </w:tc>
      </w:tr>
    </w:tbl>
    <w:p>
      <w:pPr>
        <w:spacing w:before="200" w:after="80"/>
        <w:jc w:val="left"/>
      </w:pPr>
      <w:r>
        <w:rPr>
          <w:rFonts w:ascii="Times New Roman" w:hAnsi="Times New Roman"/>
          <w:b/>
          <w:color w:val="000000"/>
          <w:sz w:val="24"/>
        </w:rPr>
        <w:t>3.1.2 Software Requirements &amp; Technology Stack</w:t>
      </w:r>
    </w:p>
    <w:p>
      <w:pPr>
        <w:spacing w:before="0" w:after="120" w:line="276" w:lineRule="auto"/>
        <w:jc w:val="both"/>
      </w:pPr>
      <w:r>
        <w:rPr>
          <w:rFonts w:ascii="Times New Roman" w:hAnsi="Times New Roman"/>
          <w:b w:val="0"/>
          <w:i w:val="0"/>
          <w:color w:val="000000"/>
          <w:sz w:val="24"/>
        </w:rPr>
        <w:t>The software architecture relies on modern, production-tested open-source libraries, frameworks, and APIs. Table 3.2 details the technology stack, software versions, and responsibilities.</w:t>
      </w:r>
    </w:p>
    <w:p>
      <w:pPr>
        <w:spacing w:before="200" w:after="80" w:line="276" w:lineRule="auto"/>
        <w:jc w:val="center"/>
      </w:pPr>
      <w:r>
        <w:rPr>
          <w:rFonts w:ascii="Times New Roman" w:hAnsi="Times New Roman"/>
          <w:b/>
          <w:i w:val="0"/>
          <w:color w:val="000000"/>
          <w:sz w:val="22"/>
        </w:rPr>
        <w:t>Table 3.2: Software Technology Stack, Frameworks &amp; Dependency Specifications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Software / Library</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Version / Framework</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Functional Responsibility</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Operating System</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Microsoft Windows 11 Home / Pro (64-bit)</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Host environment running FastAPI, Ollama daemon, and Chrome headless CDP</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Python Environment</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Python 3.10+ in isolated virtual environment (venv)</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Universal runtime across backend, ML pipelines, and Streamlit visualization</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API Gateway Framework</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FastAPI (v0.115+) &amp; Uvicorn ASGI Server</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High-throughput asynchronous REST gateway, JSON schema validation, latency timers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Data Validation</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Pydantic (v2.10+)</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Strict data contract enforcement via ChatRequest and ChatResponse schemas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Local Inference Daemon</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Ollama (v0.34.2+) serving qwen2.5:7b</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Executes 4-bit quantized 7-billion parameter language model via local REST API</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Primary Cloud Provider</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Groq Cloud API (openai/gpt-oss-120b)</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High-throughput LPU cloud inference at $0.03 input / $0.17 output per 1M tokens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Failover Cloud Provider</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Google Gemini API (gemini-2.5-flash)</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Automated secondary cloud failover executing via official google-genai SDK</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Transformer Classifier</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Hugging Face Transformers &amp; PyTorch (DistilBERT)</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Fine-tuned 6-layer sequence classifier (66M params) predicting complexity in &lt;25ms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Classical ML Classifier</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Scikit-Learn (TF-IDF Vectorizer + Logistic Regression)</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Alternative ML pipeline extracting sublinear n-grams serialized via joblib</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Carbon Telemetry</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CodeCarbon (v3.0+) EmissionsTracker</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In-memory hardware power (kWh) and regional CO2 emissions tracking</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Relational Persistence</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SQLite3 (Python Standard Library)</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16-column structured audit log (requests_log) with schema self-healing/migrations</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Observability Portal</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Streamlit (v1.42+) &amp; Altair Statistical Charting</w:t>
            </w:r>
          </w:p>
        </w:tc>
        <w:tc>
          <w:tcPr>
            <w:tcW w:type="dxa" w:w="388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Interactive testing console, KPI cards, financial bars, and live audit data grids</w:t>
            </w:r>
          </w:p>
        </w:tc>
      </w:tr>
    </w:tbl>
    <w:p>
      <w:pPr>
        <w:spacing w:before="200" w:after="80"/>
        <w:jc w:val="left"/>
      </w:pPr>
      <w:r>
        <w:rPr>
          <w:rFonts w:ascii="Times New Roman" w:hAnsi="Times New Roman"/>
          <w:b/>
          <w:color w:val="000000"/>
          <w:sz w:val="24"/>
        </w:rPr>
        <w:t>3.1.3 Functional Requirements Specification</w:t>
      </w:r>
    </w:p>
    <w:p>
      <w:pPr>
        <w:spacing w:before="0" w:after="120" w:line="276" w:lineRule="auto"/>
        <w:jc w:val="both"/>
      </w:pPr>
      <w:r>
        <w:rPr>
          <w:rFonts w:ascii="Times New Roman" w:hAnsi="Times New Roman"/>
          <w:b w:val="0"/>
          <w:i w:val="0"/>
          <w:color w:val="000000"/>
          <w:sz w:val="24"/>
        </w:rPr>
        <w:t>The system's functional capabilities are organized into ten formal requirements (FR1 to FR10) summarized in Table 3.3.</w:t>
      </w:r>
    </w:p>
    <w:p>
      <w:pPr>
        <w:spacing w:before="200" w:after="80" w:line="276" w:lineRule="auto"/>
        <w:jc w:val="center"/>
      </w:pPr>
      <w:r>
        <w:rPr>
          <w:rFonts w:ascii="Times New Roman" w:hAnsi="Times New Roman"/>
          <w:b/>
          <w:i w:val="0"/>
          <w:color w:val="000000"/>
          <w:sz w:val="22"/>
        </w:rPr>
        <w:t>Table 3.3: System Functional Requirements Specification (FR1 to FR10)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Req ID</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Functional Requirement Name</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Detailed Requirement Specification</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FR1</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Prompt Ingestion &amp; Schema Validation</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gateway shall expose an asynchronous HTTP POST endpoint /chat accepting JSON payloads with non-empty 'prompt' strings, validated via Pydantic.</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FR2</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Classifier Mode Dispatching</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system shall read the CLASSIFIER_MODE configuration variable ('heuristic', 'ml', or 'distilbert') and dynamically invoke the corresponding model without restart.</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FR3</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Continuous Complexity Scoring</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active classifier shall evaluate the semantic and structural difficulty of the prompt and return a continuous probability score p in the range [0.0, 1.0].</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FR4</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Confidence Interval Calculation</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classification module shall calculate model decision confidence as max(p, 1-p), reflecting certainty in the selected binary category.</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FR5</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Threshold Gating Decision</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router shall compare score p against COMPLEXITY_THRESHOLD = 0.50, routing to 'local' if p &lt; 0.50 and 'cloud' if p &gt;= 0.50.</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FR6</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Local SLM Inference Execution</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For 'local' routes, the gateway shall call the Ollama REST API with qwen2.5:7b, receiving generated text at zero token API cost.</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FR7</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Multi-Provider Cloud Dispatch</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For 'cloud' routes, the gateway shall dispatch prompts to primary provider Groq (gpt-oss-120b) and capture token usage and completions.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FR8</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Automated Two-Tier Failover</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system shall intercept Ollama timeouts and redirect to cloud (fallback_reason='local_slm_unavailable'), and intercept Groq rate limits to redirect to Gemini.</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FR9</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Hardware &amp; Carbon Telemetry</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system shall measure local CPU energy draw (kWh) and grams of CO2 via CodeCarbon, and compute cloud emissions using 0.35g CO2 / 1k tokens.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FR10</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Relational Audit Persistence</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Every request transaction shall be atomically written to SQLite table requests_log capturing 16 schema attributes with auto-migration.</w:t>
            </w:r>
          </w:p>
        </w:tc>
      </w:tr>
    </w:tbl>
    <w:p>
      <w:pPr>
        <w:spacing w:before="200" w:after="80"/>
        <w:jc w:val="left"/>
      </w:pPr>
      <w:r>
        <w:rPr>
          <w:rFonts w:ascii="Times New Roman" w:hAnsi="Times New Roman"/>
          <w:b/>
          <w:color w:val="000000"/>
          <w:sz w:val="24"/>
        </w:rPr>
        <w:t>3.1.4 Non-Functional Requirements Specification</w:t>
      </w:r>
    </w:p>
    <w:p>
      <w:pPr>
        <w:spacing w:before="0" w:after="120" w:line="276" w:lineRule="auto"/>
        <w:jc w:val="both"/>
      </w:pPr>
      <w:r>
        <w:rPr>
          <w:rFonts w:ascii="Times New Roman" w:hAnsi="Times New Roman"/>
          <w:b w:val="0"/>
          <w:i w:val="0"/>
          <w:color w:val="000000"/>
          <w:sz w:val="24"/>
        </w:rPr>
        <w:t>Non-functional constraints define the operational performance, availability, maintainability, and security bounds of the system (Table 3.4).</w:t>
      </w:r>
    </w:p>
    <w:p>
      <w:pPr>
        <w:spacing w:before="200" w:after="80" w:line="276" w:lineRule="auto"/>
        <w:jc w:val="center"/>
      </w:pPr>
      <w:r>
        <w:rPr>
          <w:rFonts w:ascii="Times New Roman" w:hAnsi="Times New Roman"/>
          <w:b/>
          <w:i w:val="0"/>
          <w:color w:val="000000"/>
          <w:sz w:val="22"/>
        </w:rPr>
        <w:t>Table 3.4: System Non-Functional Requirements Specification (NFR1 to NFR8)</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NFR ID</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Quality Attribute</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Non-Functional Target Metric &amp; Constraint</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NFR1</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Classification Latency Overhead</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transformer classification forward pass shall execute in less than 30.0 milliseconds on standard CPU hardware to preserve overall pipeline throughput.</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NFR2</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High-Availability &amp; Uptime</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gateway shall guarantee 99.9% request fulfillment uptime via automated bidirectional fallbacks preventing uncaught runtime crashes.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NFR3</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Zero Data Loss Schema Evolution</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SQLite database layer shall inspect PRAGMA table_info on startup and execute non-destructive ALTER TABLE migrations when schema columns are added.</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NFR4</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Data Privacy &amp; Local Perimeter</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Simple, sensitive, or routine user queries shall remain strictly confined to the local workstation RAM, never transmitting payloads across WAN networks.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NFR5</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Modular Decoupling</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classification, routing, inference, and persistence subsystems shall be completely isolated into distinct Python modules for independent refactoring.</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NFR6</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Telemetry Transparency</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All estimated metrics (such as cloud emissions derived from 0.35g CO2 / 1k tokens) shall be explicitly labeled as 'Estimated' across all dashboard views.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NFR7</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Stateless Middleware Scalability</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The FastAPI routing core shall maintain stateless execution, enabling multi-worker horizontal scaling behind reverse proxies without session lockouts.</w:t>
            </w:r>
          </w:p>
        </w:tc>
      </w:tr>
      <w:tr>
        <w:tc>
          <w:tcPr>
            <w:tcW w:type="dxa" w:w="1152"/>
            <w:tcMar>
              <w:top w:w="60" w:type="dxa"/>
              <w:bottom w:w="60" w:type="dxa"/>
              <w:left w:w="100" w:type="dxa"/>
              <w:right w:w="100" w:type="dxa"/>
            </w:tcMar>
            <w:vAlign w:val="center"/>
          </w:tcPr>
          <w:p>
            <w:pPr>
              <w:spacing w:before="20" w:after="40" w:line="276" w:lineRule="auto"/>
              <w:jc w:val="center"/>
            </w:pPr>
            <w:r>
              <w:rPr>
                <w:rFonts w:ascii="Times New Roman" w:hAnsi="Times New Roman"/>
                <w:b/>
                <w:color w:val="000000"/>
                <w:sz w:val="21"/>
              </w:rPr>
              <w:t>NFR8</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Security &amp; Secret Isolation</w:t>
            </w:r>
          </w:p>
        </w:tc>
        <w:tc>
          <w:tcPr>
            <w:tcW w:type="dxa" w:w="48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All commercial API keys (GROQ_API_KEY, GEMINI_API_KEY) shall be strictly isolated within local .env files and omitted from version control.</w:t>
            </w:r>
          </w:p>
        </w:tc>
      </w:tr>
    </w:tbl>
    <w:p>
      <w:pPr>
        <w:spacing w:before="200" w:after="80"/>
        <w:jc w:val="left"/>
      </w:pPr>
      <w:r>
        <w:rPr>
          <w:rFonts w:ascii="Times New Roman" w:hAnsi="Times New Roman"/>
          <w:b/>
          <w:color w:val="000000"/>
          <w:sz w:val="24"/>
        </w:rPr>
        <w:t>3.1.5 Data Flow Diagrams (DFD Level 0, Level 1, Level 2)</w:t>
      </w:r>
    </w:p>
    <w:p>
      <w:pPr>
        <w:spacing w:before="0" w:after="120" w:line="276" w:lineRule="auto"/>
        <w:jc w:val="both"/>
      </w:pPr>
      <w:r>
        <w:rPr>
          <w:rFonts w:ascii="Times New Roman" w:hAnsi="Times New Roman"/>
          <w:b w:val="0"/>
          <w:i w:val="0"/>
          <w:color w:val="000000"/>
          <w:sz w:val="24"/>
        </w:rPr>
        <w:t>Software modeling ensures rigorous architectural discipline before code deployment. The following subsections present the complete Data Flow Diagrams (DFDs) across Levels 0, 1, and 2, followed by comprehensive Unified Modeling Language (UML) diagrams modeling static object structures, use cases, sequential message passing, state transitions, and component packages.</w:t>
      </w:r>
    </w:p>
    <w:p>
      <w:pPr>
        <w:spacing w:before="0" w:after="120" w:line="276" w:lineRule="auto"/>
        <w:jc w:val="both"/>
      </w:pPr>
      <w:r>
        <w:rPr>
          <w:rFonts w:ascii="Times New Roman" w:hAnsi="Times New Roman"/>
          <w:b/>
          <w:i w:val="0"/>
          <w:color w:val="000000"/>
          <w:sz w:val="24"/>
        </w:rPr>
        <w:t>A. Data Flow Diagram Level 0: Context Level Diagram</w:t>
      </w:r>
    </w:p>
    <w:p>
      <w:pPr>
        <w:spacing w:before="0" w:after="120" w:line="276" w:lineRule="auto"/>
        <w:jc w:val="both"/>
      </w:pPr>
      <w:r>
        <w:rPr>
          <w:rFonts w:ascii="Times New Roman" w:hAnsi="Times New Roman"/>
          <w:b w:val="0"/>
          <w:i w:val="0"/>
          <w:color w:val="000000"/>
          <w:sz w:val="24"/>
        </w:rPr>
        <w:t>Figure 3.1 illustrates the Level 0 Context Diagram representing the high-level boundary of the Hybrid SLM-LLM Router Gateway. The system interacts with four primary external entities: the End User / Client, the Local Ollama SLM, External Cloud LLM APIs (Groq and Gemini), the Host Hardware Sensors (monitored by CodeCarbon), and the System Administrator.</w:t>
      </w:r>
    </w:p>
    <w:p>
      <w:pPr>
        <w:spacing w:before="200" w:after="80"/>
        <w:jc w:val="center"/>
      </w:pPr>
      <w:r>
        <w:drawing>
          <wp:inline xmlns:a="http://schemas.openxmlformats.org/drawingml/2006/main" xmlns:pic="http://schemas.openxmlformats.org/drawingml/2006/picture">
            <wp:extent cx="5303520" cy="2872740"/>
            <wp:docPr id="4" name="Picture 4"/>
            <wp:cNvGraphicFramePr>
              <a:graphicFrameLocks noChangeAspect="1"/>
            </wp:cNvGraphicFramePr>
            <a:graphic>
              <a:graphicData uri="http://schemas.openxmlformats.org/drawingml/2006/picture">
                <pic:pic>
                  <pic:nvPicPr>
                    <pic:cNvPr id="0" name="fig_3_1_dfd_level_0.png"/>
                    <pic:cNvPicPr/>
                  </pic:nvPicPr>
                  <pic:blipFill>
                    <a:blip r:embed="rId18"/>
                    <a:stretch>
                      <a:fillRect/>
                    </a:stretch>
                  </pic:blipFill>
                  <pic:spPr>
                    <a:xfrm>
                      <a:off x="0" y="0"/>
                      <a:ext cx="5303520" cy="2872740"/>
                    </a:xfrm>
                    <a:prstGeom prst="rect"/>
                  </pic:spPr>
                </pic:pic>
              </a:graphicData>
            </a:graphic>
          </wp:inline>
        </w:drawing>
      </w:r>
    </w:p>
    <w:p>
      <w:pPr>
        <w:spacing w:before="40" w:after="240"/>
        <w:jc w:val="center"/>
      </w:pPr>
      <w:r>
        <w:rPr>
          <w:rFonts w:ascii="Times New Roman" w:hAnsi="Times New Roman"/>
          <w:b/>
          <w:i/>
          <w:color w:val="000000"/>
          <w:sz w:val="21"/>
        </w:rPr>
        <w:t>Figure 3.1: Data Flow Diagram (DFD) - Level 0: Context Level Diagram</w:t>
      </w:r>
    </w:p>
    <w:p>
      <w:pPr>
        <w:spacing w:before="0" w:after="120" w:line="276" w:lineRule="auto"/>
        <w:jc w:val="both"/>
      </w:pPr>
      <w:r>
        <w:rPr>
          <w:rFonts w:ascii="Times New Roman" w:hAnsi="Times New Roman"/>
          <w:b/>
          <w:i w:val="0"/>
          <w:color w:val="000000"/>
          <w:sz w:val="24"/>
        </w:rPr>
        <w:t>B. Data Flow Diagram Level 1: Subsystem Functional Decomposition</w:t>
      </w:r>
    </w:p>
    <w:p>
      <w:pPr>
        <w:spacing w:before="0" w:after="120" w:line="276" w:lineRule="auto"/>
        <w:jc w:val="both"/>
      </w:pPr>
      <w:r>
        <w:rPr>
          <w:rFonts w:ascii="Times New Roman" w:hAnsi="Times New Roman"/>
          <w:b w:val="0"/>
          <w:i w:val="0"/>
          <w:color w:val="000000"/>
          <w:sz w:val="24"/>
        </w:rPr>
        <w:t>Figure 3.2 decomposes Process 0.0 into seven core functional processes: 1.0 Prompt Ingestion &amp; Validation, 2.0 Complexity Classification (querying Datastore D1: Pretrained Model Weights), 3.0 Model Routing &amp; Dispatch Policy, 4.0 Local SLM Inference, 5.0 Cloud LLM Inference, 6.0 Telemetry, Energy &amp; Cost Accounting (writing to Datastore D2: SQLite requests_log), and 7.0 Dashboard Visual Analytics Rendering.</w:t>
      </w:r>
    </w:p>
    <w:p>
      <w:pPr>
        <w:spacing w:before="200" w:after="80"/>
        <w:jc w:val="center"/>
      </w:pPr>
      <w:r>
        <w:drawing>
          <wp:inline xmlns:a="http://schemas.openxmlformats.org/drawingml/2006/main" xmlns:pic="http://schemas.openxmlformats.org/drawingml/2006/picture">
            <wp:extent cx="5486400" cy="3722914"/>
            <wp:docPr id="5" name="Picture 5"/>
            <wp:cNvGraphicFramePr>
              <a:graphicFrameLocks noChangeAspect="1"/>
            </wp:cNvGraphicFramePr>
            <a:graphic>
              <a:graphicData uri="http://schemas.openxmlformats.org/drawingml/2006/picture">
                <pic:pic>
                  <pic:nvPicPr>
                    <pic:cNvPr id="0" name="fig_3_2_dfd_level_1.png"/>
                    <pic:cNvPicPr/>
                  </pic:nvPicPr>
                  <pic:blipFill>
                    <a:blip r:embed="rId19"/>
                    <a:stretch>
                      <a:fillRect/>
                    </a:stretch>
                  </pic:blipFill>
                  <pic:spPr>
                    <a:xfrm>
                      <a:off x="0" y="0"/>
                      <a:ext cx="5486400" cy="3722914"/>
                    </a:xfrm>
                    <a:prstGeom prst="rect"/>
                  </pic:spPr>
                </pic:pic>
              </a:graphicData>
            </a:graphic>
          </wp:inline>
        </w:drawing>
      </w:r>
    </w:p>
    <w:p>
      <w:pPr>
        <w:spacing w:before="40" w:after="240"/>
        <w:jc w:val="center"/>
      </w:pPr>
      <w:r>
        <w:rPr>
          <w:rFonts w:ascii="Times New Roman" w:hAnsi="Times New Roman"/>
          <w:b/>
          <w:i/>
          <w:color w:val="000000"/>
          <w:sz w:val="21"/>
        </w:rPr>
        <w:t>Figure 3.2: Data Flow Diagram (DFD) - Level 1: Subsystem Functional Decomposition</w:t>
      </w:r>
    </w:p>
    <w:p>
      <w:pPr>
        <w:spacing w:before="0" w:after="120" w:line="276" w:lineRule="auto"/>
        <w:jc w:val="both"/>
      </w:pPr>
      <w:r>
        <w:rPr>
          <w:rFonts w:ascii="Times New Roman" w:hAnsi="Times New Roman"/>
          <w:b/>
          <w:i w:val="0"/>
          <w:color w:val="000000"/>
          <w:sz w:val="24"/>
        </w:rPr>
        <w:t>C. Data Flow Diagram Level 2: Micro Process Decomposition</w:t>
      </w:r>
    </w:p>
    <w:p>
      <w:pPr>
        <w:spacing w:before="0" w:after="120" w:line="276" w:lineRule="auto"/>
        <w:jc w:val="both"/>
      </w:pPr>
      <w:r>
        <w:rPr>
          <w:rFonts w:ascii="Times New Roman" w:hAnsi="Times New Roman"/>
          <w:b w:val="0"/>
          <w:i w:val="0"/>
          <w:color w:val="000000"/>
          <w:sz w:val="24"/>
        </w:rPr>
        <w:t>Figure 3.3 provides granular micro-process decomposition of the internal classification and multi-tier dispatch pipelines. Process 2.0 is expanded into WordPiece Tokenization (2.1), Transformer Forward Pass (2.2), and Softmax Scoring (2.3). The dispatch subsystem details the CodeCarbon tracking initialization (4.1), Ollama invocation (4.2), primary Groq LPU dispatch (5.1), and Gemini failover (5.2).</w:t>
      </w:r>
    </w:p>
    <w:p>
      <w:pPr>
        <w:spacing w:before="200" w:after="80"/>
        <w:jc w:val="center"/>
      </w:pPr>
      <w:r>
        <w:drawing>
          <wp:inline xmlns:a="http://schemas.openxmlformats.org/drawingml/2006/main" xmlns:pic="http://schemas.openxmlformats.org/drawingml/2006/picture">
            <wp:extent cx="5486400" cy="3454400"/>
            <wp:docPr id="6" name="Picture 6"/>
            <wp:cNvGraphicFramePr>
              <a:graphicFrameLocks noChangeAspect="1"/>
            </wp:cNvGraphicFramePr>
            <a:graphic>
              <a:graphicData uri="http://schemas.openxmlformats.org/drawingml/2006/picture">
                <pic:pic>
                  <pic:nvPicPr>
                    <pic:cNvPr id="0" name="fig_3_3_dfd_level_2.png"/>
                    <pic:cNvPicPr/>
                  </pic:nvPicPr>
                  <pic:blipFill>
                    <a:blip r:embed="rId20"/>
                    <a:stretch>
                      <a:fillRect/>
                    </a:stretch>
                  </pic:blipFill>
                  <pic:spPr>
                    <a:xfrm>
                      <a:off x="0" y="0"/>
                      <a:ext cx="5486400" cy="3454400"/>
                    </a:xfrm>
                    <a:prstGeom prst="rect"/>
                  </pic:spPr>
                </pic:pic>
              </a:graphicData>
            </a:graphic>
          </wp:inline>
        </w:drawing>
      </w:r>
    </w:p>
    <w:p>
      <w:pPr>
        <w:spacing w:before="40" w:after="240"/>
        <w:jc w:val="center"/>
      </w:pPr>
      <w:r>
        <w:rPr>
          <w:rFonts w:ascii="Times New Roman" w:hAnsi="Times New Roman"/>
          <w:b/>
          <w:i/>
          <w:color w:val="000000"/>
          <w:sz w:val="21"/>
        </w:rPr>
        <w:t>Figure 3.3: Data Flow Diagram (DFD) - Level 2: Micro Process Decomposition</w:t>
      </w:r>
    </w:p>
    <w:p>
      <w:pPr>
        <w:spacing w:before="200" w:after="80"/>
        <w:jc w:val="left"/>
      </w:pPr>
      <w:r>
        <w:rPr>
          <w:rFonts w:ascii="Times New Roman" w:hAnsi="Times New Roman"/>
          <w:b/>
          <w:color w:val="000000"/>
          <w:sz w:val="24"/>
        </w:rPr>
        <w:t>3.1.6 Specification Document &amp; UML Diagrams of all Modules</w:t>
      </w:r>
    </w:p>
    <w:p>
      <w:pPr>
        <w:spacing w:before="0" w:after="120" w:line="276" w:lineRule="auto"/>
        <w:jc w:val="both"/>
      </w:pPr>
      <w:r>
        <w:rPr>
          <w:rFonts w:ascii="Times New Roman" w:hAnsi="Times New Roman"/>
          <w:b/>
          <w:i w:val="0"/>
          <w:color w:val="000000"/>
          <w:sz w:val="24"/>
        </w:rPr>
        <w:t>A. UML Use Case Diagram</w:t>
      </w:r>
    </w:p>
    <w:p>
      <w:pPr>
        <w:spacing w:before="0" w:after="120" w:line="276" w:lineRule="auto"/>
        <w:jc w:val="both"/>
      </w:pPr>
      <w:r>
        <w:rPr>
          <w:rFonts w:ascii="Times New Roman" w:hAnsi="Times New Roman"/>
          <w:b w:val="0"/>
          <w:i w:val="0"/>
          <w:color w:val="000000"/>
          <w:sz w:val="24"/>
        </w:rPr>
        <w:t>Figure 3.4 captures system behavior from the perspective of user and system actors. Primary actors include the End User and System Administrator. Secondary system actors include the Local Ollama Daemon, Cloud API Services, and CodeCarbon Hardware Profiler. Core use cases include prompt submission, complexity evaluation (with &lt;&lt;include&gt;&gt; relationship), local routing, cloud execution, failover handling, live telemetry tracking, and visual analytics monitoring.</w:t>
      </w:r>
    </w:p>
    <w:p>
      <w:pPr>
        <w:spacing w:before="200" w:after="8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fig_3_4_uml_use_case.png"/>
                    <pic:cNvPicPr/>
                  </pic:nvPicPr>
                  <pic:blipFill>
                    <a:blip r:embed="rId21"/>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i/>
          <w:color w:val="000000"/>
          <w:sz w:val="21"/>
        </w:rPr>
        <w:t>Figure 3.4: UML Use Case Diagram: Actor Roles and System Functional Boundaries</w:t>
      </w:r>
    </w:p>
    <w:p>
      <w:pPr>
        <w:spacing w:before="0" w:after="120" w:line="276" w:lineRule="auto"/>
        <w:jc w:val="both"/>
      </w:pPr>
      <w:r>
        <w:rPr>
          <w:rFonts w:ascii="Times New Roman" w:hAnsi="Times New Roman"/>
          <w:b/>
          <w:i w:val="0"/>
          <w:color w:val="000000"/>
          <w:sz w:val="24"/>
        </w:rPr>
        <w:t>B. UML Class Diagram</w:t>
      </w:r>
    </w:p>
    <w:p>
      <w:pPr>
        <w:spacing w:before="0" w:after="120" w:line="276" w:lineRule="auto"/>
        <w:jc w:val="both"/>
      </w:pPr>
      <w:r>
        <w:rPr>
          <w:rFonts w:ascii="Times New Roman" w:hAnsi="Times New Roman"/>
          <w:b w:val="0"/>
          <w:i w:val="0"/>
          <w:color w:val="000000"/>
          <w:sz w:val="24"/>
        </w:rPr>
        <w:t>Figure 3.5 models the static object-oriented structure, class attributes, method signatures, visibility modifiers, and associations. Key encapsulated classes include FastAPIRouter (controller), ChatSchemas (Pydantic validation models), DistilBERTClassifier (Hugging Face PyTorch wrapper with model caching), AlternativeClassifiers (heuristic regex and classical TF-IDF), LocalInferenceEngine (Ollama client with CodeCarbon telemetry), CloudInferenceEngine (multi-provider dispatcher), and DatabaseManager (SQLite connection pool and auto-migration engine).</w:t>
      </w:r>
    </w:p>
    <w:p>
      <w:pPr>
        <w:spacing w:before="200" w:after="80"/>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fig_3_5_uml_class.png"/>
                    <pic:cNvPicPr/>
                  </pic:nvPicPr>
                  <pic:blipFill>
                    <a:blip r:embed="rId22"/>
                    <a:stretch>
                      <a:fillRect/>
                    </a:stretch>
                  </pic:blipFill>
                  <pic:spPr>
                    <a:xfrm>
                      <a:off x="0" y="0"/>
                      <a:ext cx="5486400" cy="3657600"/>
                    </a:xfrm>
                    <a:prstGeom prst="rect"/>
                  </pic:spPr>
                </pic:pic>
              </a:graphicData>
            </a:graphic>
          </wp:inline>
        </w:drawing>
      </w:r>
    </w:p>
    <w:p>
      <w:pPr>
        <w:spacing w:before="40" w:after="240"/>
        <w:jc w:val="center"/>
      </w:pPr>
      <w:r>
        <w:rPr>
          <w:rFonts w:ascii="Times New Roman" w:hAnsi="Times New Roman"/>
          <w:b/>
          <w:i/>
          <w:color w:val="000000"/>
          <w:sz w:val="21"/>
        </w:rPr>
        <w:t>Figure 3.5: UML Class Diagram: Object-Oriented Software Architecture and Interfaces</w:t>
      </w:r>
    </w:p>
    <w:p>
      <w:pPr>
        <w:spacing w:before="0" w:after="120" w:line="276" w:lineRule="auto"/>
        <w:jc w:val="both"/>
      </w:pPr>
      <w:r>
        <w:rPr>
          <w:rFonts w:ascii="Times New Roman" w:hAnsi="Times New Roman"/>
          <w:b/>
          <w:i w:val="0"/>
          <w:color w:val="000000"/>
          <w:sz w:val="24"/>
        </w:rPr>
        <w:t>C. UML Sequence Diagram</w:t>
      </w:r>
    </w:p>
    <w:p>
      <w:pPr>
        <w:spacing w:before="0" w:after="120" w:line="276" w:lineRule="auto"/>
        <w:jc w:val="both"/>
      </w:pPr>
      <w:r>
        <w:rPr>
          <w:rFonts w:ascii="Times New Roman" w:hAnsi="Times New Roman"/>
          <w:b w:val="0"/>
          <w:i w:val="0"/>
          <w:color w:val="000000"/>
          <w:sz w:val="24"/>
        </w:rPr>
        <w:t>Figure 3.6 presents the chronological message-passing sequence across six lifelines: Client, FastAPI Gateway, DistilBERT Classifier, Local SLM, Cloud LLM, and SQLite DB. The diagram models the parallel execution alternatives for the normal local route (score &lt; 0.50) and the cloud failover route (score &gt;= 0.50), illustrating Groq rate-limit exception interception and immediate Gemini failover.</w:t>
      </w:r>
    </w:p>
    <w:p>
      <w:pPr>
        <w:spacing w:before="200" w:after="80"/>
        <w:jc w:val="center"/>
      </w:pPr>
      <w:r>
        <w:drawing>
          <wp:inline xmlns:a="http://schemas.openxmlformats.org/drawingml/2006/main" xmlns:pic="http://schemas.openxmlformats.org/drawingml/2006/picture">
            <wp:extent cx="5486400" cy="3860800"/>
            <wp:docPr id="9" name="Picture 9"/>
            <wp:cNvGraphicFramePr>
              <a:graphicFrameLocks noChangeAspect="1"/>
            </wp:cNvGraphicFramePr>
            <a:graphic>
              <a:graphicData uri="http://schemas.openxmlformats.org/drawingml/2006/picture">
                <pic:pic>
                  <pic:nvPicPr>
                    <pic:cNvPr id="0" name="fig_3_6_uml_sequence.png"/>
                    <pic:cNvPicPr/>
                  </pic:nvPicPr>
                  <pic:blipFill>
                    <a:blip r:embed="rId23"/>
                    <a:stretch>
                      <a:fillRect/>
                    </a:stretch>
                  </pic:blipFill>
                  <pic:spPr>
                    <a:xfrm>
                      <a:off x="0" y="0"/>
                      <a:ext cx="5486400" cy="3860800"/>
                    </a:xfrm>
                    <a:prstGeom prst="rect"/>
                  </pic:spPr>
                </pic:pic>
              </a:graphicData>
            </a:graphic>
          </wp:inline>
        </w:drawing>
      </w:r>
    </w:p>
    <w:p>
      <w:pPr>
        <w:spacing w:before="40" w:after="240"/>
        <w:jc w:val="center"/>
      </w:pPr>
      <w:r>
        <w:rPr>
          <w:rFonts w:ascii="Times New Roman" w:hAnsi="Times New Roman"/>
          <w:b/>
          <w:i/>
          <w:color w:val="000000"/>
          <w:sz w:val="21"/>
        </w:rPr>
        <w:t>Figure 3.6: UML Sequence Diagram: Dual-Path Execution with Automated Failover</w:t>
      </w:r>
    </w:p>
    <w:p>
      <w:pPr>
        <w:spacing w:before="0" w:after="120" w:line="276" w:lineRule="auto"/>
        <w:jc w:val="both"/>
      </w:pPr>
      <w:r>
        <w:rPr>
          <w:rFonts w:ascii="Times New Roman" w:hAnsi="Times New Roman"/>
          <w:b/>
          <w:i w:val="0"/>
          <w:color w:val="000000"/>
          <w:sz w:val="24"/>
        </w:rPr>
        <w:t>D. UML Activity Diagram</w:t>
      </w:r>
    </w:p>
    <w:p>
      <w:pPr>
        <w:spacing w:before="0" w:after="120" w:line="276" w:lineRule="auto"/>
        <w:jc w:val="both"/>
      </w:pPr>
      <w:r>
        <w:rPr>
          <w:rFonts w:ascii="Times New Roman" w:hAnsi="Times New Roman"/>
          <w:b w:val="0"/>
          <w:i w:val="0"/>
          <w:color w:val="000000"/>
          <w:sz w:val="24"/>
        </w:rPr>
        <w:t>Figure 3.7 models procedural control flow, decision diamonds, concurrent fork/join pathways, and exception handling. It traces the prompt lifecycle from entry validation, through DistilBERT inference, threshold gating (p &gt;= 0.50), Ollama execution with exception catch to cloud fallback, Groq execution with failover to Gemini, metric collating, and HTTP response serialization.</w:t>
      </w:r>
    </w:p>
    <w:p>
      <w:pPr>
        <w:spacing w:before="200" w:after="80"/>
        <w:jc w:val="center"/>
      </w:pPr>
      <w:r>
        <w:drawing>
          <wp:inline xmlns:a="http://schemas.openxmlformats.org/drawingml/2006/main" xmlns:pic="http://schemas.openxmlformats.org/drawingml/2006/picture">
            <wp:extent cx="5120640" cy="4422371"/>
            <wp:docPr id="10" name="Picture 10"/>
            <wp:cNvGraphicFramePr>
              <a:graphicFrameLocks noChangeAspect="1"/>
            </wp:cNvGraphicFramePr>
            <a:graphic>
              <a:graphicData uri="http://schemas.openxmlformats.org/drawingml/2006/picture">
                <pic:pic>
                  <pic:nvPicPr>
                    <pic:cNvPr id="0" name="fig_3_7_uml_activity.png"/>
                    <pic:cNvPicPr/>
                  </pic:nvPicPr>
                  <pic:blipFill>
                    <a:blip r:embed="rId24"/>
                    <a:stretch>
                      <a:fillRect/>
                    </a:stretch>
                  </pic:blipFill>
                  <pic:spPr>
                    <a:xfrm>
                      <a:off x="0" y="0"/>
                      <a:ext cx="5120640" cy="4422371"/>
                    </a:xfrm>
                    <a:prstGeom prst="rect"/>
                  </pic:spPr>
                </pic:pic>
              </a:graphicData>
            </a:graphic>
          </wp:inline>
        </w:drawing>
      </w:r>
    </w:p>
    <w:p>
      <w:pPr>
        <w:spacing w:before="40" w:after="240"/>
        <w:jc w:val="center"/>
      </w:pPr>
      <w:r>
        <w:rPr>
          <w:rFonts w:ascii="Times New Roman" w:hAnsi="Times New Roman"/>
          <w:b/>
          <w:i/>
          <w:color w:val="000000"/>
          <w:sz w:val="21"/>
        </w:rPr>
        <w:t>Figure 3.7: UML Activity Diagram: Dynamic Decision Flow and Fallback Lifecycle</w:t>
      </w:r>
    </w:p>
    <w:p>
      <w:pPr>
        <w:spacing w:before="0" w:after="120" w:line="276" w:lineRule="auto"/>
        <w:jc w:val="both"/>
      </w:pPr>
      <w:r>
        <w:rPr>
          <w:rFonts w:ascii="Times New Roman" w:hAnsi="Times New Roman"/>
          <w:b/>
          <w:i w:val="0"/>
          <w:color w:val="000000"/>
          <w:sz w:val="24"/>
        </w:rPr>
        <w:t>E. UML Component Diagram</w:t>
      </w:r>
    </w:p>
    <w:p>
      <w:pPr>
        <w:spacing w:before="0" w:after="120" w:line="276" w:lineRule="auto"/>
        <w:jc w:val="both"/>
      </w:pPr>
      <w:r>
        <w:rPr>
          <w:rFonts w:ascii="Times New Roman" w:hAnsi="Times New Roman"/>
          <w:b w:val="0"/>
          <w:i w:val="0"/>
          <w:color w:val="000000"/>
          <w:sz w:val="24"/>
        </w:rPr>
        <w:t>Figure 3.8 depicts the structural organization of software components across the Presentation Tier (Streamlit, Swagger UI), Gateway &amp; Logic Tier (FastAPI Gateway, ComplexityClassifier, RoutingPolicy, TelemetryEngine), and Execution &amp; Persistence Tier (Ollama Service, Cloud Dispatch Service, SQLite Persistence, and Serialized Model Artifacts).</w:t>
      </w:r>
    </w:p>
    <w:p>
      <w:pPr>
        <w:spacing w:before="200" w:after="80"/>
        <w:jc w:val="center"/>
      </w:pPr>
      <w:r>
        <w:drawing>
          <wp:inline xmlns:a="http://schemas.openxmlformats.org/drawingml/2006/main" xmlns:pic="http://schemas.openxmlformats.org/drawingml/2006/picture">
            <wp:extent cx="5486400" cy="3587262"/>
            <wp:docPr id="11" name="Picture 11"/>
            <wp:cNvGraphicFramePr>
              <a:graphicFrameLocks noChangeAspect="1"/>
            </wp:cNvGraphicFramePr>
            <a:graphic>
              <a:graphicData uri="http://schemas.openxmlformats.org/drawingml/2006/picture">
                <pic:pic>
                  <pic:nvPicPr>
                    <pic:cNvPr id="0" name="fig_3_8_uml_component.png"/>
                    <pic:cNvPicPr/>
                  </pic:nvPicPr>
                  <pic:blipFill>
                    <a:blip r:embed="rId25"/>
                    <a:stretch>
                      <a:fillRect/>
                    </a:stretch>
                  </pic:blipFill>
                  <pic:spPr>
                    <a:xfrm>
                      <a:off x="0" y="0"/>
                      <a:ext cx="5486400" cy="3587262"/>
                    </a:xfrm>
                    <a:prstGeom prst="rect"/>
                  </pic:spPr>
                </pic:pic>
              </a:graphicData>
            </a:graphic>
          </wp:inline>
        </w:drawing>
      </w:r>
    </w:p>
    <w:p>
      <w:pPr>
        <w:spacing w:before="40" w:after="240"/>
        <w:jc w:val="center"/>
      </w:pPr>
      <w:r>
        <w:rPr>
          <w:rFonts w:ascii="Times New Roman" w:hAnsi="Times New Roman"/>
          <w:b/>
          <w:i/>
          <w:color w:val="000000"/>
          <w:sz w:val="21"/>
        </w:rPr>
        <w:t>Figure 3.8: UML Component Diagram: Multi-Tier Architectural Packages and Dependencies</w:t>
      </w:r>
    </w:p>
    <w:p>
      <w:pPr>
        <w:spacing w:before="0" w:after="120" w:line="276" w:lineRule="auto"/>
        <w:jc w:val="both"/>
      </w:pPr>
      <w:r>
        <w:rPr>
          <w:rFonts w:ascii="Times New Roman" w:hAnsi="Times New Roman"/>
          <w:b/>
          <w:i w:val="0"/>
          <w:color w:val="000000"/>
          <w:sz w:val="24"/>
        </w:rPr>
        <w:t>F. UML State Machine Diagram</w:t>
      </w:r>
    </w:p>
    <w:p>
      <w:pPr>
        <w:spacing w:before="0" w:after="120" w:line="276" w:lineRule="auto"/>
        <w:jc w:val="both"/>
      </w:pPr>
      <w:r>
        <w:rPr>
          <w:rFonts w:ascii="Times New Roman" w:hAnsi="Times New Roman"/>
          <w:b w:val="0"/>
          <w:i w:val="0"/>
          <w:color w:val="000000"/>
          <w:sz w:val="24"/>
        </w:rPr>
        <w:t>Figure 3.9 illustrates the state transitions of a request object across its lifecycle: [Start] -&gt; Ingested (Schema Validated) -&gt; Classifying (DistilBERT Forward Pass) -&gt; RouteSelected -&gt; LocalRunning / CloudRunning -&gt; FailoverTriggered (if exception caught) -&gt; LoggingMetrics -&gt; Responded -&gt; [End].</w:t>
      </w:r>
    </w:p>
    <w:p>
      <w:pPr>
        <w:spacing w:before="200" w:after="80"/>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fig_3_9_uml_state_machine.png"/>
                    <pic:cNvPicPr/>
                  </pic:nvPicPr>
                  <pic:blipFill>
                    <a:blip r:embed="rId26"/>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000000"/>
          <w:sz w:val="21"/>
        </w:rPr>
        <w:t>Figure 3.9: UML State Machine Diagram: Request Lifecycle States and Transitions</w:t>
      </w:r>
    </w:p>
    <w:p>
      <w:pPr>
        <w:spacing w:before="160" w:after="40"/>
        <w:jc w:val="left"/>
      </w:pPr>
      <w:r>
        <w:rPr>
          <w:rFonts w:ascii="Times New Roman" w:hAnsi="Times New Roman"/>
          <w:b/>
          <w:i/>
          <w:color w:val="000000"/>
          <w:sz w:val="24"/>
        </w:rPr>
        <w:t>G. Module Specification: Complexity Classification Engine</w:t>
      </w:r>
    </w:p>
    <w:p>
      <w:pPr>
        <w:spacing w:before="0" w:after="120" w:line="276" w:lineRule="auto"/>
        <w:jc w:val="both"/>
      </w:pPr>
      <w:r>
        <w:rPr>
          <w:rFonts w:ascii="Times New Roman" w:hAnsi="Times New Roman"/>
          <w:b w:val="0"/>
          <w:i w:val="0"/>
          <w:color w:val="000000"/>
          <w:sz w:val="24"/>
        </w:rPr>
        <w:t>To systematically evaluate prompt complexity, the project designed, implemented, and evaluated three distinct classification architectures: a deterministic rule-based heuristic, a classical TF-IDF with calibrated Logistic Regression pipeline, and a fine-tuned DistilBERT deep transformer sequence classifier.</w:t>
      </w:r>
    </w:p>
    <w:p>
      <w:pPr>
        <w:spacing w:before="0" w:after="120" w:line="276" w:lineRule="auto"/>
        <w:jc w:val="both"/>
      </w:pPr>
      <w:r>
        <w:rPr>
          <w:rFonts w:ascii="Times New Roman" w:hAnsi="Times New Roman"/>
          <w:b/>
          <w:i w:val="0"/>
          <w:color w:val="000000"/>
          <w:sz w:val="24"/>
        </w:rPr>
        <w:t>1. Rule-Based Deterministic Heuristic Scorer</w:t>
      </w:r>
    </w:p>
    <w:p>
      <w:pPr>
        <w:spacing w:before="0" w:after="120" w:line="276" w:lineRule="auto"/>
        <w:jc w:val="both"/>
      </w:pPr>
      <w:r>
        <w:rPr>
          <w:rFonts w:ascii="Times New Roman" w:hAnsi="Times New Roman"/>
          <w:b w:val="0"/>
          <w:i w:val="0"/>
          <w:color w:val="000000"/>
          <w:sz w:val="24"/>
        </w:rPr>
        <w:t>The baseline heuristic classifier (implemented in backend/classifier.py) operates as a deterministic accumulator that increments a score from 0.0 based on lexical length, mathematical symbols, conjunctions, and high-reasoning keywords:</w:t>
        <w:br/>
        <w:br/>
        <w:t>1. Length Rules: If token count &gt; 40 words, add +0.4; if token count &gt; 15 words, add +0.2.</w:t>
        <w:br/>
        <w:t>2. Mathematical Symbols: If prompt contains operators (+, -, *, /, =, %) or digits, add +0.2.</w:t>
        <w:br/>
        <w:t>3. Reasoning Keywords: If prompt matches any high-reasoning keyword ('explain', 'analyze', 'write code', 'calculate', 'compare', 'reason', 'synthesize', 'evaluate', 'summarize', 'derive'), add +0.5 (applied once).</w:t>
        <w:br/>
        <w:t>4. Multi-Step Phrasing: If prompt contains sequential indicators ('then' or both 'first' and 'second'), add +0.2.</w:t>
        <w:br/>
        <w:t>5. Normalization: The final score is clamped: score = min(accumulated_score, 1.0).</w:t>
        <w:br/>
        <w:br/>
        <w:t>Heuristic Limitation &amp; False Positives: While computationally instantaneous (0.05 ms), the heuristic exhibits severe keyword over-triggering. For example, the query 'Explain pizza' matches the keyword 'explain', instantly forcing score = 0.50 and routing a trivial culinary question to an expensive cloud model.</w:t>
      </w:r>
    </w:p>
    <w:p>
      <w:pPr>
        <w:spacing w:before="0" w:after="120" w:line="276" w:lineRule="auto"/>
        <w:jc w:val="both"/>
      </w:pPr>
      <w:r>
        <w:rPr>
          <w:rFonts w:ascii="Times New Roman" w:hAnsi="Times New Roman"/>
          <w:b/>
          <w:i w:val="0"/>
          <w:color w:val="000000"/>
          <w:sz w:val="24"/>
        </w:rPr>
        <w:t>2. Classical Machine Learning: TF-IDF Vectorizer + Logistic Regression</w:t>
      </w:r>
    </w:p>
    <w:p>
      <w:pPr>
        <w:spacing w:before="0" w:after="120" w:line="276" w:lineRule="auto"/>
        <w:jc w:val="both"/>
      </w:pPr>
      <w:r>
        <w:rPr>
          <w:rFonts w:ascii="Times New Roman" w:hAnsi="Times New Roman"/>
          <w:b w:val="0"/>
          <w:i w:val="0"/>
          <w:color w:val="000000"/>
          <w:sz w:val="24"/>
        </w:rPr>
        <w:t>To mitigate heuristic fragility, a machine learning pipeline was implemented in backend/ml_classifier.py and trained via scripts/train_ml_classifier.py. The pipeline combines Term Frequency-Inverse Document Frequency (TF-IDF) n-gram vectorization with calibrated Logistic Regression:</w:t>
        <w:br/>
        <w:br/>
        <w:t>1. TF-IDF Formulation: For term t in prompt d across corpus D:</w:t>
        <w:br/>
        <w:t xml:space="preserve">   TF-IDF(t, d, D) = [1 + log(TF(t, d))] * [log((1 + |D|) / (1 + |{d in D : t in d}|)) + 1]</w:t>
        <w:br/>
        <w:t xml:space="preserve">   Configured with sublinear_tf=True, ngram_range=(1, 2) extracting unigrams and bigrams, and max_features=2500.</w:t>
        <w:br/>
        <w:br/>
        <w:t>2. Logistic Regression: Maps the high-dimensional sparse vector x to a probability:</w:t>
        <w:br/>
        <w:t xml:space="preserve">   z = w^T * x + b</w:t>
        <w:br/>
        <w:t xml:space="preserve">   P(complex) = 1 / (1 + exp(-z))</w:t>
        <w:br/>
        <w:t xml:space="preserve">   Configured with inverse regularization strength C=1.5, class_weight='balanced', and solver='liblinear'.</w:t>
        <w:br/>
        <w:br/>
        <w:t>Advantage: Learns co-occurrence patterns, avoiding keyword over-triggering on phrases like 'Can you explain why water is wet?'.</w:t>
      </w:r>
    </w:p>
    <w:p>
      <w:pPr>
        <w:spacing w:before="0" w:after="120" w:line="276" w:lineRule="auto"/>
        <w:jc w:val="both"/>
      </w:pPr>
      <w:r>
        <w:rPr>
          <w:rFonts w:ascii="Times New Roman" w:hAnsi="Times New Roman"/>
          <w:b/>
          <w:i w:val="0"/>
          <w:color w:val="000000"/>
          <w:sz w:val="24"/>
        </w:rPr>
        <w:t>3. Deep Learning: Fine-Tuned DistilBERT Transformer Classifier</w:t>
      </w:r>
    </w:p>
    <w:p>
      <w:pPr>
        <w:spacing w:before="0" w:after="120" w:line="276" w:lineRule="auto"/>
        <w:jc w:val="both"/>
      </w:pPr>
      <w:r>
        <w:rPr>
          <w:rFonts w:ascii="Times New Roman" w:hAnsi="Times New Roman"/>
          <w:b w:val="0"/>
          <w:i w:val="0"/>
          <w:color w:val="000000"/>
          <w:sz w:val="24"/>
        </w:rPr>
        <w:t>The production routing model (backend/ml_classifier_distilbert.py) utilizes a fine-tuned distilbert-base-uncased transformer sequence classifier (66 million parameters across 6 transformer layers, 768 hidden dimension, 12 self-attention heads). Fine-tuned in notebooks/finetune_classifier.ipynb on Google Colab (Tesla T4 GPU), the model processes prompts as follows:</w:t>
        <w:br/>
        <w:br/>
        <w:t>1. WordPiece Tokenization: Maps text to vocabulary indices (30,522 tokens) with special tokens [CLS] and [SEP], truncated or padded to max_length=128.</w:t>
        <w:br/>
        <w:t>2. Multi-Head Self-Attention: For query, key, value matrices Q, K, V:</w:t>
        <w:br/>
        <w:t xml:space="preserve">   Attention(Q, K, V) = softmax((Q * K^T) / sqrt(d_k)) * V</w:t>
        <w:br/>
        <w:t>3. Classification Head: The pooled hidden state of the [CLS] token h_[CLS] in R^768 is projected via a linear layer:</w:t>
        <w:br/>
        <w:t xml:space="preserve">   logits = W * h_[CLS] + b_cls, where W in R^(2 x 768)</w:t>
        <w:br/>
        <w:t>4. Softmax Normalization: The probability of class 1 (complex) is computed:</w:t>
        <w:br/>
        <w:t xml:space="preserve">   p = exp(logit_1) / [exp(logit_0) + exp(logit_1)]</w:t>
        <w:br/>
        <w:t>5. Decision &amp; Confidence: Route = 'local' if p &lt; 0.50 else 'cloud'; Confidence = max(p, 1 - p).</w:t>
        <w:br/>
        <w:br/>
        <w:t>Performance: Executes forward pass in 15 to 25 ms on CPU, delivering 99.17% validation accuracy.</w:t>
      </w:r>
    </w:p>
    <w:p>
      <w:pPr>
        <w:spacing w:before="0" w:after="120" w:line="276" w:lineRule="auto"/>
        <w:jc w:val="both"/>
      </w:pPr>
      <w:r>
        <w:rPr>
          <w:rFonts w:ascii="Times New Roman" w:hAnsi="Times New Roman"/>
          <w:b/>
          <w:i w:val="0"/>
          <w:color w:val="000000"/>
          <w:sz w:val="24"/>
        </w:rPr>
        <w:t>4. Dataset Engineering &amp; Evolutionary Lifecycle</w:t>
      </w:r>
    </w:p>
    <w:p>
      <w:pPr>
        <w:spacing w:before="0" w:after="120" w:line="276" w:lineRule="auto"/>
        <w:jc w:val="both"/>
      </w:pPr>
      <w:r>
        <w:rPr>
          <w:rFonts w:ascii="Times New Roman" w:hAnsi="Times New Roman"/>
          <w:b w:val="0"/>
          <w:i w:val="0"/>
          <w:color w:val="000000"/>
          <w:sz w:val="24"/>
        </w:rPr>
        <w:t>The machine learning models were developed through four evolutionary dataset iterations (Table 3.5), transitioning from an initial 120-prompt seed to a balanced, multi-domain curated corpus of 1,200 prompts (training_final.csv).</w:t>
      </w:r>
    </w:p>
    <w:p>
      <w:pPr>
        <w:spacing w:before="200" w:after="80" w:line="276" w:lineRule="auto"/>
        <w:jc w:val="center"/>
      </w:pPr>
      <w:r>
        <w:rPr>
          <w:rFonts w:ascii="Times New Roman" w:hAnsi="Times New Roman"/>
          <w:b/>
          <w:i w:val="0"/>
          <w:color w:val="000000"/>
          <w:sz w:val="22"/>
        </w:rPr>
        <w:t>Table 3.5: Training Dataset Evolution and Version Comparison (v1 to Final)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57"/>
        <w:gridCol w:w="2257"/>
        <w:gridCol w:w="2257"/>
        <w:gridCol w:w="2257"/>
      </w:tblGrid>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Dataset Version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Sample Count</w:t>
            </w:r>
          </w:p>
        </w:tc>
        <w:tc>
          <w:tcPr>
            <w:tcW w:type="dxa" w:w="2592"/>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Class Distribution</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Architectural Evaluation &amp; Fate</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v1: training_prompts.csv</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120 Prompts</w:t>
            </w:r>
          </w:p>
        </w:tc>
        <w:tc>
          <w:tcPr>
            <w:tcW w:type="dxa" w:w="259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81 Simple, 39 Complex (67.5% / 32.5% Imbalanced)</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Hand-crafted prototype seed dataset used for initial TF-IDF feasibility testing; superceded due to small size and class imbalance.</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v2: training_prompts_v2.csv</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450 Prompts</w:t>
            </w:r>
          </w:p>
        </w:tc>
        <w:tc>
          <w:tcPr>
            <w:tcW w:type="dxa" w:w="259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225 Simple, 225 Complex (50.0% / 50.0% Balanced)</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Expanded synthetic dataset introducing contrast pairs (long simple queries vs. short math queries); still modest for 66M transformer.</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v3: training_prompts_v3.csv</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1,730 Prompts</w:t>
            </w:r>
          </w:p>
        </w:tc>
        <w:tc>
          <w:tcPr>
            <w:tcW w:type="dxa" w:w="259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853 Simple, 877 Complex (GSM8K, SQuAD, Dolly-15k)</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Attempted merge of public benchmarks. Dropped due to SQuAD context-dependency flaw (questions missing passages) and Dolly noise.</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Final: training_final.csv</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1,200 Prompts</w:t>
            </w:r>
          </w:p>
        </w:tc>
        <w:tc>
          <w:tcPr>
            <w:tcW w:type="dxa" w:w="259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600 Simple, 600 Complex (Exactly 50% / 50% Balanced)</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Production curated corpus: 8 distinct domains (150 prompts each), deduplicated, shuffled with seed 42. Zero missing values.</w:t>
            </w:r>
          </w:p>
        </w:tc>
      </w:tr>
    </w:tbl>
    <w:p>
      <w:pPr>
        <w:spacing w:before="0" w:after="120" w:line="276" w:lineRule="auto"/>
        <w:jc w:val="both"/>
      </w:pPr>
      <w:r>
        <w:rPr>
          <w:rFonts w:ascii="Times New Roman" w:hAnsi="Times New Roman"/>
          <w:b w:val="0"/>
          <w:i w:val="0"/>
          <w:color w:val="000000"/>
          <w:sz w:val="24"/>
        </w:rPr>
        <w:t>Table 3.6 presents the domain category breakdown of the deployed 1,200-sample dataset (training_final.csv), demonstrating strict class balance across four simple and four complex operational categories.</w:t>
      </w:r>
    </w:p>
    <w:p>
      <w:pPr>
        <w:spacing w:before="200" w:after="80" w:line="276" w:lineRule="auto"/>
        <w:jc w:val="center"/>
      </w:pPr>
      <w:r>
        <w:rPr>
          <w:rFonts w:ascii="Times New Roman" w:hAnsi="Times New Roman"/>
          <w:b/>
          <w:i w:val="0"/>
          <w:color w:val="000000"/>
          <w:sz w:val="22"/>
        </w:rPr>
        <w:t>Table 3.6: Curated 8-Category Prompt Distribution (training_final.csv)</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806"/>
        <w:gridCol w:w="1806"/>
        <w:gridCol w:w="1806"/>
        <w:gridCol w:w="1806"/>
        <w:gridCol w:w="1806"/>
      </w:tblGrid>
      <w:tr>
        <w:tc>
          <w:tcPr>
            <w:tcW w:type="dxa" w:w="72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ID</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Category Domain</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Count</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Target Class</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Semantic Description &amp; Sample Scope</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simple_general_facts</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Simple (0)</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Elementary world knowledge, geography, scientific constants, trivia</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2</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simple_india_facts</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Simple (0)</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Indian history, geography, governance, sports, and cultural trivia</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3</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casual_conversational</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Simple (0)</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Greetings, small talk, pleasantries, daily life conversational queries</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4</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deceptively_simple</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Simple (0)</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Wordy, long conversational queries that ask basic questions (mitigates brevity bias)</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5</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multistep_math_reasoning</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Complex (1)</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Word problems, calculus, proofs by contradiction, stochastic modeling</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6</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complex_code</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Complex (1)</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Async queues, data structures, algorithms, concurrency, transformer code</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7</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deep_technical_analysis</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Complex (1)</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Distributed systems architecture, network protocols, comparative tradeoffs</w:t>
            </w:r>
          </w:p>
        </w:tc>
      </w:tr>
      <w:tr>
        <w:tc>
          <w:tcPr>
            <w:tcW w:type="dxa" w:w="720"/>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8</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advanced_reasoning_creative</w:t>
            </w:r>
          </w:p>
        </w:tc>
        <w:tc>
          <w:tcPr>
            <w:tcW w:type="dxa" w:w="1008"/>
            <w:tcMar>
              <w:top w:w="60" w:type="dxa"/>
              <w:bottom w:w="60" w:type="dxa"/>
              <w:left w:w="100" w:type="dxa"/>
              <w:right w:w="100" w:type="dxa"/>
            </w:tcMar>
            <w:vAlign w:val="center"/>
          </w:tcPr>
          <w:p>
            <w:pPr>
              <w:spacing w:before="20" w:after="40" w:line="276" w:lineRule="auto"/>
              <w:jc w:val="center"/>
            </w:pPr>
            <w:r>
              <w:rPr>
                <w:rFonts w:ascii="Times New Roman" w:hAnsi="Times New Roman"/>
                <w:color w:val="000000"/>
                <w:sz w:val="21"/>
              </w:rPr>
              <w:t>150</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Complex (1)</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Macroeconomic policy, philosophical analysis, complex essay generation</w:t>
            </w:r>
          </w:p>
        </w:tc>
      </w:tr>
    </w:tbl>
    <w:p>
      <w:pPr>
        <w:spacing w:before="160" w:after="40"/>
        <w:jc w:val="left"/>
      </w:pPr>
      <w:r>
        <w:rPr>
          <w:rFonts w:ascii="Times New Roman" w:hAnsi="Times New Roman"/>
          <w:b/>
          <w:i/>
          <w:color w:val="000000"/>
          <w:sz w:val="24"/>
        </w:rPr>
        <w:t>H. Module Specification: Inference Execution Engines &amp; Multi-Tier Failover</w:t>
      </w:r>
    </w:p>
    <w:p>
      <w:pPr>
        <w:spacing w:before="0" w:after="120" w:line="276" w:lineRule="auto"/>
        <w:jc w:val="both"/>
      </w:pPr>
      <w:r>
        <w:rPr>
          <w:rFonts w:ascii="Times New Roman" w:hAnsi="Times New Roman"/>
          <w:b w:val="0"/>
          <w:i w:val="0"/>
          <w:color w:val="000000"/>
          <w:sz w:val="24"/>
        </w:rPr>
        <w:t>The inference execution layer is structured into three specialized pipelines:</w:t>
        <w:br/>
        <w:br/>
        <w:t>1. Local SLM Pipeline (backend/local_inference.py): Connects to the local Ollama daemon running qwen2.5:7b. Requests are transmitted via HTTP POST to http://127.0.0.1:11434/api/generate with JSON payload {'model': 'qwen2.5:7b', 'prompt': prompt, 'stream': False}. Incurred API cost is strictly $0.00.</w:t>
        <w:br/>
        <w:br/>
        <w:t>2. Cloud LLM Dispatcher (backend/cloud_inference.py): Manages cloud inference across two commercial providers. The primary provider is Groq LPU executing openai/gpt-oss-120b, delivering 300+ tokens/second. If Groq encounters rate limiting (HTTP 429), timeouts, or network connection failures, the exception handler catches the error and immediately dispatches the prompt to Google Gemini (gemini-2.5-flash) using the official google-genai SDK.</w:t>
        <w:br/>
        <w:br/>
        <w:t>3. Dual-Layer Bidirectional Fallback: The gateway provides end-to-end fault tolerance against both edge and cloud outages:</w:t>
        <w:br/>
        <w:t xml:space="preserve">   - Tier-1 Local-to-Cloud Fallback: If Ollama crashes or is offline, the router intercepts requests.RequestException, logs      fallback_reason = 'local_slm_unavailable', and forwards the query to the cloud pipeline, ensuring continuous service.</w:t>
        <w:br/>
        <w:t xml:space="preserve">   - Tier-2 Reverse Cloud Fallback: If both cloud providers fail or internet access drops, complex queries reverse-fallback      to the local SLM with fallback_reason = 'cloud_llm_unavailable'.</w:t>
      </w:r>
    </w:p>
    <w:p>
      <w:pPr>
        <w:spacing w:before="160" w:after="40"/>
        <w:jc w:val="left"/>
      </w:pPr>
      <w:r>
        <w:rPr>
          <w:rFonts w:ascii="Times New Roman" w:hAnsi="Times New Roman"/>
          <w:b/>
          <w:i/>
          <w:color w:val="000000"/>
          <w:sz w:val="24"/>
        </w:rPr>
        <w:t>I. Module Specification: Telemetry, Environmental &amp; Cost Tracking Engines</w:t>
      </w:r>
    </w:p>
    <w:p>
      <w:pPr>
        <w:spacing w:before="0" w:after="120" w:line="276" w:lineRule="auto"/>
        <w:jc w:val="both"/>
      </w:pPr>
      <w:r>
        <w:rPr>
          <w:rFonts w:ascii="Times New Roman" w:hAnsi="Times New Roman"/>
          <w:b w:val="0"/>
          <w:i w:val="0"/>
          <w:color w:val="000000"/>
          <w:sz w:val="24"/>
        </w:rPr>
        <w:t>The gateway implements continuous telemetry tracking across financial, electrical, and carbon dimensions:</w:t>
        <w:br/>
        <w:br/>
        <w:t>1. Financial Cost Modeling: Local queries incur $0.00. For cloud requests, cost is computed based on actual prompt and completion tokens:</w:t>
        <w:br/>
        <w:t xml:space="preserve">   Cost_Groq = (N_prompt * $0.03 / 1,000,000) + (N_completion * $0.17 / 1,000,000)</w:t>
        <w:br/>
        <w:t xml:space="preserve">   Cost_Gemini = (N_prompt * $0.075 / 1,000,000) + (N_completion * $0.30 / 1,000,000)</w:t>
        <w:br/>
        <w:t xml:space="preserve">   Cost_INR = Cost_USD * 83.0 (Fixed exchange multiplier).</w:t>
        <w:br/>
        <w:br/>
        <w:t>2. Counterfactual Cost Savings: The system quantifies avoided expenditure by comparing actual hybrid cost against what the workload would have cost if 100% of prompts had been sent to the cloud:</w:t>
        <w:br/>
        <w:t xml:space="preserve">   Cost_baseline = Cost_actual + SUM_{j in Local} [(len(P_j)/4 * $0.03/1M) + (len(R_j)/4 * $0.17/1M)]</w:t>
        <w:br/>
        <w:t xml:space="preserve">   Cost_Saved = Cost_baseline - Cost_actual</w:t>
        <w:br/>
        <w:br/>
        <w:t>3. Environmental Carbon Telemetry: Local SLM inference is actively monitored via CodeCarbon (EmissionsTracker), sampling CPU/GPU energy in kilowatt-hours (kWh) and regional carbon emissions in grams of CO2. Cloud emissions are estimated using documented empirical constants (0.35g CO2 and 0.0004 kWh per 1,000 tokens; Luccioni et al. 2023, Patterson et al. 2021).</w:t>
      </w:r>
    </w:p>
    <w:p>
      <w:pPr>
        <w:spacing w:before="280" w:after="120"/>
        <w:jc w:val="left"/>
      </w:pPr>
      <w:r>
        <w:rPr>
          <w:rFonts w:ascii="Times New Roman" w:hAnsi="Times New Roman"/>
          <w:b/>
          <w:color w:val="000000"/>
          <w:sz w:val="28"/>
        </w:rPr>
        <w:t>3.2 User Interface Design</w:t>
      </w:r>
    </w:p>
    <w:p>
      <w:pPr>
        <w:spacing w:before="0" w:after="120" w:line="276" w:lineRule="auto"/>
        <w:jc w:val="both"/>
      </w:pPr>
      <w:r>
        <w:rPr>
          <w:rFonts w:ascii="Times New Roman" w:hAnsi="Times New Roman"/>
          <w:b w:val="0"/>
          <w:i w:val="0"/>
          <w:color w:val="000000"/>
          <w:sz w:val="24"/>
        </w:rPr>
        <w:t>The system provides an intuitive, high-visibility user interface developed in Streamlit (dashboard/app.py) and interactive OpenAPI Swagger documentation via FastAPI. The following seven screenshots depict the running system in operation.</w:t>
      </w:r>
    </w:p>
    <w:p>
      <w:pPr>
        <w:spacing w:before="200" w:after="80"/>
        <w:jc w:val="center"/>
      </w:pPr>
      <w:r>
        <w:drawing>
          <wp:inline xmlns:a="http://schemas.openxmlformats.org/drawingml/2006/main" xmlns:pic="http://schemas.openxmlformats.org/drawingml/2006/picture">
            <wp:extent cx="5577840" cy="3807881"/>
            <wp:docPr id="13" name="Picture 13"/>
            <wp:cNvGraphicFramePr>
              <a:graphicFrameLocks noChangeAspect="1"/>
            </wp:cNvGraphicFramePr>
            <a:graphic>
              <a:graphicData uri="http://schemas.openxmlformats.org/drawingml/2006/picture">
                <pic:pic>
                  <pic:nvPicPr>
                    <pic:cNvPr id="0" name="screen_1_playground_journey.png"/>
                    <pic:cNvPicPr/>
                  </pic:nvPicPr>
                  <pic:blipFill>
                    <a:blip r:embed="rId27"/>
                    <a:stretch>
                      <a:fillRect/>
                    </a:stretch>
                  </pic:blipFill>
                  <pic:spPr>
                    <a:xfrm>
                      <a:off x="0" y="0"/>
                      <a:ext cx="5577840" cy="3807881"/>
                    </a:xfrm>
                    <a:prstGeom prst="rect"/>
                  </pic:spPr>
                </pic:pic>
              </a:graphicData>
            </a:graphic>
          </wp:inline>
        </w:drawing>
      </w:r>
    </w:p>
    <w:p>
      <w:pPr>
        <w:spacing w:before="40" w:after="240"/>
        <w:jc w:val="center"/>
      </w:pPr>
      <w:r>
        <w:rPr>
          <w:rFonts w:ascii="Times New Roman" w:hAnsi="Times New Roman"/>
          <w:b/>
          <w:i/>
          <w:color w:val="000000"/>
          <w:sz w:val="21"/>
        </w:rPr>
        <w:t>Screenshot 3.1: Interactive Prompt Routing Playground &amp; Real-Time Request Journey Trace</w:t>
      </w:r>
    </w:p>
    <w:p>
      <w:pPr>
        <w:spacing w:before="0" w:after="120" w:line="276" w:lineRule="auto"/>
        <w:jc w:val="both"/>
      </w:pPr>
      <w:r>
        <w:rPr>
          <w:rFonts w:ascii="Times New Roman" w:hAnsi="Times New Roman"/>
          <w:b w:val="0"/>
          <w:i w:val="0"/>
          <w:color w:val="000000"/>
          <w:sz w:val="24"/>
        </w:rPr>
        <w:t>Screenshot 3.1 displays the interactive testing console. Users can enter arbitrary prompts or select from curated demo queries. Below the input box, the 6-stage Execution Journey visually illuminates the active route in green (Local SLM qwen2.5:7b, latency 22,782 ms), displaying complexity score 0.01 and 98.5% confidence alongside the decision tree and classify vs. inference latency breakdown.</w:t>
      </w:r>
    </w:p>
    <w:p>
      <w:pPr>
        <w:spacing w:before="200" w:after="80"/>
        <w:jc w:val="center"/>
      </w:pPr>
      <w:r>
        <w:drawing>
          <wp:inline xmlns:a="http://schemas.openxmlformats.org/drawingml/2006/main" xmlns:pic="http://schemas.openxmlformats.org/drawingml/2006/picture">
            <wp:extent cx="5577840" cy="3525815"/>
            <wp:docPr id="14" name="Picture 14"/>
            <wp:cNvGraphicFramePr>
              <a:graphicFrameLocks noChangeAspect="1"/>
            </wp:cNvGraphicFramePr>
            <a:graphic>
              <a:graphicData uri="http://schemas.openxmlformats.org/drawingml/2006/picture">
                <pic:pic>
                  <pic:nvPicPr>
                    <pic:cNvPr id="0" name="screen_2_metrics_and_charts.png"/>
                    <pic:cNvPicPr/>
                  </pic:nvPicPr>
                  <pic:blipFill>
                    <a:blip r:embed="rId28"/>
                    <a:stretch>
                      <a:fillRect/>
                    </a:stretch>
                  </pic:blipFill>
                  <pic:spPr>
                    <a:xfrm>
                      <a:off x="0" y="0"/>
                      <a:ext cx="5577840" cy="3525815"/>
                    </a:xfrm>
                    <a:prstGeom prst="rect"/>
                  </pic:spPr>
                </pic:pic>
              </a:graphicData>
            </a:graphic>
          </wp:inline>
        </w:drawing>
      </w:r>
    </w:p>
    <w:p>
      <w:pPr>
        <w:spacing w:before="40" w:after="240"/>
        <w:jc w:val="center"/>
      </w:pPr>
      <w:r>
        <w:rPr>
          <w:rFonts w:ascii="Times New Roman" w:hAnsi="Times New Roman"/>
          <w:b/>
          <w:i/>
          <w:color w:val="000000"/>
          <w:sz w:val="21"/>
        </w:rPr>
        <w:t>Screenshot 3.2: System-Wide Operational KPIs &amp; Workload Distribution Analytics</w:t>
      </w:r>
    </w:p>
    <w:p>
      <w:pPr>
        <w:spacing w:before="0" w:after="120" w:line="276" w:lineRule="auto"/>
        <w:jc w:val="both"/>
      </w:pPr>
      <w:r>
        <w:rPr>
          <w:rFonts w:ascii="Times New Roman" w:hAnsi="Times New Roman"/>
          <w:b w:val="0"/>
          <w:i w:val="0"/>
          <w:color w:val="000000"/>
          <w:sz w:val="24"/>
        </w:rPr>
        <w:t>Screenshot 3.2 presents executive KPI summary cards: Total Requests (35), Routed Local (20 at ₹0.00 Zero Cost), Routed Cloud (15 with 3 failovers badged), Total Cost Saved (₹0.5568), and Cloud API Calls Avoided (57.1%, exceeding the 40% benchmark). Below the cards, the continuous complexity scatter chart plots all 35 requests relative to the red 0.50 threshold line.</w:t>
      </w:r>
    </w:p>
    <w:p>
      <w:pPr>
        <w:spacing w:before="200" w:after="80"/>
        <w:jc w:val="center"/>
      </w:pPr>
      <w:r>
        <w:drawing>
          <wp:inline xmlns:a="http://schemas.openxmlformats.org/drawingml/2006/main" xmlns:pic="http://schemas.openxmlformats.org/drawingml/2006/picture">
            <wp:extent cx="5577840" cy="3173234"/>
            <wp:docPr id="15" name="Picture 15"/>
            <wp:cNvGraphicFramePr>
              <a:graphicFrameLocks noChangeAspect="1"/>
            </wp:cNvGraphicFramePr>
            <a:graphic>
              <a:graphicData uri="http://schemas.openxmlformats.org/drawingml/2006/picture">
                <pic:pic>
                  <pic:nvPicPr>
                    <pic:cNvPr id="0" name="screen_3_environmental_timeline.png"/>
                    <pic:cNvPicPr/>
                  </pic:nvPicPr>
                  <pic:blipFill>
                    <a:blip r:embed="rId29"/>
                    <a:stretch>
                      <a:fillRect/>
                    </a:stretch>
                  </pic:blipFill>
                  <pic:spPr>
                    <a:xfrm>
                      <a:off x="0" y="0"/>
                      <a:ext cx="5577840" cy="3173234"/>
                    </a:xfrm>
                    <a:prstGeom prst="rect"/>
                  </pic:spPr>
                </pic:pic>
              </a:graphicData>
            </a:graphic>
          </wp:inline>
        </w:drawing>
      </w:r>
    </w:p>
    <w:p>
      <w:pPr>
        <w:spacing w:before="40" w:after="240"/>
        <w:jc w:val="center"/>
      </w:pPr>
      <w:r>
        <w:rPr>
          <w:rFonts w:ascii="Times New Roman" w:hAnsi="Times New Roman"/>
          <w:b/>
          <w:i/>
          <w:color w:val="000000"/>
          <w:sz w:val="21"/>
        </w:rPr>
        <w:t>Screenshot 3.3: Financial Impact &amp; Cumulative Savings Trends</w:t>
      </w:r>
    </w:p>
    <w:p>
      <w:pPr>
        <w:spacing w:before="0" w:after="120" w:line="276" w:lineRule="auto"/>
        <w:jc w:val="both"/>
      </w:pPr>
      <w:r>
        <w:rPr>
          <w:rFonts w:ascii="Times New Roman" w:hAnsi="Times New Roman"/>
          <w:b w:val="0"/>
          <w:i w:val="0"/>
          <w:color w:val="000000"/>
          <w:sz w:val="24"/>
        </w:rPr>
        <w:t>Screenshot 3.3 depicts the visual analytics section: cumulative cost and CO2 savings trend graphs over time, the traffic route share donut chart, the financial impact bar chart contrasting actual incurred cost against the 100% cloud baseline, and the average speed chart.</w:t>
      </w:r>
    </w:p>
    <w:p>
      <w:pPr>
        <w:spacing w:before="200" w:after="80"/>
        <w:jc w:val="center"/>
      </w:pPr>
      <w:r>
        <w:drawing>
          <wp:inline xmlns:a="http://schemas.openxmlformats.org/drawingml/2006/main" xmlns:pic="http://schemas.openxmlformats.org/drawingml/2006/picture">
            <wp:extent cx="5577840" cy="2658465"/>
            <wp:docPr id="16" name="Picture 16"/>
            <wp:cNvGraphicFramePr>
              <a:graphicFrameLocks noChangeAspect="1"/>
            </wp:cNvGraphicFramePr>
            <a:graphic>
              <a:graphicData uri="http://schemas.openxmlformats.org/drawingml/2006/picture">
                <pic:pic>
                  <pic:nvPicPr>
                    <pic:cNvPr id="0" name="screen_4_database_log.png"/>
                    <pic:cNvPicPr/>
                  </pic:nvPicPr>
                  <pic:blipFill>
                    <a:blip r:embed="rId30"/>
                    <a:stretch>
                      <a:fillRect/>
                    </a:stretch>
                  </pic:blipFill>
                  <pic:spPr>
                    <a:xfrm>
                      <a:off x="0" y="0"/>
                      <a:ext cx="5577840" cy="2658465"/>
                    </a:xfrm>
                    <a:prstGeom prst="rect"/>
                  </pic:spPr>
                </pic:pic>
              </a:graphicData>
            </a:graphic>
          </wp:inline>
        </w:drawing>
      </w:r>
    </w:p>
    <w:p>
      <w:pPr>
        <w:spacing w:before="40" w:after="240"/>
        <w:jc w:val="center"/>
      </w:pPr>
      <w:r>
        <w:rPr>
          <w:rFonts w:ascii="Times New Roman" w:hAnsi="Times New Roman"/>
          <w:b/>
          <w:i/>
          <w:color w:val="000000"/>
          <w:sz w:val="21"/>
        </w:rPr>
        <w:t>Screenshot 3.4: Environmental Carbon Accounting &amp; Live Historical Request Audit Log</w:t>
      </w:r>
    </w:p>
    <w:p>
      <w:pPr>
        <w:spacing w:before="0" w:after="120" w:line="276" w:lineRule="auto"/>
        <w:jc w:val="both"/>
      </w:pPr>
      <w:r>
        <w:rPr>
          <w:rFonts w:ascii="Times New Roman" w:hAnsi="Times New Roman"/>
          <w:b w:val="0"/>
          <w:i w:val="0"/>
          <w:color w:val="000000"/>
          <w:sz w:val="24"/>
        </w:rPr>
        <w:t>Screenshot 3.4 shows the environmental carbon telemetry cards (14.230 g CO2 saved, 0.018820 kWh consumed) and the emissions comparison bar chart. Below, Step 5 displays the historical SQLite audit table with color-coded badges (Local, Cloud, Local Fallback with warning icon).</w:t>
      </w:r>
    </w:p>
    <w:p>
      <w:pPr>
        <w:spacing w:before="200" w:after="80"/>
        <w:jc w:val="center"/>
      </w:pPr>
      <w:r>
        <w:drawing>
          <wp:inline xmlns:a="http://schemas.openxmlformats.org/drawingml/2006/main" xmlns:pic="http://schemas.openxmlformats.org/drawingml/2006/picture">
            <wp:extent cx="5303520" cy="3030583"/>
            <wp:docPr id="17" name="Picture 17"/>
            <wp:cNvGraphicFramePr>
              <a:graphicFrameLocks noChangeAspect="1"/>
            </wp:cNvGraphicFramePr>
            <a:graphic>
              <a:graphicData uri="http://schemas.openxmlformats.org/drawingml/2006/picture">
                <pic:pic>
                  <pic:nvPicPr>
                    <pic:cNvPr id="0" name="screen_fastapi_docs.png"/>
                    <pic:cNvPicPr/>
                  </pic:nvPicPr>
                  <pic:blipFill>
                    <a:blip r:embed="rId31"/>
                    <a:stretch>
                      <a:fillRect/>
                    </a:stretch>
                  </pic:blipFill>
                  <pic:spPr>
                    <a:xfrm>
                      <a:off x="0" y="0"/>
                      <a:ext cx="5303520" cy="3030583"/>
                    </a:xfrm>
                    <a:prstGeom prst="rect"/>
                  </pic:spPr>
                </pic:pic>
              </a:graphicData>
            </a:graphic>
          </wp:inline>
        </w:drawing>
      </w:r>
    </w:p>
    <w:p>
      <w:pPr>
        <w:spacing w:before="40" w:after="240"/>
        <w:jc w:val="center"/>
      </w:pPr>
      <w:r>
        <w:rPr>
          <w:rFonts w:ascii="Times New Roman" w:hAnsi="Times New Roman"/>
          <w:b/>
          <w:i/>
          <w:color w:val="000000"/>
          <w:sz w:val="21"/>
        </w:rPr>
        <w:t>Screenshot 3.5: FastAPI Interactive OpenAPI / Swagger Documentation Portal (/docs)</w:t>
      </w:r>
    </w:p>
    <w:p>
      <w:pPr>
        <w:spacing w:before="0" w:after="120" w:line="276" w:lineRule="auto"/>
        <w:jc w:val="both"/>
      </w:pPr>
      <w:r>
        <w:rPr>
          <w:rFonts w:ascii="Times New Roman" w:hAnsi="Times New Roman"/>
          <w:b w:val="0"/>
          <w:i w:val="0"/>
          <w:color w:val="000000"/>
          <w:sz w:val="24"/>
        </w:rPr>
        <w:t>Screenshot 3.5 illustrates the auto-generated Swagger documentation interface at http://127.0.0.1:8000/docs, documenting the GET /, GET /health, and POST /chat endpoints alongside data schemas.</w:t>
      </w:r>
    </w:p>
    <w:p>
      <w:pPr>
        <w:spacing w:before="200" w:after="80"/>
        <w:jc w:val="center"/>
      </w:pPr>
      <w:r>
        <w:drawing>
          <wp:inline xmlns:a="http://schemas.openxmlformats.org/drawingml/2006/main" xmlns:pic="http://schemas.openxmlformats.org/drawingml/2006/picture">
            <wp:extent cx="5303520" cy="3085405"/>
            <wp:docPr id="18" name="Picture 18"/>
            <wp:cNvGraphicFramePr>
              <a:graphicFrameLocks noChangeAspect="1"/>
            </wp:cNvGraphicFramePr>
            <a:graphic>
              <a:graphicData uri="http://schemas.openxmlformats.org/drawingml/2006/picture">
                <pic:pic>
                  <pic:nvPicPr>
                    <pic:cNvPr id="0" name="screen_fastapi_chat_expanded.png"/>
                    <pic:cNvPicPr/>
                  </pic:nvPicPr>
                  <pic:blipFill>
                    <a:blip r:embed="rId32"/>
                    <a:stretch>
                      <a:fillRect/>
                    </a:stretch>
                  </pic:blipFill>
                  <pic:spPr>
                    <a:xfrm>
                      <a:off x="0" y="0"/>
                      <a:ext cx="5303520" cy="3085405"/>
                    </a:xfrm>
                    <a:prstGeom prst="rect"/>
                  </pic:spPr>
                </pic:pic>
              </a:graphicData>
            </a:graphic>
          </wp:inline>
        </w:drawing>
      </w:r>
    </w:p>
    <w:p>
      <w:pPr>
        <w:spacing w:before="40" w:after="240"/>
        <w:jc w:val="center"/>
      </w:pPr>
      <w:r>
        <w:rPr>
          <w:rFonts w:ascii="Times New Roman" w:hAnsi="Times New Roman"/>
          <w:b/>
          <w:i/>
          <w:color w:val="000000"/>
          <w:sz w:val="21"/>
        </w:rPr>
        <w:t>Screenshot 3.6: Swagger Interactive /chat Endpoint Request and Response Schema Specification</w:t>
      </w:r>
    </w:p>
    <w:p>
      <w:pPr>
        <w:spacing w:before="0" w:after="120" w:line="276" w:lineRule="auto"/>
        <w:jc w:val="both"/>
      </w:pPr>
      <w:r>
        <w:rPr>
          <w:rFonts w:ascii="Times New Roman" w:hAnsi="Times New Roman"/>
          <w:b w:val="0"/>
          <w:i w:val="0"/>
          <w:color w:val="000000"/>
          <w:sz w:val="24"/>
        </w:rPr>
        <w:t>Screenshot 3.6 depicts the expanded POST /chat endpoint in Swagger UI, showing request parameter requirements and the strongly-typed Pydantic ChatResponse JSON schema.</w:t>
      </w:r>
    </w:p>
    <w:p>
      <w:pPr>
        <w:spacing w:before="200" w:after="80"/>
        <w:jc w:val="center"/>
      </w:pPr>
      <w:r>
        <w:drawing>
          <wp:inline xmlns:a="http://schemas.openxmlformats.org/drawingml/2006/main" xmlns:pic="http://schemas.openxmlformats.org/drawingml/2006/picture">
            <wp:extent cx="5029200" cy="1609344"/>
            <wp:docPr id="19" name="Picture 19"/>
            <wp:cNvGraphicFramePr>
              <a:graphicFrameLocks noChangeAspect="1"/>
            </wp:cNvGraphicFramePr>
            <a:graphic>
              <a:graphicData uri="http://schemas.openxmlformats.org/drawingml/2006/picture">
                <pic:pic>
                  <pic:nvPicPr>
                    <pic:cNvPr id="0" name="screen_fastapi_health.png"/>
                    <pic:cNvPicPr/>
                  </pic:nvPicPr>
                  <pic:blipFill>
                    <a:blip r:embed="rId33"/>
                    <a:stretch>
                      <a:fillRect/>
                    </a:stretch>
                  </pic:blipFill>
                  <pic:spPr>
                    <a:xfrm>
                      <a:off x="0" y="0"/>
                      <a:ext cx="5029200" cy="1609344"/>
                    </a:xfrm>
                    <a:prstGeom prst="rect"/>
                  </pic:spPr>
                </pic:pic>
              </a:graphicData>
            </a:graphic>
          </wp:inline>
        </w:drawing>
      </w:r>
    </w:p>
    <w:p>
      <w:pPr>
        <w:spacing w:before="40" w:after="240"/>
        <w:jc w:val="center"/>
      </w:pPr>
      <w:r>
        <w:rPr>
          <w:rFonts w:ascii="Times New Roman" w:hAnsi="Times New Roman"/>
          <w:b/>
          <w:i/>
          <w:color w:val="000000"/>
          <w:sz w:val="21"/>
        </w:rPr>
        <w:t>Screenshot 3.7: Subsystem Connectivity Diagnostics &amp; Health API Response (/health)</w:t>
      </w:r>
    </w:p>
    <w:p>
      <w:pPr>
        <w:spacing w:before="0" w:after="120" w:line="276" w:lineRule="auto"/>
        <w:jc w:val="both"/>
      </w:pPr>
      <w:r>
        <w:rPr>
          <w:rFonts w:ascii="Times New Roman" w:hAnsi="Times New Roman"/>
          <w:b w:val="0"/>
          <w:i w:val="0"/>
          <w:color w:val="000000"/>
          <w:sz w:val="24"/>
        </w:rPr>
        <w:t>Screenshot 3.7 displays the live JSON payload returned by GET /health, confirming online status, Ollama availability (true), Groq and Gemini key configuration (true), active classifier mode (distilbert), model load status (true), and threshold (0.5).</w:t>
      </w:r>
    </w:p>
    <w:p>
      <w:pPr>
        <w:spacing w:before="280" w:after="120"/>
        <w:jc w:val="left"/>
      </w:pPr>
      <w:r>
        <w:rPr>
          <w:rFonts w:ascii="Times New Roman" w:hAnsi="Times New Roman"/>
          <w:b/>
          <w:color w:val="000000"/>
          <w:sz w:val="28"/>
        </w:rPr>
        <w:t>3.3 Database Design / ER Diagrams</w:t>
      </w:r>
    </w:p>
    <w:p>
      <w:pPr>
        <w:spacing w:before="0" w:after="120" w:line="276" w:lineRule="auto"/>
        <w:jc w:val="both"/>
      </w:pPr>
      <w:r>
        <w:rPr>
          <w:rFonts w:ascii="Times New Roman" w:hAnsi="Times New Roman"/>
          <w:b w:val="0"/>
          <w:i w:val="0"/>
          <w:color w:val="000000"/>
          <w:sz w:val="24"/>
        </w:rPr>
        <w:t>The persistence layer is implemented via a lightweight, high-reliability SQLite relational database (router_logs.db) defined in backend/database.py. Figure 3.10 illustrates the Entity-Relationship (ER) model for the primary requests_log entity.</w:t>
      </w:r>
    </w:p>
    <w:p>
      <w:pPr>
        <w:spacing w:before="200" w:after="80"/>
        <w:jc w:val="center"/>
      </w:pPr>
      <w:r>
        <w:drawing>
          <wp:inline xmlns:a="http://schemas.openxmlformats.org/drawingml/2006/main" xmlns:pic="http://schemas.openxmlformats.org/drawingml/2006/picture">
            <wp:extent cx="5303520" cy="4098175"/>
            <wp:docPr id="20" name="Picture 20"/>
            <wp:cNvGraphicFramePr>
              <a:graphicFrameLocks noChangeAspect="1"/>
            </wp:cNvGraphicFramePr>
            <a:graphic>
              <a:graphicData uri="http://schemas.openxmlformats.org/drawingml/2006/picture">
                <pic:pic>
                  <pic:nvPicPr>
                    <pic:cNvPr id="0" name="fig_3_10_database_er.png"/>
                    <pic:cNvPicPr/>
                  </pic:nvPicPr>
                  <pic:blipFill>
                    <a:blip r:embed="rId34"/>
                    <a:stretch>
                      <a:fillRect/>
                    </a:stretch>
                  </pic:blipFill>
                  <pic:spPr>
                    <a:xfrm>
                      <a:off x="0" y="0"/>
                      <a:ext cx="5303520" cy="4098175"/>
                    </a:xfrm>
                    <a:prstGeom prst="rect"/>
                  </pic:spPr>
                </pic:pic>
              </a:graphicData>
            </a:graphic>
          </wp:inline>
        </w:drawing>
      </w:r>
    </w:p>
    <w:p>
      <w:pPr>
        <w:spacing w:before="40" w:after="240"/>
        <w:jc w:val="center"/>
      </w:pPr>
      <w:r>
        <w:rPr>
          <w:rFonts w:ascii="Times New Roman" w:hAnsi="Times New Roman"/>
          <w:b/>
          <w:i/>
          <w:color w:val="000000"/>
          <w:sz w:val="21"/>
        </w:rPr>
        <w:t>Figure 3.10: Relational Database Entity-Relationship (ER) Diagram (requests_log Table)</w:t>
      </w:r>
    </w:p>
    <w:p>
      <w:pPr>
        <w:spacing w:before="0" w:after="120" w:line="276" w:lineRule="auto"/>
        <w:jc w:val="both"/>
      </w:pPr>
      <w:r>
        <w:rPr>
          <w:rFonts w:ascii="Times New Roman" w:hAnsi="Times New Roman"/>
          <w:b w:val="0"/>
          <w:i w:val="0"/>
          <w:color w:val="000000"/>
          <w:sz w:val="24"/>
        </w:rPr>
        <w:t>The DDL specification and complete data dictionary for table requests_log is defined in Table 3.7.</w:t>
      </w:r>
    </w:p>
    <w:p>
      <w:pPr>
        <w:spacing w:before="200" w:after="80" w:line="276" w:lineRule="auto"/>
        <w:jc w:val="center"/>
      </w:pPr>
      <w:r>
        <w:rPr>
          <w:rFonts w:ascii="Times New Roman" w:hAnsi="Times New Roman"/>
          <w:b/>
          <w:i w:val="0"/>
          <w:color w:val="000000"/>
          <w:sz w:val="22"/>
        </w:rPr>
        <w:t>Table 3.7: Relational Database Schema Data Dictionary (requests_log Table)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57"/>
        <w:gridCol w:w="2257"/>
        <w:gridCol w:w="2257"/>
        <w:gridCol w:w="2257"/>
      </w:tblGrid>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Column Name</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SQLite Type</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Constraints</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Data Dictionary Description</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id</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INTEGER</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PRIMARY KEY AUTOINCREMENT</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Surrogate unique identifier for each processed request transaction</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timestamp</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TEXT</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NOT NULL (ISO 8601)</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UTC timestamp recorded at HTTP entry (YYYY-MM-DDTHH:MM:SS.mmmmmm)</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prompt</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TEXT</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NOT NULL</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Full raw text of the incoming prompt submitted by the client</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route_taken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TEXT</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NOT NULL ('local'|'cloud')</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Final routing destination resolved by the classifier and gateway policy</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complexity_score</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RANGE [0.0, 1.0]</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Predicted probability score p computed by the active classification engine</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latency_ms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POSITIVE FLOAT</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Total end-to-end round-trip latency measured in milliseconds</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estimated_cost_usd</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POSITIVE FLOAT</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Calculated API expenditure in USD ($0.00 for local SLM execution)</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response_preview</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TEXT</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NULLABLE</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Full generated completion text returned by the serving language model</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cloud_provider</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TEXT</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'none'</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Serving provider: 'none' (Local Ollama), 'groq', or 'gemini' (Failover)</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co2_grams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0.0</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Carbon emissions footprint in grams (measured via CodeCarbon or estimated)</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energy_kwh</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0.0</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Electrical energy consumed during request execution in kilowatt-hours</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fallback_reason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TEXT</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NULL</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Exception flag: 'local_slm_unavailable', 'cloud_llm_unavailable', or NULL</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classifier_confidence</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NULL</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Certainty score computed as max(p, 1-p) in range [0.50, 1.00]</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classify_ms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NULL</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Time spent exclusively executing the complexity classification step (ms)</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inference_ms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REAL</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NULL</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Time spent exclusively generating completion tokens in the model (ms)</w:t>
            </w:r>
          </w:p>
        </w:tc>
      </w:tr>
      <w:tr>
        <w:tc>
          <w:tcPr>
            <w:tcW w:type="dxa" w:w="2016"/>
            <w:tcMar>
              <w:top w:w="60" w:type="dxa"/>
              <w:bottom w:w="60" w:type="dxa"/>
              <w:left w:w="100" w:type="dxa"/>
              <w:right w:w="100" w:type="dxa"/>
            </w:tcMar>
            <w:vAlign w:val="center"/>
          </w:tcPr>
          <w:p>
            <w:pPr>
              <w:spacing w:before="20" w:after="40" w:line="276" w:lineRule="auto"/>
            </w:pPr>
            <w:r>
              <w:rPr>
                <w:rFonts w:ascii="Times New Roman" w:hAnsi="Times New Roman"/>
                <w:b/>
                <w:color w:val="000000"/>
                <w:sz w:val="21"/>
              </w:rPr>
              <w:t>model_name</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TEXT</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DEFAULT NULL</w:t>
            </w:r>
          </w:p>
        </w:tc>
        <w:tc>
          <w:tcPr>
            <w:tcW w:type="dxa" w:w="345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Exact serving model identifier (e.g., 'qwen2.5:7b', 'openai/gpt-oss-120b')</w:t>
            </w:r>
          </w:p>
        </w:tc>
      </w:tr>
    </w:tbl>
    <w:p>
      <w:pPr>
        <w:spacing w:before="0" w:after="120" w:line="276" w:lineRule="auto"/>
        <w:jc w:val="both"/>
      </w:pPr>
      <w:r>
        <w:rPr>
          <w:rFonts w:ascii="Times New Roman" w:hAnsi="Times New Roman"/>
          <w:b w:val="0"/>
          <w:i w:val="0"/>
          <w:color w:val="000000"/>
          <w:sz w:val="24"/>
        </w:rPr>
        <w:t>Non-Destructive Schema Auto-Migration: To guarantee high maintainability (NFR3), backend/database.py executes an automatic schema audit during init_db() on application startup. It queries PRAGMA table_info(requests_log) to inspect all existing column names. If newer telemetry columns (such as cloud_provider, co2_grams, fallback_reason, or model_name) are missing from an older database file, the module executes non-destructive ALTER TABLE requests_log ADD COLUMN ... DDL statements. This self-healing design prevents system crashes when switching branches or deploying database upgrades.</w:t>
      </w:r>
    </w:p>
    <w:p>
      <w:r>
        <w:br w:type="page"/>
      </w:r>
    </w:p>
    <w:p>
      <w:pPr>
        <w:sectPr>
          <w:headerReference w:type="default" r:id="rId16"/>
          <w:footerReference w:type="default" r:id="rId17"/>
          <w:type w:val="continuous"/>
          <w:pgSz w:w="11909" w:h="16834"/>
          <w:pgMar w:top="1440" w:right="720" w:bottom="1440" w:left="2160" w:header="720" w:footer="720" w:gutter="0"/>
          <w:cols w:space="720"/>
          <w:titlePg/>
          <w:docGrid w:linePitch="360"/>
          <w:pgNumType w:fmt="lowerRoman"/>
          <w:pgNumType w:start="1" w:fmt="decimal"/>
        </w:sectPr>
      </w:pPr>
    </w:p>
    <w:p>
      <w:pPr>
        <w:spacing w:before="360" w:after="280"/>
        <w:jc w:val="center"/>
      </w:pPr>
      <w:r>
        <w:rPr>
          <w:rFonts w:ascii="Times New Roman" w:hAnsi="Times New Roman"/>
          <w:b/>
          <w:color w:val="000000"/>
          <w:sz w:val="32"/>
        </w:rPr>
        <w:t>CHAPTER 4: PERFORMANCE EVALUATION</w:t>
      </w:r>
    </w:p>
    <w:p>
      <w:pPr>
        <w:spacing w:before="0" w:after="120" w:line="276" w:lineRule="auto"/>
        <w:jc w:val="both"/>
      </w:pPr>
      <w:r>
        <w:rPr>
          <w:rFonts w:ascii="Times New Roman" w:hAnsi="Times New Roman"/>
          <w:b w:val="0"/>
          <w:i w:val="0"/>
          <w:color w:val="000000"/>
          <w:sz w:val="24"/>
        </w:rPr>
        <w:t>This chapter presents an exhaustive empirical evaluation of the Hybrid SLM-LLM Router Gateway. The system's operational performance is evaluated across five critical dimensions: (1) complexity classification accuracy and generalization across statistical and transformer classifiers; (2) workload offloading efficiency and traffic distribution; (3) end-to-end response latency across heterogeneous computing substrates; (4) economic expenditure reduction relative to 100% frontier cloud baselines; (5) environmental sustainability and greenhouse gas emission mitigation via real-time carbon tracking; and (6) fault-tolerant failover resilience under adverse network and service outages. Additionally, a rigorous error analysis examines edge cases, brevity bias on short complex prompts, and out-of-distribution prompts with actionable mitigation strategies.</w:t>
      </w:r>
    </w:p>
    <w:p>
      <w:pPr>
        <w:spacing w:before="280" w:after="120"/>
        <w:jc w:val="left"/>
      </w:pPr>
      <w:r>
        <w:rPr>
          <w:rFonts w:ascii="Times New Roman" w:hAnsi="Times New Roman"/>
          <w:b/>
          <w:color w:val="000000"/>
          <w:sz w:val="28"/>
        </w:rPr>
        <w:t>4.1 Methodology of Evaluation &amp; Experimental Setup</w:t>
      </w:r>
    </w:p>
    <w:p>
      <w:pPr>
        <w:spacing w:before="0" w:after="120" w:line="276" w:lineRule="auto"/>
        <w:jc w:val="both"/>
      </w:pPr>
      <w:r>
        <w:rPr>
          <w:rFonts w:ascii="Times New Roman" w:hAnsi="Times New Roman"/>
          <w:b w:val="0"/>
          <w:i w:val="0"/>
          <w:color w:val="000000"/>
          <w:sz w:val="24"/>
        </w:rPr>
        <w:t>To ensure scientific reproducibility, empirical rigor, and statistical validity, all experimental benchmarks were executed on a dedicated, standardized hardware and software testbed. The local inference host is equipped with an Intel Core i5-12450HX CPU operating at 2.40 GHz base clock (with Turbo Boost up to 4.40 GHz across 8 physical cores and 12 hardware threads), 16.0 GB of high-speed DDR5 system memory (operating at 4800 MT/s), and a 512 GB PCIe 4.0 NVMe Solid State Drive running 64-bit Microsoft Windows 11 Home. Local inference was managed by the Ollama 0.5.12 runtime, serving the Qwen 2.5 7B Instruct model quantized to 4-bit precision (GGUF Q4_K_M format, requiring ~4.7 GB memory footprint).</w:t>
      </w:r>
    </w:p>
    <w:p>
      <w:pPr>
        <w:spacing w:before="0" w:after="120" w:line="276" w:lineRule="auto"/>
        <w:jc w:val="both"/>
      </w:pPr>
      <w:r>
        <w:rPr>
          <w:rFonts w:ascii="Times New Roman" w:hAnsi="Times New Roman"/>
          <w:b w:val="0"/>
          <w:i w:val="0"/>
          <w:color w:val="000000"/>
          <w:sz w:val="24"/>
        </w:rPr>
        <w:t>The cloud computing infrastructure leveraged two enterprise-grade AI cloud providers: (1) Groq Cloud Platform, utilizing custom Language Processing Unit (LPU) tensor accelerators running Qwen 2.5 72B Instruct with high token generation throughput; and (2) Google Cloud Vertex AI / AI Studio API, serving Google Gemini 2.5 Flash as the automated secondary failover target. The gateway middleware was executed under Python 3.12.7 with FastAPI 0.115.0 and Uvicorn 0.30.6 as the asynchronous ASGI engine. Interactive telemetry visualization and evaluation dashboards were driven by Streamlit 1.42.0.</w:t>
      </w:r>
    </w:p>
    <w:p>
      <w:pPr>
        <w:spacing w:before="0" w:after="120" w:line="276" w:lineRule="auto"/>
        <w:jc w:val="both"/>
      </w:pPr>
      <w:r>
        <w:rPr>
          <w:rFonts w:ascii="Times New Roman" w:hAnsi="Times New Roman"/>
          <w:b w:val="0"/>
          <w:i w:val="0"/>
          <w:color w:val="000000"/>
          <w:sz w:val="24"/>
        </w:rPr>
        <w:t>The experimental evaluation dataset comprises 35 diverse prompts executed live across the system, spanning 8 distinct semantic categories: casual greetings, factual question answering, long-form summarization, multi-step mathematical proofs, contextual code synthesis, philosophical analysis, algorithmic debugging, and creative writing. For each prompt, the gateway recorded granular metrics into the SQLite requests_log database, including classifier routing decisions, calculated complexity scores, token counts (prompt, completion, total), latency breakdown (classification latency, generation latency, total round-trip time), financial expenditure in INR, and live carbon emissions in grams of CO2 equivalent.</w:t>
      </w:r>
    </w:p>
    <w:p>
      <w:pPr>
        <w:spacing w:before="280" w:after="120"/>
        <w:jc w:val="left"/>
      </w:pPr>
      <w:r>
        <w:rPr>
          <w:rFonts w:ascii="Times New Roman" w:hAnsi="Times New Roman"/>
          <w:b/>
          <w:color w:val="000000"/>
          <w:sz w:val="28"/>
        </w:rPr>
        <w:t>4.2 Classifier Benchmarking &amp; Comparative Accuracy Analysis</w:t>
      </w:r>
    </w:p>
    <w:p>
      <w:pPr>
        <w:spacing w:before="0" w:after="120" w:line="276" w:lineRule="auto"/>
        <w:jc w:val="both"/>
      </w:pPr>
      <w:r>
        <w:rPr>
          <w:rFonts w:ascii="Times New Roman" w:hAnsi="Times New Roman"/>
          <w:b w:val="0"/>
          <w:i w:val="0"/>
          <w:color w:val="000000"/>
          <w:sz w:val="24"/>
        </w:rPr>
        <w:t>The routing subsystem relies entirely on the accuracy and computational efficiency of the complexity classification engine. To determine the optimal architectural configuration, three distinct classifier paradigms were implemented, trained, and evaluated under identical conditions: (1) a Rule-Based Heuristic Classifier utilizing regex pattern matching, lexical token count thresholds, and hardcoded keyword dictionaries; (2) a Classical Machine Learning Classifier utilizing Word-level and Character n-gram TF-IDF vectorization paired with L2-regularized Logistic Regression; and (3) a Fine-Tuned DistilBERT Transformer Classifier (distilbert-base-uncased) fine-tuned over 3 epochs with AdamW optimization.</w:t>
      </w:r>
    </w:p>
    <w:p>
      <w:pPr>
        <w:spacing w:before="0" w:after="120" w:line="276" w:lineRule="auto"/>
        <w:jc w:val="both"/>
      </w:pPr>
      <w:r>
        <w:rPr>
          <w:rFonts w:ascii="Times New Roman" w:hAnsi="Times New Roman"/>
          <w:b w:val="0"/>
          <w:i w:val="0"/>
          <w:color w:val="000000"/>
          <w:sz w:val="24"/>
        </w:rPr>
        <w:t>Each classifier was evaluated across three distinct splits: (a) Training Set Accuracy (on the 800-sample curated corpus training_final.csv); (b) 5-Fold Stratified Cross-Validation Accuracy to assess variance and generalization stability; and (c) Out-of-Sample Unseen Benchmark Accuracy evaluated on 60 manually verified, highly challenging real-world queries specifically designed to test edge cases, subtle reasoning, and ambiguous lexical structures.</w:t>
      </w:r>
    </w:p>
    <w:p>
      <w:pPr>
        <w:spacing w:before="200" w:after="80" w:line="276" w:lineRule="auto"/>
        <w:jc w:val="center"/>
      </w:pPr>
      <w:r>
        <w:rPr>
          <w:rFonts w:ascii="Times New Roman" w:hAnsi="Times New Roman"/>
          <w:b/>
          <w:i w:val="0"/>
          <w:color w:val="000000"/>
          <w:sz w:val="22"/>
        </w:rPr>
        <w:t>Table 4.1: Classifier Accuracy, Cross-Validation, and Unseen Benchmark Evaluation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505"/>
        <w:gridCol w:w="1505"/>
        <w:gridCol w:w="1505"/>
        <w:gridCol w:w="1505"/>
        <w:gridCol w:w="1505"/>
        <w:gridCol w:w="1505"/>
      </w:tblGrid>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Classifier Paradigm</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Train Acc (%)</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5-Fold CV Acc</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Unseen Test Acc</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Inference Latency</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Model Footprint</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Rule-Based Heuristic</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74.2%</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71.8% (±3.4%)</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68.5%</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&lt; 0.05 ms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&lt; 10 KB (Code)</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TF-IDF + Logistic Regression</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98.4%</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95.8% (±1.2%)</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93.3%</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0.22 ms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1.4 MB (.joblib)</w:t>
            </w:r>
          </w:p>
        </w:tc>
      </w:tr>
      <w:tr>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Fine-Tuned DistilBERT</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99.1%</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97.4% (±0.8%)</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96.7%</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14.8 ms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256 MB (.pt weights)</w:t>
            </w:r>
          </w:p>
        </w:tc>
      </w:tr>
    </w:tbl>
    <w:p>
      <w:pPr>
        <w:spacing w:before="0" w:after="120" w:line="276" w:lineRule="auto"/>
        <w:jc w:val="both"/>
      </w:pPr>
      <w:r>
        <w:rPr>
          <w:rFonts w:ascii="Times New Roman" w:hAnsi="Times New Roman"/>
          <w:b w:val="0"/>
          <w:i w:val="0"/>
          <w:color w:val="000000"/>
          <w:sz w:val="24"/>
        </w:rPr>
        <w:t>As summarized in Table 4.1, the fine-tuned DistilBERT model achieves the highest peak accuracy across all three evaluation splits, reaching 99.1% training accuracy and 96.7% unseen benchmark accuracy. However, its 14.8 ms CPU inference latency and 256 MB memory footprint introduce non-trivial overhead into high-throughput edge gateways. Conversely, the Rule-Based Heuristic classifier executes in less than 0.05 ms but exhibits severe generalization degradation on unseen prompts, dropping to 68.5% due to its inability to detect non-linear semantic dependencies or novel phrasing.</w:t>
      </w:r>
    </w:p>
    <w:p>
      <w:pPr>
        <w:spacing w:before="0" w:after="120" w:line="276" w:lineRule="auto"/>
        <w:jc w:val="both"/>
      </w:pPr>
      <w:r>
        <w:rPr>
          <w:rFonts w:ascii="Times New Roman" w:hAnsi="Times New Roman"/>
          <w:b w:val="0"/>
          <w:i w:val="0"/>
          <w:color w:val="000000"/>
          <w:sz w:val="24"/>
        </w:rPr>
        <w:t>The TF-IDF + Logistic Regression architecture represents the optimal Pareto-efficient operating point for the routing gateway. It achieves an outstanding 95.8% cross-validation accuracy and 93.3% unseen test accuracy while requiring only 0.22 ms inference time and a negligible 1.4 MB storage footprint. The 0.22 ms decision overhead constitutes less than 0.005% of total end-to-end query latency, ensuring that intelligent arbitration introduces zero perceptible latency penalty to the end user.</w:t>
      </w:r>
    </w:p>
    <w:p>
      <w:pPr>
        <w:spacing w:before="200" w:after="80"/>
        <w:jc w:val="center"/>
      </w:pPr>
      <w:r>
        <w:drawing>
          <wp:inline xmlns:a="http://schemas.openxmlformats.org/drawingml/2006/main" xmlns:pic="http://schemas.openxmlformats.org/drawingml/2006/picture">
            <wp:extent cx="5303520" cy="3535680"/>
            <wp:docPr id="21" name="Picture 21"/>
            <wp:cNvGraphicFramePr>
              <a:graphicFrameLocks noChangeAspect="1"/>
            </wp:cNvGraphicFramePr>
            <a:graphic>
              <a:graphicData uri="http://schemas.openxmlformats.org/drawingml/2006/picture">
                <pic:pic>
                  <pic:nvPicPr>
                    <pic:cNvPr id="0" name="graph_4_1_accuracy_comparison.png"/>
                    <pic:cNvPicPr/>
                  </pic:nvPicPr>
                  <pic:blipFill>
                    <a:blip r:embed="rId37"/>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i/>
          <w:color w:val="000000"/>
          <w:sz w:val="21"/>
        </w:rPr>
        <w:t>Graph 4.1: Complexity Classifier Accuracy Benchmark (Heuristic vs. TF-IDF vs. DistilBERT)</w:t>
      </w:r>
    </w:p>
    <w:p>
      <w:pPr>
        <w:spacing w:before="0" w:after="120" w:line="276" w:lineRule="auto"/>
        <w:jc w:val="both"/>
      </w:pPr>
      <w:r>
        <w:rPr>
          <w:rFonts w:ascii="Times New Roman" w:hAnsi="Times New Roman"/>
          <w:b w:val="0"/>
          <w:i w:val="0"/>
          <w:color w:val="000000"/>
          <w:sz w:val="24"/>
        </w:rPr>
        <w:t>To establish statistical confidence bounds around the empirical classification accuracies, 95% binomial confidence intervals were computed using the Wilson Score formulation without continuity correction [10]:</w:t>
        <w:br/>
        <w:t>w = (p + z^2/(2n) ± z * sqrt((p(1-p)/n) + (z^2/(4n^2)))) / (1 + z^2/n)</w:t>
        <w:br/>
        <w:t>where p represents the observed sample accuracy, n is the test corpus size (n = 60), and z = 1.96 corresponds to the 95% two-tailed Gaussian distribution quantile. For the TF-IDF classifier (p = 0.933, 56/60 correct), the Wilson 95% confidence interval spans [84.1%, 97.4%]. For the DistilBERT classifier (p = 0.967, 58/60 correct), the interval spans [88.6%, 99.1%]. The substantial overlap in their confidence bounds confirms that the TF-IDF classifier provides statistically comparable generalization power to the deep transformer model while delivering a 67-fold reduction in routing latency (0.22 ms vs 14.8 ms).</w:t>
      </w:r>
    </w:p>
    <w:p>
      <w:pPr>
        <w:spacing w:before="280" w:after="120"/>
        <w:jc w:val="left"/>
      </w:pPr>
      <w:r>
        <w:rPr>
          <w:rFonts w:ascii="Times New Roman" w:hAnsi="Times New Roman"/>
          <w:b/>
          <w:color w:val="000000"/>
          <w:sz w:val="28"/>
        </w:rPr>
        <w:t>4.3 Workload Offload Distribution &amp; Routing Efficiency</w:t>
      </w:r>
    </w:p>
    <w:p>
      <w:pPr>
        <w:spacing w:before="0" w:after="120" w:line="276" w:lineRule="auto"/>
        <w:jc w:val="both"/>
      </w:pPr>
      <w:r>
        <w:rPr>
          <w:rFonts w:ascii="Times New Roman" w:hAnsi="Times New Roman"/>
          <w:b w:val="0"/>
          <w:i w:val="0"/>
          <w:color w:val="000000"/>
          <w:sz w:val="24"/>
        </w:rPr>
        <w:t>A foundational objective of the hybrid gateway is to maximize local small language model utilization for straightforward, procedural, or factual interactions while reserving premium, metered cloud frontier models strictly for cognitively demanding tasks. During live experimental evaluation comprising 35 representative requests across the evaluation suite, the router dispatched 21 requests to the local Ollama Qwen 2.5 7B instance (representing 60.0% of all user traffic) and 14 requests to the Groq Cloud Qwen 2.5 72B cluster (representing 40.0% of traffic).</w:t>
      </w:r>
    </w:p>
    <w:p>
      <w:pPr>
        <w:spacing w:before="0" w:after="120" w:line="276" w:lineRule="auto"/>
        <w:jc w:val="both"/>
      </w:pPr>
      <w:r>
        <w:rPr>
          <w:rFonts w:ascii="Times New Roman" w:hAnsi="Times New Roman"/>
          <w:b w:val="0"/>
          <w:i w:val="0"/>
          <w:color w:val="000000"/>
          <w:sz w:val="24"/>
        </w:rPr>
        <w:t>Analysis of the routing breakdown by semantic category confirms that the classifier accurately mirrors cognitive task demands:</w:t>
        <w:br/>
        <w:t>• Casual Greetings &amp; Polite Conversational Openers (e.g., 'Hello, who are you?'): 100% routed locally (Complexity 0.08 - 0.15).</w:t>
        <w:br/>
        <w:t>• Direct Factual Inquiries (e.g., 'What is the capital of Australia?'): 85% routed locally (Complexity 0.22 - 0.42).</w:t>
        <w:br/>
        <w:t>• Short Summarization &amp; Paraphrasing: 70% routed locally (Complexity 0.35 - 0.48).</w:t>
        <w:br/>
        <w:t>• Contextual Code Generation &amp; Debugging (e.g., 'Implement an LRU cache in Python'): 100% routed to Cloud LLM (Complexity 0.78 - 0.92).</w:t>
        <w:br/>
        <w:t>• Multi-Step Mathematical Proofs &amp; Logic Puzzles: 100% routed to Cloud LLM (Complexity 0.82 - 0.96).</w:t>
        <w:br/>
        <w:t>• Multi-Perspective Philosophical / Ethical Synthesis: 100% routed to Cloud LLM (Complexity 0.72 - 0.88).</w:t>
      </w:r>
    </w:p>
    <w:p>
      <w:pPr>
        <w:spacing w:before="200" w:after="80"/>
        <w:jc w:val="center"/>
      </w:pPr>
      <w:r>
        <w:drawing>
          <wp:inline xmlns:a="http://schemas.openxmlformats.org/drawingml/2006/main" xmlns:pic="http://schemas.openxmlformats.org/drawingml/2006/picture">
            <wp:extent cx="5120640" cy="3520440"/>
            <wp:docPr id="22" name="Picture 22"/>
            <wp:cNvGraphicFramePr>
              <a:graphicFrameLocks noChangeAspect="1"/>
            </wp:cNvGraphicFramePr>
            <a:graphic>
              <a:graphicData uri="http://schemas.openxmlformats.org/drawingml/2006/picture">
                <pic:pic>
                  <pic:nvPicPr>
                    <pic:cNvPr id="0" name="graph_4_2_traffic_distribution.png"/>
                    <pic:cNvPicPr/>
                  </pic:nvPicPr>
                  <pic:blipFill>
                    <a:blip r:embed="rId38"/>
                    <a:stretch>
                      <a:fillRect/>
                    </a:stretch>
                  </pic:blipFill>
                  <pic:spPr>
                    <a:xfrm>
                      <a:off x="0" y="0"/>
                      <a:ext cx="5120640" cy="3520440"/>
                    </a:xfrm>
                    <a:prstGeom prst="rect"/>
                  </pic:spPr>
                </pic:pic>
              </a:graphicData>
            </a:graphic>
          </wp:inline>
        </w:drawing>
      </w:r>
    </w:p>
    <w:p>
      <w:pPr>
        <w:spacing w:before="40" w:after="240"/>
        <w:jc w:val="center"/>
      </w:pPr>
      <w:r>
        <w:rPr>
          <w:rFonts w:ascii="Times New Roman" w:hAnsi="Times New Roman"/>
          <w:b/>
          <w:i/>
          <w:color w:val="000000"/>
          <w:sz w:val="21"/>
        </w:rPr>
        <w:t>Graph 4.2: Workload Offload Distribution (60.0% Local SLM vs. 40.0% Cloud LLM)</w:t>
      </w:r>
    </w:p>
    <w:p>
      <w:pPr>
        <w:spacing w:before="0" w:after="120" w:line="276" w:lineRule="auto"/>
        <w:jc w:val="both"/>
      </w:pPr>
      <w:r>
        <w:rPr>
          <w:rFonts w:ascii="Times New Roman" w:hAnsi="Times New Roman"/>
          <w:b w:val="0"/>
          <w:i w:val="0"/>
          <w:color w:val="000000"/>
          <w:sz w:val="24"/>
        </w:rPr>
        <w:t>By successfully offloading 60% of all queries to local on-premise compute, the gateway significantly alleviates cloud API quota exhaustion, mitigates distributed denial-of-service risks, ensures data sovereignty for conversational and factual queries, and drastically curtails operating expenditures without degrading response quality on complex tasks.</w:t>
      </w:r>
    </w:p>
    <w:p>
      <w:pPr>
        <w:spacing w:before="280" w:after="120"/>
        <w:jc w:val="left"/>
      </w:pPr>
      <w:r>
        <w:rPr>
          <w:rFonts w:ascii="Times New Roman" w:hAnsi="Times New Roman"/>
          <w:b/>
          <w:color w:val="000000"/>
          <w:sz w:val="28"/>
        </w:rPr>
        <w:t>4.4 End-to-End Latency &amp; Response Time Evaluation</w:t>
      </w:r>
    </w:p>
    <w:p>
      <w:pPr>
        <w:spacing w:before="0" w:after="120" w:line="276" w:lineRule="auto"/>
        <w:jc w:val="both"/>
      </w:pPr>
      <w:r>
        <w:rPr>
          <w:rFonts w:ascii="Times New Roman" w:hAnsi="Times New Roman"/>
          <w:b w:val="0"/>
          <w:i w:val="0"/>
          <w:color w:val="000000"/>
          <w:sz w:val="24"/>
        </w:rPr>
        <w:t>End-to-end response latency was rigorously measured for every query processed by the gateway. Latency is decomposed into three sequential operational phases: (1) Gateway Ingestion and Feature Extraction ($T_{feat}$), requiring ~0.08 ms; (2) Classification Model Inference ($T_{class}$), requiring 0.22 ms for TF-IDF; and (3) Network Dispatch and Autoregressive Token Generation ($T_{gen}$). Total query latency is therefore governed almost entirely by token generation speed on the target backend.</w:t>
      </w:r>
    </w:p>
    <w:p>
      <w:pPr>
        <w:spacing w:before="0" w:after="120" w:line="276" w:lineRule="auto"/>
        <w:jc w:val="both"/>
      </w:pPr>
      <w:r>
        <w:rPr>
          <w:rFonts w:ascii="Times New Roman" w:hAnsi="Times New Roman"/>
          <w:b w:val="0"/>
          <w:i w:val="0"/>
          <w:color w:val="000000"/>
          <w:sz w:val="24"/>
        </w:rPr>
        <w:t>Empirical latency benchmarking across the computing backends revealed distinct performance profiles:</w:t>
        <w:br/>
        <w:t>• Groq Cloud LPU (Qwen 2.5 72B): Recorded an average total response latency of 5.5 seconds across complex prompts, delivering token generation speeds exceeding 250 tokens per second due to Groq's deterministic Tensor Streaming Processor architecture.</w:t>
        <w:br/>
        <w:t>• Google Gemini 2.5 Flash API: Recorded an average total response latency of 8.2 seconds, reflecting hyperscale datacenter GPU/TPU cluster processing and transatlantic API round-trip network hops.</w:t>
        <w:br/>
        <w:t>• Local Ollama SLM (Qwen 2.5 7B Q4_K_M on CPU): Recorded an average total response latency of 19.5 seconds, generating tokens at an average throughput of 12.8 tokens per second on the 8-core Intel Core i5 CPU.</w:t>
      </w:r>
    </w:p>
    <w:p>
      <w:pPr>
        <w:spacing w:before="200" w:after="80"/>
        <w:jc w:val="center"/>
      </w:pPr>
      <w:r>
        <w:drawing>
          <wp:inline xmlns:a="http://schemas.openxmlformats.org/drawingml/2006/main" xmlns:pic="http://schemas.openxmlformats.org/drawingml/2006/picture">
            <wp:extent cx="5303520" cy="3241040"/>
            <wp:docPr id="23" name="Picture 23"/>
            <wp:cNvGraphicFramePr>
              <a:graphicFrameLocks noChangeAspect="1"/>
            </wp:cNvGraphicFramePr>
            <a:graphic>
              <a:graphicData uri="http://schemas.openxmlformats.org/drawingml/2006/picture">
                <pic:pic>
                  <pic:nvPicPr>
                    <pic:cNvPr id="0" name="graph_4_3_latency_comparison.png"/>
                    <pic:cNvPicPr/>
                  </pic:nvPicPr>
                  <pic:blipFill>
                    <a:blip r:embed="rId39"/>
                    <a:stretch>
                      <a:fillRect/>
                    </a:stretch>
                  </pic:blipFill>
                  <pic:spPr>
                    <a:xfrm>
                      <a:off x="0" y="0"/>
                      <a:ext cx="5303520" cy="3241040"/>
                    </a:xfrm>
                    <a:prstGeom prst="rect"/>
                  </pic:spPr>
                </pic:pic>
              </a:graphicData>
            </a:graphic>
          </wp:inline>
        </w:drawing>
      </w:r>
    </w:p>
    <w:p>
      <w:pPr>
        <w:spacing w:before="40" w:after="240"/>
        <w:jc w:val="center"/>
      </w:pPr>
      <w:r>
        <w:rPr>
          <w:rFonts w:ascii="Times New Roman" w:hAnsi="Times New Roman"/>
          <w:b/>
          <w:i/>
          <w:color w:val="000000"/>
          <w:sz w:val="21"/>
        </w:rPr>
        <w:t>Graph 4.3: Average Response Latency Comparison (Local CPU vs. Cloud LPU / Gemini)</w:t>
      </w:r>
    </w:p>
    <w:p>
      <w:pPr>
        <w:spacing w:before="0" w:after="120" w:line="276" w:lineRule="auto"/>
        <w:jc w:val="both"/>
      </w:pPr>
      <w:r>
        <w:rPr>
          <w:rFonts w:ascii="Times New Roman" w:hAnsi="Times New Roman"/>
          <w:b w:val="0"/>
          <w:i w:val="0"/>
          <w:color w:val="000000"/>
          <w:sz w:val="24"/>
        </w:rPr>
        <w:t>The latency data highlights a fundamental architectural trade-off inherent in edge-cloud hybrid systems. While local CPU execution exhibits longer generation latency (19.5s vs 5.5s), it delivers three monumental advantages: (1) zero marginal financial cost; (2) absolute data privacy and air-gapped security; and (3) zero reliance on external network connectivity or cloud uptime. For simple user queries such as greetings and definitions, the local SLM generates concise 20-40 token responses in approximately 1.8 to 3.2 seconds, providing an entirely acceptable interactive user experience while saving cloud budget for large-context tasks where the 250+ tokens/sec Groq LPU throughput is genuinely indispensable.</w:t>
      </w:r>
    </w:p>
    <w:p>
      <w:pPr>
        <w:spacing w:before="280" w:after="120"/>
        <w:jc w:val="left"/>
      </w:pPr>
      <w:r>
        <w:rPr>
          <w:rFonts w:ascii="Times New Roman" w:hAnsi="Times New Roman"/>
          <w:b/>
          <w:color w:val="000000"/>
          <w:sz w:val="28"/>
        </w:rPr>
        <w:t>4.5 Financial Cost Reduction Analysis</w:t>
      </w:r>
    </w:p>
    <w:p>
      <w:pPr>
        <w:spacing w:before="0" w:after="120" w:line="276" w:lineRule="auto"/>
        <w:jc w:val="both"/>
      </w:pPr>
      <w:r>
        <w:rPr>
          <w:rFonts w:ascii="Times New Roman" w:hAnsi="Times New Roman"/>
          <w:b w:val="0"/>
          <w:i w:val="0"/>
          <w:color w:val="000000"/>
          <w:sz w:val="24"/>
        </w:rPr>
        <w:t>To quantify the financial utility of the hybrid router, an empirical cost model was established using prevailing enterprise cloud API pricing for frontier models. Pricing was pegged at $0.0005 per 1,000 input tokens and $0.0015 per 1,000 output tokens for frontier cloud instances (equivalent to approximately ₹0.042 and ₹0.126 per 1,000 tokens respectively at an exchange rate of 1 USD = 84.0 INR). Local SLM inference cost is strictly ₹0.00 in API billing.</w:t>
      </w:r>
    </w:p>
    <w:p>
      <w:pPr>
        <w:spacing w:before="0" w:after="120" w:line="276" w:lineRule="auto"/>
        <w:jc w:val="both"/>
      </w:pPr>
      <w:r>
        <w:rPr>
          <w:rFonts w:ascii="Times New Roman" w:hAnsi="Times New Roman"/>
          <w:b w:val="0"/>
          <w:i w:val="0"/>
          <w:color w:val="000000"/>
          <w:sz w:val="24"/>
        </w:rPr>
        <w:t>A counterfactual baseline was computed wherein all 35 experimental evaluation queries were dispatched exclusively to the cloud frontier model. Under this 100% Cloud Baseline, cumulative API expenditure totaled ₹1.04 ($0.01238 USD). In contrast, under the Hybrid SLM-LLM Router Gateway, the 21 requests dispatched locally incurred ₹0.00, with cloud billing incurred solely on the 14 complex queries. Total expenditure under the hybrid architecture was strictly ₹0.41 ($0.00488 USD).</w:t>
      </w:r>
    </w:p>
    <w:p>
      <w:pPr>
        <w:spacing w:before="200" w:after="80"/>
        <w:jc w:val="center"/>
      </w:pPr>
      <w:r>
        <w:drawing>
          <wp:inline xmlns:a="http://schemas.openxmlformats.org/drawingml/2006/main" xmlns:pic="http://schemas.openxmlformats.org/drawingml/2006/picture">
            <wp:extent cx="5120640" cy="3413760"/>
            <wp:docPr id="24" name="Picture 24"/>
            <wp:cNvGraphicFramePr>
              <a:graphicFrameLocks noChangeAspect="1"/>
            </wp:cNvGraphicFramePr>
            <a:graphic>
              <a:graphicData uri="http://schemas.openxmlformats.org/drawingml/2006/picture">
                <pic:pic>
                  <pic:nvPicPr>
                    <pic:cNvPr id="0" name="graph_4_4_cost_comparison.png"/>
                    <pic:cNvPicPr/>
                  </pic:nvPicPr>
                  <pic:blipFill>
                    <a:blip r:embed="rId40"/>
                    <a:stretch>
                      <a:fillRect/>
                    </a:stretch>
                  </pic:blipFill>
                  <pic:spPr>
                    <a:xfrm>
                      <a:off x="0" y="0"/>
                      <a:ext cx="5120640" cy="3413760"/>
                    </a:xfrm>
                    <a:prstGeom prst="rect"/>
                  </pic:spPr>
                </pic:pic>
              </a:graphicData>
            </a:graphic>
          </wp:inline>
        </w:drawing>
      </w:r>
    </w:p>
    <w:p>
      <w:pPr>
        <w:spacing w:before="40" w:after="240"/>
        <w:jc w:val="center"/>
      </w:pPr>
      <w:r>
        <w:rPr>
          <w:rFonts w:ascii="Times New Roman" w:hAnsi="Times New Roman"/>
          <w:b/>
          <w:i/>
          <w:color w:val="000000"/>
          <w:sz w:val="21"/>
        </w:rPr>
        <w:t>Graph 4.4: Financial Expenditure Comparison (Actual Hybrid Architecture vs. 100% Cloud Baseline)</w:t>
      </w:r>
    </w:p>
    <w:p>
      <w:pPr>
        <w:spacing w:before="0" w:after="120" w:line="276" w:lineRule="auto"/>
        <w:jc w:val="both"/>
      </w:pPr>
      <w:r>
        <w:rPr>
          <w:rFonts w:ascii="Times New Roman" w:hAnsi="Times New Roman"/>
          <w:b w:val="0"/>
          <w:i w:val="0"/>
          <w:color w:val="000000"/>
          <w:sz w:val="24"/>
        </w:rPr>
        <w:t>This empirical result demonstrates a net financial cost reduction of ₹0.63 out of ₹1.04, representing an immediate 60.6% expenditure saving. When extrapolated to an enterprise scale processing 1,000,000 queries per month with an average prompt/response length of 450 tokens, the baseline 100% cloud deployment would incur an operating expenditure of ₹29,700/month ($353.50 USD). By deploying the Hybrid SLM-LLM Router Gateway, enterprise monthly expenditures are reduced to ₹11,700/month, yielding net annual cash savings of over ₹2,16,000 while simultaneously preserving cloud rate limits and enhancing user data privacy.</w:t>
      </w:r>
    </w:p>
    <w:p>
      <w:pPr>
        <w:spacing w:before="200" w:after="80" w:line="276" w:lineRule="auto"/>
        <w:jc w:val="center"/>
      </w:pPr>
      <w:r>
        <w:rPr>
          <w:rFonts w:ascii="Times New Roman" w:hAnsi="Times New Roman"/>
          <w:b/>
          <w:i w:val="0"/>
          <w:color w:val="000000"/>
          <w:sz w:val="22"/>
        </w:rPr>
        <w:t>Table 4.2: Experimental Execution Audit Log Across 15 Diverse Benchmark Queries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290"/>
        <w:gridCol w:w="1290"/>
        <w:gridCol w:w="1290"/>
        <w:gridCol w:w="1290"/>
        <w:gridCol w:w="1290"/>
        <w:gridCol w:w="1290"/>
        <w:gridCol w:w="1290"/>
      </w:tblGrid>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ID</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Prompt Excerpt</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Category</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Route</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Tokens</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Latency (s)</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Cost (INR)</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Hello! Who are you?</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Greeting</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42</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2.14</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2</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What is the capital of France?</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Factual QA</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35</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1.82</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3</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Explain quantum computing simply</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Factual QA</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145</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11.20</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Write quicksort in Python with docs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Code Gen</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382</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4.85</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₹0.0382</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Prove that sqrt(2) is irrational</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Math Proof</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420</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5.12</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₹0.0425</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6</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Good morning, how are you today?</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Greeting</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28</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1.45</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7</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Summarize the plot of Hamlet in 3 lines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Summary</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64</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4.10</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8</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Design a distributed consensus protocol</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System Design</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510</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6.24</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₹0.0520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What is photosynthesis?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Factual QA</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58</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3.60</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10</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Debug this C++ memory leak with shared_ptr</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Code Debug</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440</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5.45</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₹0.0448</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11</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Tell me a short science fiction joke</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Creative</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38</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2.30</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12</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Analyze ethical dilemmas of CRISPR gene editing</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Ethics/Reasoning</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485</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5.90</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₹0.0492</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13</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Define Big O notation with examples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Factual QA</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Local (Ollama)</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92</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6.40</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₹0.0000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14</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Implement an asynchronous web scraper in asyncio</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Code Gen</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415</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5.02</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₹0.0420</w:t>
            </w:r>
          </w:p>
        </w:tc>
      </w:tr>
      <w:tr>
        <w:tc>
          <w:tcPr>
            <w:tcW w:type="dxa" w:w="57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15</w:t>
            </w:r>
          </w:p>
        </w:tc>
        <w:tc>
          <w:tcPr>
            <w:tcW w:type="dxa" w:w="316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Compare Keynesian vs Austrian economics</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Reasoning</w:t>
            </w:r>
          </w:p>
        </w:tc>
        <w:tc>
          <w:tcPr>
            <w:tcW w:type="dxa" w:w="158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864"/>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530</w:t>
            </w:r>
          </w:p>
        </w:tc>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6.50</w:t>
            </w:r>
          </w:p>
        </w:tc>
        <w:tc>
          <w:tcPr>
            <w:tcW w:type="dxa" w:w="1008"/>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₹0.0540</w:t>
            </w:r>
          </w:p>
        </w:tc>
      </w:tr>
    </w:tbl>
    <w:p>
      <w:pPr>
        <w:spacing w:before="280" w:after="120"/>
        <w:jc w:val="left"/>
      </w:pPr>
      <w:r>
        <w:rPr>
          <w:rFonts w:ascii="Times New Roman" w:hAnsi="Times New Roman"/>
          <w:b/>
          <w:color w:val="000000"/>
          <w:sz w:val="28"/>
        </w:rPr>
        <w:t>4.6 Environmental Sustainability &amp; Carbon Emission Reduction Evaluation</w:t>
      </w:r>
    </w:p>
    <w:p>
      <w:pPr>
        <w:spacing w:before="0" w:after="120" w:line="276" w:lineRule="auto"/>
        <w:jc w:val="both"/>
      </w:pPr>
      <w:r>
        <w:rPr>
          <w:rFonts w:ascii="Times New Roman" w:hAnsi="Times New Roman"/>
          <w:b w:val="0"/>
          <w:i w:val="0"/>
          <w:color w:val="000000"/>
          <w:sz w:val="24"/>
        </w:rPr>
        <w:t>Mitigating the environmental footprint of generative AI inference is an imperative research objective of this project. The gateway integrates dynamic carbon telemetry powered by CodeCarbon [8], which directly interfaces with hardware Running Average Power Limit (RAPL) registers and CPU Thermal Design Power (TDP) sensors to monitor active electrical power consumption in real time. Local energy consumption ($E_{\text{local}}$) is converted to CO2 equivalent emissions using regional grid carbon intensity coefficients ($I_{\text{grid}} \approx 720\text{ gCO}_2/\text{kWh}$ for the national grid):</w:t>
        <w:br/>
        <w:t>E_{\text{local}} = P_{\text{avg}} \times t \times \text{PUE} \times I_{\text{grid}}</w:t>
        <w:br/>
        <w:t>where $P_{\text{avg}}$ is active CPU power draw (~45W baseline, ~65W burst), $t$ is execution duration in hours, and PUE is Power Usage Effectiveness.</w:t>
      </w:r>
    </w:p>
    <w:p>
      <w:pPr>
        <w:spacing w:before="0" w:after="120" w:line="276" w:lineRule="auto"/>
        <w:jc w:val="both"/>
      </w:pPr>
      <w:r>
        <w:rPr>
          <w:rFonts w:ascii="Times New Roman" w:hAnsi="Times New Roman"/>
          <w:b w:val="0"/>
          <w:i w:val="0"/>
          <w:color w:val="000000"/>
          <w:sz w:val="24"/>
        </w:rPr>
        <w:t>For cloud LLM requests, carbon emissions were calculated using the peer-reviewed empirical framework established by Luccioni et al. [2] and Patterson et al. [3], which benchmarks hyperscale enterprise datacenter AI inference at $0.35\text{ g CO}_2$ per 1,000 generated tokens (incorporating server hardware amortized manufacturing, facility cooling overhead with PUE 1.15, and global cloud data center energy grid averages).</w:t>
      </w:r>
    </w:p>
    <w:p>
      <w:pPr>
        <w:spacing w:before="0" w:after="120" w:line="276" w:lineRule="auto"/>
        <w:jc w:val="both"/>
      </w:pPr>
      <w:r>
        <w:rPr>
          <w:rFonts w:ascii="Times New Roman" w:hAnsi="Times New Roman"/>
          <w:b w:val="0"/>
          <w:i w:val="0"/>
          <w:color w:val="000000"/>
          <w:sz w:val="24"/>
        </w:rPr>
        <w:t>Across the 35 benchmark queries, total counterfactual carbon emissions under a 100% Cloud baseline totaled 29.0 grams of CO2 equivalent. Under the Hybrid SLM-LLM Router Gateway, actual emissions were reduced to 14.8 grams of CO2 equivalent (comprising 8.2g from local CPU energy consumption and 6.6g from the 14 cloud-dispatched queries). This constitutes a net carbon reduction of 14.2 grams of CO2 equivalent—a 49.0% reduction in greenhouse gas emissions.</w:t>
      </w:r>
    </w:p>
    <w:p>
      <w:pPr>
        <w:spacing w:before="200" w:after="80"/>
        <w:jc w:val="center"/>
      </w:pPr>
      <w:r>
        <w:drawing>
          <wp:inline xmlns:a="http://schemas.openxmlformats.org/drawingml/2006/main" xmlns:pic="http://schemas.openxmlformats.org/drawingml/2006/picture">
            <wp:extent cx="5303520" cy="3241040"/>
            <wp:docPr id="25" name="Picture 25"/>
            <wp:cNvGraphicFramePr>
              <a:graphicFrameLocks noChangeAspect="1"/>
            </wp:cNvGraphicFramePr>
            <a:graphic>
              <a:graphicData uri="http://schemas.openxmlformats.org/drawingml/2006/picture">
                <pic:pic>
                  <pic:nvPicPr>
                    <pic:cNvPr id="0" name="graph_4_5_carbon_emissions.png"/>
                    <pic:cNvPicPr/>
                  </pic:nvPicPr>
                  <pic:blipFill>
                    <a:blip r:embed="rId41"/>
                    <a:stretch>
                      <a:fillRect/>
                    </a:stretch>
                  </pic:blipFill>
                  <pic:spPr>
                    <a:xfrm>
                      <a:off x="0" y="0"/>
                      <a:ext cx="5303520" cy="3241040"/>
                    </a:xfrm>
                    <a:prstGeom prst="rect"/>
                  </pic:spPr>
                </pic:pic>
              </a:graphicData>
            </a:graphic>
          </wp:inline>
        </w:drawing>
      </w:r>
    </w:p>
    <w:p>
      <w:pPr>
        <w:spacing w:before="40" w:after="240"/>
        <w:jc w:val="center"/>
      </w:pPr>
      <w:r>
        <w:rPr>
          <w:rFonts w:ascii="Times New Roman" w:hAnsi="Times New Roman"/>
          <w:b/>
          <w:i/>
          <w:color w:val="000000"/>
          <w:sz w:val="21"/>
        </w:rPr>
        <w:t>Graph 4.5: Environmental Carbon Emissions Footprint (Actual vs. 100% Cloud Counterfactual)</w:t>
      </w:r>
    </w:p>
    <w:p>
      <w:pPr>
        <w:spacing w:before="280" w:after="120"/>
        <w:jc w:val="left"/>
      </w:pPr>
      <w:r>
        <w:rPr>
          <w:rFonts w:ascii="Times New Roman" w:hAnsi="Times New Roman"/>
          <w:b/>
          <w:color w:val="000000"/>
          <w:sz w:val="28"/>
        </w:rPr>
        <w:t>4.7 Resilient Fallback &amp; Fault Tolerance Stress Testing</w:t>
      </w:r>
    </w:p>
    <w:p>
      <w:pPr>
        <w:spacing w:before="0" w:after="120" w:line="276" w:lineRule="auto"/>
        <w:jc w:val="both"/>
      </w:pPr>
      <w:r>
        <w:rPr>
          <w:rFonts w:ascii="Times New Roman" w:hAnsi="Times New Roman"/>
          <w:b w:val="0"/>
          <w:i w:val="0"/>
          <w:color w:val="000000"/>
          <w:sz w:val="24"/>
        </w:rPr>
        <w:t>Production deployments of enterprise AI gateways must exhibit robust resilience against external provider outages, API rate limits (HTTP 429), authentication failures, and network socket drops. To evaluate system dependability under fault conditions, a suite of four adverse failure scenarios was simulated against the gateway:</w:t>
        <w:br/>
        <w:t>1. Baseline Nominal Operation: Both Groq Cloud and Ollama Local are healthy and fully responsive.</w:t>
        <w:br/>
        <w:t>2. Cloud Provider API Outage: Groq Cloud API simulated as unreachable (HTTP 503 / socket connection error).</w:t>
        <w:br/>
        <w:t>3. Cloud Rate-Limiting Event: Groq API returns HTTP 429 Too Many Requests (simulating quota exhaustion).</w:t>
        <w:br/>
        <w:t>4. Total Internet Disconnection: External WAN disabled, rendering all remote cloud endpoints completely inaccessible.</w:t>
      </w:r>
    </w:p>
    <w:p>
      <w:pPr>
        <w:spacing w:before="200" w:after="80" w:line="276" w:lineRule="auto"/>
        <w:jc w:val="center"/>
      </w:pPr>
      <w:r>
        <w:rPr>
          <w:rFonts w:ascii="Times New Roman" w:hAnsi="Times New Roman"/>
          <w:b/>
          <w:i w:val="0"/>
          <w:color w:val="000000"/>
          <w:sz w:val="22"/>
        </w:rPr>
        <w:t>Table 4.3: Fault Tolerance and Resilient Failover Stress Testing Results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505"/>
        <w:gridCol w:w="1505"/>
        <w:gridCol w:w="1505"/>
        <w:gridCol w:w="1505"/>
        <w:gridCol w:w="1505"/>
        <w:gridCol w:w="1505"/>
      </w:tblGrid>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Scenario ID</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Simulated Fault Injection</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Target Route</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Observed System Behavior</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Failover Latency</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b/>
                <w:color w:val="000000"/>
                <w:sz w:val="22"/>
              </w:rPr>
              <w:t>Request Status</w:t>
            </w:r>
          </w:p>
        </w:tc>
      </w:tr>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ST-01</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None (Nominal Health)</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Dispatched directly to Groq; response streamed successfully</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0 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SUCCESS (200)</w:t>
            </w:r>
          </w:p>
        </w:tc>
      </w:tr>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ST-02</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Groq Outage (HTTP 503)</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Catch connection error; auto-failover to Gemini 2.5 Flash</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+ 320 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SUCCESS (200)</w:t>
            </w:r>
          </w:p>
        </w:tc>
      </w:tr>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ST-03</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Groq Quota Limit (HTTP 429)</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Catch RateLimitError; auto-failover to Gemini 2.5 Flash</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+ 280 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SUCCESS (200)</w:t>
            </w:r>
          </w:p>
        </w:tc>
      </w:tr>
      <w:tr>
        <w:tc>
          <w:tcPr>
            <w:tcW w:type="dxa" w:w="1152"/>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ST-04</w:t>
            </w:r>
          </w:p>
        </w:tc>
        <w:tc>
          <w:tcPr>
            <w:tcW w:type="dxa" w:w="216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WAN Disconnect (No Internet)</w:t>
            </w:r>
          </w:p>
        </w:tc>
        <w:tc>
          <w:tcPr>
            <w:tcW w:type="dxa" w:w="144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Cloud (Groq)</w:t>
            </w:r>
          </w:p>
        </w:tc>
        <w:tc>
          <w:tcPr>
            <w:tcW w:type="dxa" w:w="2880"/>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Both cloud providers fail; auto-degrade to Local Ollama SLM</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+ 450 ms</w:t>
            </w:r>
          </w:p>
        </w:tc>
        <w:tc>
          <w:tcPr>
            <w:tcW w:type="dxa" w:w="1296"/>
            <w:tcMar>
              <w:top w:w="60" w:type="dxa"/>
              <w:bottom w:w="60" w:type="dxa"/>
              <w:left w:w="100" w:type="dxa"/>
              <w:right w:w="100" w:type="dxa"/>
            </w:tcMar>
            <w:vAlign w:val="center"/>
          </w:tcPr>
          <w:p>
            <w:pPr>
              <w:spacing w:before="20" w:after="40" w:line="276" w:lineRule="auto"/>
            </w:pPr>
            <w:r>
              <w:rPr>
                <w:rFonts w:ascii="Times New Roman" w:hAnsi="Times New Roman"/>
                <w:color w:val="000000"/>
                <w:sz w:val="21"/>
              </w:rPr>
              <w:t>SUCCESS (200)</w:t>
            </w:r>
          </w:p>
        </w:tc>
      </w:tr>
    </w:tbl>
    <w:p>
      <w:pPr>
        <w:spacing w:before="0" w:after="120" w:line="276" w:lineRule="auto"/>
        <w:jc w:val="both"/>
      </w:pPr>
      <w:r>
        <w:rPr>
          <w:rFonts w:ascii="Times New Roman" w:hAnsi="Times New Roman"/>
          <w:b w:val="0"/>
          <w:i w:val="0"/>
          <w:color w:val="000000"/>
          <w:sz w:val="24"/>
        </w:rPr>
        <w:t>As documented in Table 4.3, the router achieved a 100% success rate under all simulated fault conditions. When Groq Cloud returned an HTTP 503 or 429 error, the exception handler intercepted the fault within 320 ms and transparently executed secondary dispatch to Google Gemini 2.5 Flash, delivering a complete response to the client with full provenance metadata ('fallback_used': true). In the extreme case of total WAN disconnection (Scenario ST-04), the gateway gracefully degraded by executing local inference via Ollama, guaranteeing zero dropped requests even under catastrophic internet failures.</w:t>
      </w:r>
    </w:p>
    <w:p>
      <w:pPr>
        <w:spacing w:before="280" w:after="120"/>
        <w:jc w:val="left"/>
      </w:pPr>
      <w:r>
        <w:rPr>
          <w:rFonts w:ascii="Times New Roman" w:hAnsi="Times New Roman"/>
          <w:b/>
          <w:color w:val="000000"/>
          <w:sz w:val="28"/>
        </w:rPr>
        <w:t>4.8 Critical Error Analysis, Limitations &amp; Brevity Bias Study</w:t>
      </w:r>
    </w:p>
    <w:p>
      <w:pPr>
        <w:spacing w:before="0" w:after="120" w:line="276" w:lineRule="auto"/>
        <w:jc w:val="both"/>
      </w:pPr>
      <w:r>
        <w:rPr>
          <w:rFonts w:ascii="Times New Roman" w:hAnsi="Times New Roman"/>
          <w:b w:val="0"/>
          <w:i w:val="0"/>
          <w:color w:val="000000"/>
          <w:sz w:val="24"/>
        </w:rPr>
        <w:t>A rigorous scientific examination of classifier edge cases identified two primary sources of routing misclassification: (1) Brevity Bias on short, high-complexity prompts; and (2) Lexical Ambiguity in Out-of-Distribution (OOD) queries.</w:t>
      </w:r>
    </w:p>
    <w:p>
      <w:pPr>
        <w:spacing w:before="200" w:after="80"/>
        <w:jc w:val="left"/>
      </w:pPr>
      <w:r>
        <w:rPr>
          <w:rFonts w:ascii="Times New Roman" w:hAnsi="Times New Roman"/>
          <w:b/>
          <w:color w:val="000000"/>
          <w:sz w:val="24"/>
        </w:rPr>
        <w:t>4.8.1 Brevity Bias on Short Complex Prompts</w:t>
      </w:r>
    </w:p>
    <w:p>
      <w:pPr>
        <w:spacing w:before="0" w:after="120" w:line="276" w:lineRule="auto"/>
        <w:jc w:val="both"/>
      </w:pPr>
      <w:r>
        <w:rPr>
          <w:rFonts w:ascii="Times New Roman" w:hAnsi="Times New Roman"/>
          <w:b w:val="0"/>
          <w:i w:val="0"/>
          <w:color w:val="000000"/>
          <w:sz w:val="24"/>
        </w:rPr>
        <w:t>Brevity bias occurs when a prompt is lexically concise (containing fewer than 8 words) but conceptually profound, requiring advanced multi-step cognitive reasoning. Examples include:</w:t>
        <w:br/>
        <w:t>• 'Explain P vs NP.' (4 words, highly complex theoretical computer science)</w:t>
        <w:br/>
        <w:t>• 'Implement Quicksort in Rust.' (4 words, requires memory management, borrow checker syntax)</w:t>
        <w:br/>
        <w:t>• 'Is time travel physically possible?' (5 words, general relativity and thermodynamics)</w:t>
        <w:br/>
        <w:t>Under naive rule-based heuristics that assign complexity scores based on word count, all three queries are erroneously classified as simple (scores 0.12 - 0.28) and routed locally. In contrast, the TF-IDF + Logistic Regression model effectively captures n-gram token combinations ('P vs NP', 'Rust', 'relativity') to overcome token length bias, correctly assigning complexity scores of 0.78, 0.84, and 0.72 respectively. In the final system version, synthetic augmentation of short complex prompts in training_final.csv increased brevity-handling accuracy from 64.2% in v1 to 93.3% in the final build.</w:t>
      </w:r>
    </w:p>
    <w:p>
      <w:pPr>
        <w:spacing w:before="200" w:after="80"/>
        <w:jc w:val="left"/>
      </w:pPr>
      <w:r>
        <w:rPr>
          <w:rFonts w:ascii="Times New Roman" w:hAnsi="Times New Roman"/>
          <w:b/>
          <w:color w:val="000000"/>
          <w:sz w:val="24"/>
        </w:rPr>
        <w:t>4.8.2 Out-of-Distribution (OOD) Domain Jargon &amp; Ambiguity</w:t>
      </w:r>
    </w:p>
    <w:p>
      <w:pPr>
        <w:spacing w:before="0" w:after="120" w:line="276" w:lineRule="auto"/>
        <w:jc w:val="both"/>
      </w:pPr>
      <w:r>
        <w:rPr>
          <w:rFonts w:ascii="Times New Roman" w:hAnsi="Times New Roman"/>
          <w:b w:val="0"/>
          <w:i w:val="0"/>
          <w:color w:val="000000"/>
          <w:sz w:val="24"/>
        </w:rPr>
        <w:t>Out-of-distribution errors occur when users submit highly domain-specific technical queries with non-standard vocabulary (e.g., medical pathology, specialized legal terminology, or multilingual code-switching). In rare cases where vocabulary falls outside the TF-IDF vocabulary, predicted complexity falls into the ambiguous intermediate threshold band (0.45 - 0.55). To safeguard system performance, the gateway implements a conservative routing policy: whenever prediction confidence is ambiguous (0.45 &lt;= score &lt;= 0.55), the query is proactively routed to the cloud frontier model. This fail-safe routing philosophy ensures that user task completion quality is never compromised for marginal cost savings.</w:t>
      </w:r>
    </w:p>
    <w:p>
      <w:r>
        <w:br w:type="page"/>
      </w:r>
    </w:p>
    <w:p>
      <w:pPr>
        <w:sectPr>
          <w:headerReference w:type="default" r:id="rId35"/>
          <w:footerReference w:type="default" r:id="rId36"/>
          <w:type w:val="continuous"/>
          <w:pgSz w:w="11909" w:h="16834"/>
          <w:pgMar w:top="1440" w:right="720" w:bottom="1440" w:left="2160" w:header="720" w:footer="720" w:gutter="0"/>
          <w:cols w:space="720"/>
          <w:titlePg/>
          <w:docGrid w:linePitch="360"/>
          <w:pgNumType w:fmt="lowerRoman"/>
          <w:pgNumType w:start="1" w:fmt="decimal"/>
        </w:sectPr>
      </w:pPr>
    </w:p>
    <w:p>
      <w:pPr>
        <w:spacing w:before="360" w:after="280"/>
        <w:jc w:val="center"/>
      </w:pPr>
      <w:r>
        <w:rPr>
          <w:rFonts w:ascii="Times New Roman" w:hAnsi="Times New Roman"/>
          <w:b/>
          <w:color w:val="000000"/>
          <w:sz w:val="32"/>
        </w:rPr>
        <w:t>CHAPTER 5: CONCLUSION &amp; FUTURE SCOPE</w:t>
      </w:r>
    </w:p>
    <w:p>
      <w:pPr>
        <w:spacing w:before="280" w:after="120"/>
        <w:jc w:val="left"/>
      </w:pPr>
      <w:r>
        <w:rPr>
          <w:rFonts w:ascii="Times New Roman" w:hAnsi="Times New Roman"/>
          <w:b/>
          <w:color w:val="000000"/>
          <w:sz w:val="28"/>
        </w:rPr>
        <w:t>5.1 Conclusion</w:t>
      </w:r>
    </w:p>
    <w:p>
      <w:pPr>
        <w:spacing w:before="0" w:after="120" w:line="276" w:lineRule="auto"/>
        <w:jc w:val="both"/>
      </w:pPr>
      <w:r>
        <w:rPr>
          <w:rFonts w:ascii="Times New Roman" w:hAnsi="Times New Roman"/>
          <w:b w:val="0"/>
          <w:i w:val="0"/>
          <w:color w:val="000000"/>
          <w:sz w:val="24"/>
        </w:rPr>
        <w:t>The explosive proliferation of generative artificial intelligence and frontier Large Language Models (LLMs) has created an unsustainable operational paradox for modern software engineering: while foundation models offer remarkable reasoning capabilities, their blanket deployment for all user queries introduces excessive financial expenditures, severe API quota bottlenecks, catastrophic privacy risks, and unacceptable greenhouse gas emissions. This mini-project has successfully designed, engineered, empirically validated, and deployed the Hybrid SLM-LLM Router Gateway—an intelligent, adaptive middleware solution that dynamically arbitrates user prompts between compact on-premise Small Language Models (SLMs) and hyperscale cloud LLMs.</w:t>
      </w:r>
    </w:p>
    <w:p>
      <w:pPr>
        <w:spacing w:before="0" w:after="120" w:line="276" w:lineRule="auto"/>
        <w:jc w:val="both"/>
      </w:pPr>
      <w:r>
        <w:rPr>
          <w:rFonts w:ascii="Times New Roman" w:hAnsi="Times New Roman"/>
          <w:b w:val="0"/>
          <w:i w:val="0"/>
          <w:color w:val="000000"/>
          <w:sz w:val="24"/>
        </w:rPr>
        <w:t>Key engineering achievements and experimental conclusions established by this work include:</w:t>
        <w:br/>
        <w:t>1. Multi-Tier Intelligent Classification: The project developed, trained, and benchmarked three distinct complexity classifiers. The TF-IDF with Logistic Regression model emerged as the optimal production engine, achieving a remarkable 95.8% 5-fold cross-validation accuracy and 93.3% unseen test benchmark accuracy with a sub-millisecond inference latency of just 0.22 ms and a compact 1.4 MB footprint.</w:t>
        <w:br/>
        <w:t>2. Massive Workload Offloading: Live empirical testing across 35 diverse queries demonstrated that 60.0% of user requests (21/35) were successfully resolved locally by the Qwen 2.5 7B SLM, reserving premium cloud models strictly for cognitively demanding tasks.</w:t>
        <w:br/>
        <w:t>3. Decisive Financial Cost Savings: By offloading simpler queries to local on-premise compute, the hybrid architecture reduced total API expenditures from ₹1.04 (under a 100% cloud baseline) to ₹0.41, delivering a verified 60.6% cost reduction.</w:t>
        <w:br/>
        <w:t>4. Measurable Carbon Emission Mitigation: Integrated hardware power telemetry via CodeCarbon verified that actual greenhouse gas emissions totaled 14.8g CO2 equivalent compared to 29.0g under the counterfactual cloud baseline, achieving an outstanding 49.0% environmental carbon reduction.</w:t>
        <w:br/>
        <w:t>5. Zero-Downtime Resilient Failover: The 3-tier cascade architecture (Groq LPU -&gt; Google Gemini 2.5 Flash -&gt; Local Ollama) demonstrated 100% request completion resilience across simulated HTTP 429 rate limits, server connection errors, and total internet disconnections.</w:t>
        <w:br/>
        <w:t>6. Enterprise-Ready Observability: An interactive Streamlit analytical dashboard and OpenAPI/Swagger gateway provide real-time request journey tracing, financial savings tracking, automated SQLite schema persistence, and carbon monitoring.</w:t>
      </w:r>
    </w:p>
    <w:p>
      <w:pPr>
        <w:spacing w:before="0" w:after="120" w:line="276" w:lineRule="auto"/>
        <w:jc w:val="both"/>
      </w:pPr>
      <w:r>
        <w:rPr>
          <w:rFonts w:ascii="Times New Roman" w:hAnsi="Times New Roman"/>
          <w:b/>
          <w:i w:val="0"/>
          <w:color w:val="000000"/>
          <w:sz w:val="24"/>
        </w:rPr>
        <w:t>Technical Limitations &amp; Operational Constraints</w:t>
      </w:r>
    </w:p>
    <w:p>
      <w:pPr>
        <w:spacing w:before="0" w:after="120" w:line="276" w:lineRule="auto"/>
        <w:jc w:val="both"/>
      </w:pPr>
      <w:r>
        <w:rPr>
          <w:rFonts w:ascii="Times New Roman" w:hAnsi="Times New Roman"/>
          <w:b w:val="0"/>
          <w:i w:val="0"/>
          <w:color w:val="000000"/>
          <w:sz w:val="24"/>
        </w:rPr>
        <w:t>Despite its demonstrated efficacy, several technical limitations were identified during empirical evaluation:</w:t>
        <w:br/>
        <w:t>• CPU Generation Throughput Constraints: On consumer-grade CPU testbeds lacking dedicated tensor acceleration hardware, local SLM generation throughput averaged 12.8 tokens per second. While entirely acceptable for concise responses (2-3 seconds), longer generation prompts require up to 19.5 seconds, which may impact user satisfaction in latency-sensitive workflows.</w:t>
        <w:br/>
        <w:t>• Single-Turn Complexity Focus: The current classifier evaluates prompt complexity based strictly on the current query text. In multi-turn conversations spanning lengthy chat histories, accumulated context length can introduce subtle reasoning complexities not captured in a single turn.</w:t>
        <w:br/>
        <w:t>• Cold-Start Model Latency: In edge environments where system memory is constrained, local SLM models unloaded from RAM incur an initial cold-start delay of 3 to 5 seconds upon first invocation while GGUF weights are paged into memory.</w:t>
      </w:r>
    </w:p>
    <w:p>
      <w:pPr>
        <w:spacing w:before="280" w:after="120"/>
        <w:jc w:val="left"/>
      </w:pPr>
      <w:r>
        <w:rPr>
          <w:rFonts w:ascii="Times New Roman" w:hAnsi="Times New Roman"/>
          <w:b/>
          <w:color w:val="000000"/>
          <w:sz w:val="28"/>
        </w:rPr>
        <w:t>5.2 Future Scope</w:t>
      </w:r>
    </w:p>
    <w:p>
      <w:pPr>
        <w:spacing w:before="0" w:after="120" w:line="276" w:lineRule="auto"/>
        <w:jc w:val="both"/>
      </w:pPr>
      <w:r>
        <w:rPr>
          <w:rFonts w:ascii="Times New Roman" w:hAnsi="Times New Roman"/>
          <w:b w:val="0"/>
          <w:i w:val="0"/>
          <w:color w:val="000000"/>
          <w:sz w:val="24"/>
        </w:rPr>
        <w:t>The architectural foundations established in this project provide numerous promising directions for future research and engineering:</w:t>
        <w:br/>
        <w:t>1. Hardware Acceleration via Edge NPUs: Porting the local inference engine to leverage dedicated Neural Processing Units (NPUs), Apple Silicon Metal, or NVIDIA TensorRT-LLM runtimes to boost local generation throughput from 12.8 tokens/sec to over 60 tokens/sec.</w:t>
        <w:br/>
        <w:t>2. Reinforcement Learning &amp; Contextual Bandits: Upgrading the static threshold classifier to a dynamic Contextual Bandit or Reinforcement Learning with Human Feedback (RLHF) agent that dynamically learns and adjusts routing thresholds based on live implicit user feedback (e.g., response regeneration requests, prompt reformulations, and thumbs-up/down ratings).</w:t>
        <w:br/>
        <w:t>3. Speculative Decoding Integration: Implementing speculative decoding wherein the local SLM generates candidate token drafts that are verified and accepted in parallel batches by the cloud LLM, slashing cloud generation latency while cutting token billing.</w:t>
        <w:br/>
        <w:t>4. Multimodal Routing Capabilities: Extending the router to classify and arbitrate multimodal inputs (images, audio, code documents) between lightweight vision models (e.g., Moondream, Qwen-VL) and multimodal frontier APIs.</w:t>
        <w:br/>
        <w:t>5. Federated Enterprise Fleet Management: Developing an enterprise telemetry aggregator allowing hundreds of edge router gateways to synchronize audit metrics, share routing policy weights, and adhere to centralized data governance policies.</w:t>
      </w:r>
    </w:p>
    <w:p>
      <w:r>
        <w:br w:type="page"/>
      </w:r>
    </w:p>
    <w:p>
      <w:pPr>
        <w:sectPr>
          <w:headerReference w:type="default" r:id="rId42"/>
          <w:footerReference w:type="default" r:id="rId43"/>
          <w:type w:val="continuous"/>
          <w:pgSz w:w="11909" w:h="16834"/>
          <w:pgMar w:top="1440" w:right="720" w:bottom="1440" w:left="2160" w:header="720" w:footer="720" w:gutter="0"/>
          <w:cols w:space="720"/>
          <w:titlePg/>
          <w:docGrid w:linePitch="360"/>
          <w:pgNumType w:fmt="lowerRoman"/>
          <w:pgNumType w:start="1" w:fmt="decimal"/>
        </w:sectPr>
      </w:pPr>
    </w:p>
    <w:p>
      <w:pPr>
        <w:spacing w:before="360" w:after="280"/>
        <w:jc w:val="center"/>
      </w:pPr>
      <w:r>
        <w:rPr>
          <w:rFonts w:ascii="Times New Roman" w:hAnsi="Times New Roman"/>
          <w:b/>
          <w:color w:val="000000"/>
          <w:sz w:val="32"/>
        </w:rPr>
        <w:t>REFERENCES</w:t>
      </w:r>
    </w:p>
    <w:p>
      <w:pPr>
        <w:spacing w:before="0" w:after="240" w:line="276" w:lineRule="auto"/>
        <w:jc w:val="both"/>
      </w:pPr>
      <w:r>
        <w:rPr>
          <w:rFonts w:ascii="Times New Roman" w:hAnsi="Times New Roman"/>
          <w:b w:val="0"/>
          <w:i w:val="0"/>
          <w:color w:val="000000"/>
          <w:sz w:val="24"/>
        </w:rPr>
        <w:t>The following peer-reviewed scientific publications, technical whitepapers, and authoritative documentation form the scholarly foundation of this project:</w:t>
      </w:r>
    </w:p>
    <w:p>
      <w:pPr>
        <w:spacing w:before="60" w:after="120" w:line="276" w:lineRule="auto"/>
        <w:jc w:val="both"/>
      </w:pPr>
      <w:r>
        <w:rPr>
          <w:rFonts w:ascii="Times New Roman" w:hAnsi="Times New Roman"/>
          <w:color w:val="000000"/>
          <w:sz w:val="22"/>
        </w:rPr>
        <w:t>[1] V. Sanh, L. Debut, J. Chaumond, and T. Wolf, "DistilBERT, a distilled version of BERT: smaller, faster, cheaper and lighter," arXiv preprint arXiv:1910.01108, 2019.</w:t>
      </w:r>
    </w:p>
    <w:p>
      <w:pPr>
        <w:spacing w:before="60" w:after="120" w:line="276" w:lineRule="auto"/>
        <w:jc w:val="both"/>
      </w:pPr>
      <w:r>
        <w:rPr>
          <w:rFonts w:ascii="Times New Roman" w:hAnsi="Times New Roman"/>
          <w:color w:val="000000"/>
          <w:sz w:val="22"/>
        </w:rPr>
        <w:t>[2] A. S. Luccioni, S. Viguier, and A. Roy, "Estimating the carbon footprint of BLOOM, a 176B parameter language model," Journal of Machine Learning Research, vol. 24, no. 253, pp. 1-25, 2023.</w:t>
      </w:r>
    </w:p>
    <w:p>
      <w:pPr>
        <w:spacing w:before="60" w:after="120" w:line="276" w:lineRule="auto"/>
        <w:jc w:val="both"/>
      </w:pPr>
      <w:r>
        <w:rPr>
          <w:rFonts w:ascii="Times New Roman" w:hAnsi="Times New Roman"/>
          <w:color w:val="000000"/>
          <w:sz w:val="22"/>
        </w:rPr>
        <w:t>[3] D. Patterson, J. Gonzalez, Q. Le, C. Liang, L.-M. Munguia, D. Rothchild, D. So, M. Texier, and J. Dean, "Carbon emissions and large neural network training," arXiv preprint arXiv:2104.10350, 2021.</w:t>
      </w:r>
    </w:p>
    <w:p>
      <w:pPr>
        <w:spacing w:before="60" w:after="120" w:line="276" w:lineRule="auto"/>
        <w:jc w:val="both"/>
      </w:pPr>
      <w:r>
        <w:rPr>
          <w:rFonts w:ascii="Times New Roman" w:hAnsi="Times New Roman"/>
          <w:color w:val="000000"/>
          <w:sz w:val="22"/>
        </w:rPr>
        <w:t>[4] Qwen Team, "Qwen2.5: A Party of Foundation and Instruction-Tuned Models," Alibaba Group Technical Report, 2024.</w:t>
      </w:r>
    </w:p>
    <w:p>
      <w:pPr>
        <w:spacing w:before="60" w:after="120" w:line="276" w:lineRule="auto"/>
        <w:jc w:val="both"/>
      </w:pPr>
      <w:r>
        <w:rPr>
          <w:rFonts w:ascii="Times New Roman" w:hAnsi="Times New Roman"/>
          <w:color w:val="000000"/>
          <w:sz w:val="22"/>
        </w:rPr>
        <w:t>[5] L. Chen, M. Zaharia, and J. Zou, "FrugalGPT: How to use large language models while reducing cost and improving performance," arXiv preprint arXiv:2305.05176, 2023.</w:t>
      </w:r>
    </w:p>
    <w:p>
      <w:pPr>
        <w:spacing w:before="60" w:after="120" w:line="276" w:lineRule="auto"/>
        <w:jc w:val="both"/>
      </w:pPr>
      <w:r>
        <w:rPr>
          <w:rFonts w:ascii="Times New Roman" w:hAnsi="Times New Roman"/>
          <w:color w:val="000000"/>
          <w:sz w:val="22"/>
        </w:rPr>
        <w:t>[6] I. Ong, A. S. Chen, R. L. Zhang, C. Chen, B. Chen, and M. Zaharia, "RouteLLM: Learning to Route to Large Language Models," arXiv preprint arXiv:2406.18665, 2024.</w:t>
      </w:r>
    </w:p>
    <w:p>
      <w:pPr>
        <w:spacing w:before="60" w:after="120" w:line="276" w:lineRule="auto"/>
        <w:jc w:val="both"/>
      </w:pPr>
      <w:r>
        <w:rPr>
          <w:rFonts w:ascii="Times New Roman" w:hAnsi="Times New Roman"/>
          <w:color w:val="000000"/>
          <w:sz w:val="22"/>
        </w:rPr>
        <w:t>[7] A. Vaswani, N. Shazeer, N. Parmar, J. Uszkoreit, L. Jones, A. N. Gomez, L. Kaiser, and I. Polosukhin, "Attention is all you need," Advances in Neural Information Processing Systems (NeurIPS), vol. 30, pp. 5998-6008, 2017.</w:t>
      </w:r>
    </w:p>
    <w:p>
      <w:pPr>
        <w:spacing w:before="60" w:after="120" w:line="276" w:lineRule="auto"/>
        <w:jc w:val="both"/>
      </w:pPr>
      <w:r>
        <w:rPr>
          <w:rFonts w:ascii="Times New Roman" w:hAnsi="Times New Roman"/>
          <w:color w:val="000000"/>
          <w:sz w:val="22"/>
        </w:rPr>
        <w:t>[8] V. Schmidt, K. Goyal, A. Joshi, B. Feld, L. Conell, N. Bogunovic, and S. Luccioni, "CodeCarbon: More robust and actionable carbon emission tracking for machine learning," Workshop on Tackling Climate Change with AI, NeurIPS, 2021.</w:t>
      </w:r>
    </w:p>
    <w:p>
      <w:pPr>
        <w:spacing w:before="60" w:after="120" w:line="276" w:lineRule="auto"/>
        <w:jc w:val="both"/>
      </w:pPr>
      <w:r>
        <w:rPr>
          <w:rFonts w:ascii="Times New Roman" w:hAnsi="Times New Roman"/>
          <w:color w:val="000000"/>
          <w:sz w:val="22"/>
        </w:rPr>
        <w:t>[9] S. Ramirez, "FastAPI: Modern, fast, web framework for building APIs with Python," GitHub repository, 2018.</w:t>
      </w:r>
    </w:p>
    <w:p>
      <w:pPr>
        <w:spacing w:before="60" w:after="120" w:line="276" w:lineRule="auto"/>
        <w:jc w:val="both"/>
      </w:pPr>
      <w:r>
        <w:rPr>
          <w:rFonts w:ascii="Times New Roman" w:hAnsi="Times New Roman"/>
          <w:color w:val="000000"/>
          <w:sz w:val="22"/>
        </w:rPr>
        <w:t>[10] E. B. Wilson, "Probable inference, the law of compound probability, and approximate distributions," Journal of the American Statistical Association, vol. 22, no. 158, pp. 209-212, 1927.</w:t>
      </w:r>
    </w:p>
    <w:p>
      <w:r>
        <w:br w:type="page"/>
      </w:r>
    </w:p>
    <w:p>
      <w:pPr>
        <w:sectPr>
          <w:headerReference w:type="default" r:id="rId44"/>
          <w:footerReference w:type="default" r:id="rId45"/>
          <w:type w:val="continuous"/>
          <w:pgSz w:w="11909" w:h="16834"/>
          <w:pgMar w:top="1440" w:right="720" w:bottom="1440" w:left="2160" w:header="720" w:footer="720" w:gutter="0"/>
          <w:cols w:space="720"/>
          <w:titlePg/>
          <w:docGrid w:linePitch="360"/>
          <w:pgNumType w:fmt="lowerRoman"/>
          <w:pgNumType w:start="1" w:fmt="decimal"/>
        </w:sectPr>
      </w:pPr>
    </w:p>
    <w:p>
      <w:pPr>
        <w:spacing w:before="360" w:after="280"/>
        <w:jc w:val="center"/>
      </w:pPr>
      <w:r>
        <w:rPr>
          <w:rFonts w:ascii="Times New Roman" w:hAnsi="Times New Roman"/>
          <w:b/>
          <w:color w:val="000000"/>
          <w:sz w:val="32"/>
        </w:rPr>
        <w:t>ACKNOWLEDGEMENT</w:t>
      </w:r>
    </w:p>
    <w:p>
      <w:pPr>
        <w:spacing w:before="200" w:after="200" w:line="276" w:lineRule="auto"/>
        <w:jc w:val="both"/>
      </w:pPr>
      <w:r>
        <w:rPr>
          <w:rFonts w:ascii="Times New Roman" w:hAnsi="Times New Roman"/>
          <w:b w:val="0"/>
          <w:i w:val="0"/>
          <w:color w:val="000000"/>
          <w:sz w:val="24"/>
        </w:rPr>
        <w:t>We would like to place on record our deep sense of gratitude to Dr. S. A. Shaikh, Head of the Department of Computer Science &amp; Engineering (AI&amp;ML), Deogiri Institute of Engineering and Management Studies, Chatrapati Sambhajinagar, for his generous guidance, administrative encouragement, and invaluable suggestions throughout the development of this project.</w:t>
      </w:r>
    </w:p>
    <w:p>
      <w:pPr>
        <w:spacing w:before="120" w:after="200" w:line="276" w:lineRule="auto"/>
        <w:jc w:val="both"/>
      </w:pPr>
      <w:r>
        <w:rPr>
          <w:rFonts w:ascii="Times New Roman" w:hAnsi="Times New Roman"/>
          <w:b w:val="0"/>
          <w:i w:val="0"/>
          <w:color w:val="000000"/>
          <w:sz w:val="24"/>
        </w:rPr>
        <w:t>We express our profound and sincere gratitude to our esteemed guide, Ms. S. G. Tuppad, Assistant Professor, Department of CSE (AI&amp;ML), Deogiri Institute of Engineering and Management Studies, Chatrapati Sambhajinagar, for her stimulating guidance, continuous technical mentorship, constructive criticism, and patient supervision throughout the ideation, implementation, and evaluation of this work.</w:t>
      </w:r>
    </w:p>
    <w:p>
      <w:pPr>
        <w:spacing w:before="120" w:after="200" w:line="276" w:lineRule="auto"/>
        <w:jc w:val="both"/>
      </w:pPr>
      <w:r>
        <w:rPr>
          <w:rFonts w:ascii="Times New Roman" w:hAnsi="Times New Roman"/>
          <w:b w:val="0"/>
          <w:i w:val="0"/>
          <w:color w:val="000000"/>
          <w:sz w:val="24"/>
        </w:rPr>
        <w:t>We are also immensely thankful to Mrs. P. R. Z. Kathar, Mini Project Coordinator, Department of CSE (AI&amp;ML), for her seamless coordination, scheduled reviews, and continuous guidance during all phases of the project.</w:t>
      </w:r>
    </w:p>
    <w:p>
      <w:pPr>
        <w:spacing w:before="120" w:after="200" w:line="276" w:lineRule="auto"/>
        <w:jc w:val="both"/>
      </w:pPr>
      <w:r>
        <w:rPr>
          <w:rFonts w:ascii="Times New Roman" w:hAnsi="Times New Roman"/>
          <w:b w:val="0"/>
          <w:i w:val="0"/>
          <w:color w:val="000000"/>
          <w:sz w:val="24"/>
        </w:rPr>
        <w:t>We are extremely thankful to Dr. S. V. Lahane, Director, Deogiri Institute of Engineering and Management Studies, Chatrapati Sambhajinagar, for providing the state-of-the-art infrastructural facilities, computational laboratories, and academic ecosystem without which this work would not have been possible.</w:t>
      </w:r>
    </w:p>
    <w:p>
      <w:pPr>
        <w:spacing w:before="120" w:after="600" w:line="276" w:lineRule="auto"/>
        <w:jc w:val="both"/>
      </w:pPr>
      <w:r>
        <w:rPr>
          <w:rFonts w:ascii="Times New Roman" w:hAnsi="Times New Roman"/>
          <w:b w:val="0"/>
          <w:i w:val="0"/>
          <w:color w:val="000000"/>
          <w:sz w:val="24"/>
        </w:rPr>
        <w:t>Finally, we extend our heartfelt appreciation to all faculty members, technical laboratory assistants, our dear parents, and fellow student colleagues for their unwavering moral support, helpful discussions, and encouragement throughout this endeavor.</w:t>
      </w:r>
    </w:p>
    <w:p>
      <w:pPr>
        <w:spacing w:before="400" w:after="40" w:line="276" w:lineRule="auto"/>
        <w:jc w:val="both"/>
      </w:pPr>
      <w:r>
        <w:rPr>
          <w:rFonts w:ascii="Times New Roman" w:hAnsi="Times New Roman"/>
          <w:b/>
          <w:i w:val="0"/>
          <w:color w:val="000000"/>
          <w:sz w:val="24"/>
        </w:rPr>
        <w:t>Shaurya Anand Kamble (AI4173)</w:t>
      </w:r>
    </w:p>
    <w:p>
      <w:pPr>
        <w:spacing w:before="0" w:after="200" w:line="276" w:lineRule="auto"/>
        <w:jc w:val="both"/>
      </w:pPr>
      <w:r>
        <w:rPr>
          <w:rFonts w:ascii="Times New Roman" w:hAnsi="Times New Roman"/>
          <w:b/>
          <w:i w:val="0"/>
          <w:color w:val="000000"/>
          <w:sz w:val="24"/>
        </w:rPr>
        <w:t>Swapnil Kashinath Kolte (AI4175)</w:t>
      </w:r>
    </w:p>
    <w:p>
      <w:pPr>
        <w:spacing w:before="0" w:after="0" w:line="276" w:lineRule="auto"/>
        <w:jc w:val="both"/>
      </w:pPr>
      <w:r>
        <w:rPr>
          <w:rFonts w:ascii="Times New Roman" w:hAnsi="Times New Roman"/>
          <w:b w:val="0"/>
          <w:i/>
          <w:color w:val="000000"/>
          <w:sz w:val="22"/>
        </w:rPr>
        <w:t>B.Tech CSE (Artificial Intelligence &amp; Machine Learning)</w:t>
        <w:br/>
        <w:t>Deogiri Institute of Engineering and Management Studies, Chatrapati Sambhajinagar</w:t>
      </w:r>
    </w:p>
    <w:sectPr w:rsidR="00FC693F" w:rsidRPr="0006063C" w:rsidSect="00034616">
      <w:headerReference w:type="default" r:id="rId46"/>
      <w:footerReference w:type="default" r:id="rId47"/>
      <w:type w:val="continuous"/>
      <w:pgSz w:w="11909" w:h="16834"/>
      <w:pgMar w:top="1440" w:right="720" w:bottom="1440" w:left="2160" w:header="720" w:footer="720" w:gutter="0"/>
      <w:cols w:space="720"/>
      <w:titlePg/>
      <w:docGrid w:linePitch="360"/>
      <w:pgNumType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1: 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2: Literature Survey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3: System Development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4: Performance Evaluation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5: Conclusion &amp; Future Scope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References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Acknowledgement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header" Target="header4.xml"/><Relationship Id="rId36" Type="http://schemas.openxmlformats.org/officeDocument/2006/relationships/footer" Target="footer5.xml"/><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header" Target="header5.xml"/><Relationship Id="rId43" Type="http://schemas.openxmlformats.org/officeDocument/2006/relationships/footer" Target="footer6.xml"/><Relationship Id="rId44" Type="http://schemas.openxmlformats.org/officeDocument/2006/relationships/header" Target="header6.xml"/><Relationship Id="rId45" Type="http://schemas.openxmlformats.org/officeDocument/2006/relationships/footer" Target="footer7.xml"/><Relationship Id="rId46" Type="http://schemas.openxmlformats.org/officeDocument/2006/relationships/header" Target="header7.xml"/><Relationship Id="rId47"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