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"bdc": </w:t>
      </w:r>
    </w:p>
    <w:p>
      <w:pPr>
        <w:jc w:val="left"/>
      </w:pPr>
      <w:r>
        <w:rPr>
          <w:b w:val="true"/>
          <w:sz w:val="34"/>
        </w:rPr>
        <w:t>2019-01-15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</w:tbl>
    <w:p>
      <w:pPr>
        <w:jc w:val="right"/>
      </w:pPr>
      <w:r>
        <w:rPr>
          <w:b w:val="true"/>
        </w:rPr>
        <w:t>Koszt całkowity: 2019.99zł</w:t>
        <w:br/>
        <w:t>Rabat: 20.0%</w:t>
        <w:br/>
        <w:t>Do zapłaty: 1615.9920000000000969815339146862247108303653022290892926800254247865495926816947758197784423828125zł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2019-01-15T15:28:39Z</dcterms:created>
  <dc:creator>Apache POI</dc:creator>
</cp:coreProperties>
</file>