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024" w:type="dxa"/>
        <w:tblInd w:w="15"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331"/>
        <w:gridCol w:w="4727"/>
        <w:gridCol w:w="1966"/>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0" w:type="auto"/>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3"/>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3"/>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3"/>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3"/>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3"/>
              <w:spacing w:before="20" w:after="0"/>
              <w:ind w:left="142" w:right="142"/>
              <w:jc w:val="both"/>
              <w:rPr>
                <w:rFonts w:ascii="Arial" w:hAnsi="Arial"/>
                <w:sz w:val="20"/>
                <w:lang w:val="sr-Latn-RS"/>
              </w:rPr>
            </w:pPr>
          </w:p>
        </w:tc>
        <w:tc>
          <w:tcPr>
            <w:tcW w:w="1966"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0" w:type="auto"/>
            <w:vMerge w:val="continue"/>
          </w:tcPr>
          <w:p w14:paraId="39A4BA50">
            <w:pPr>
              <w:ind w:left="142" w:right="142"/>
              <w:jc w:val="center"/>
              <w:rPr>
                <w:rFonts w:ascii="Arial" w:hAnsi="Arial"/>
                <w:sz w:val="20"/>
                <w:lang w:val="sr-Latn-RS"/>
              </w:rPr>
            </w:pPr>
          </w:p>
        </w:tc>
        <w:tc>
          <w:tcPr>
            <w:tcW w:w="4727" w:type="dxa"/>
            <w:vMerge w:val="continue"/>
          </w:tcPr>
          <w:p w14:paraId="7F8C7317">
            <w:pPr>
              <w:pStyle w:val="13"/>
              <w:spacing w:before="300" w:after="0"/>
              <w:ind w:left="142" w:right="142"/>
              <w:jc w:val="left"/>
              <w:rPr>
                <w:rFonts w:ascii="Arial" w:hAnsi="Arial"/>
                <w:sz w:val="20"/>
                <w:lang w:val="sr-Latn-RS"/>
              </w:rPr>
            </w:pPr>
          </w:p>
        </w:tc>
        <w:tc>
          <w:tcPr>
            <w:tcW w:w="1966"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0" w:type="auto"/>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3"/>
              <w:spacing w:before="60" w:after="0"/>
              <w:rPr>
                <w:rFonts w:ascii="Arial" w:hAnsi="Arial"/>
                <w:b/>
                <w:spacing w:val="-4"/>
                <w:sz w:val="28"/>
                <w:lang w:val="sr-Latn-RS"/>
              </w:rPr>
            </w:pPr>
          </w:p>
        </w:tc>
        <w:tc>
          <w:tcPr>
            <w:tcW w:w="1966" w:type="dxa"/>
          </w:tcPr>
          <w:p w14:paraId="0050EE0C">
            <w:pPr>
              <w:pStyle w:val="12"/>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0" w:type="auto"/>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3"/>
              <w:spacing w:before="240" w:after="0"/>
              <w:ind w:left="142" w:right="142"/>
              <w:rPr>
                <w:rFonts w:ascii="Arial" w:hAnsi="Arial"/>
                <w:spacing w:val="-4"/>
                <w:sz w:val="28"/>
                <w:lang w:val="sr-Latn-RS"/>
              </w:rPr>
            </w:pPr>
          </w:p>
        </w:tc>
        <w:tc>
          <w:tcPr>
            <w:tcW w:w="1966" w:type="dxa"/>
          </w:tcPr>
          <w:p w14:paraId="4EFA922E">
            <w:pPr>
              <w:pStyle w:val="12"/>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p w14:paraId="4E089AE5">
      <w:pPr>
        <w:rPr>
          <w:lang w:val="sr-Latn-RS"/>
        </w:rPr>
      </w:pPr>
    </w:p>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center"/>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6465CFD5">
            <w:pPr>
              <w:spacing w:before="60"/>
              <w:jc w:val="center"/>
              <w:rPr>
                <w:rFonts w:hint="default" w:cstheme="minorHAnsi"/>
                <w:b/>
                <w:sz w:val="28"/>
                <w:szCs w:val="28"/>
                <w:lang w:val="sr-Latn-RS"/>
              </w:rPr>
            </w:pPr>
            <w:r>
              <w:rPr>
                <w:rFonts w:hint="default" w:cstheme="minorHAnsi"/>
                <w:b/>
                <w:sz w:val="28"/>
                <w:szCs w:val="28"/>
                <w:lang w:val="en-US"/>
              </w:rPr>
              <w:t>Servis za pra</w:t>
            </w:r>
            <w:r>
              <w:rPr>
                <w:rFonts w:hint="default" w:cstheme="minorHAnsi"/>
                <w:b/>
                <w:sz w:val="28"/>
                <w:szCs w:val="28"/>
                <w:lang w:val="sr-Latn-RS"/>
              </w:rPr>
              <w:t>ćenje hrane</w:t>
            </w: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69C6DC27">
      <w:pPr>
        <w:pStyle w:val="2"/>
        <w:rPr>
          <w:lang w:val="sr-Latn-RS"/>
        </w:rPr>
      </w:pPr>
      <w:bookmarkStart w:id="1" w:name="_Toc100687721"/>
      <w:r>
        <w:rPr>
          <w:lang w:val="sr-Latn-RS"/>
        </w:rPr>
        <w:t>Apstrakt</w:t>
      </w:r>
      <w:bookmarkEnd w:id="1"/>
    </w:p>
    <w:p w14:paraId="0C3A3AD0">
      <w:pPr>
        <w:rPr>
          <w:lang w:val="sr-Latn-RS"/>
        </w:rPr>
      </w:pPr>
    </w:p>
    <w:p w14:paraId="0CF8BEAE">
      <w:pPr>
        <w:rPr>
          <w:rFonts w:hint="default"/>
          <w:lang w:val="en-US"/>
        </w:rPr>
      </w:pPr>
      <w:r>
        <w:rPr>
          <w:rFonts w:hint="default"/>
          <w:lang w:val="en-US"/>
        </w:rPr>
        <w:t>“Od njive do stola” je servis koji povezuje lokalne proizvo</w:t>
      </w:r>
      <w:r>
        <w:rPr>
          <w:rFonts w:hint="default"/>
          <w:lang w:val="sr-Latn-RS"/>
        </w:rPr>
        <w:t>đače hrane sa potrošačima. Direktno, transparentno i bez posrednika. Cilj projekta je da se unapredi domaća poljoprivreda kroz digitalizaciju prodaje, praćenje proizvodnje i promociju zdrave lokalne hrane.</w:t>
      </w:r>
      <w:r>
        <w:rPr>
          <w:rFonts w:hint="default"/>
          <w:lang w:val="en-US"/>
        </w:rPr>
        <w:t xml:space="preserve"> </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7"/>
            <w:rPr>
              <w:lang w:val="sr-Latn-RS"/>
            </w:rPr>
          </w:pPr>
        </w:p>
        <w:p w14:paraId="59212D1A">
          <w:pPr>
            <w:pStyle w:val="11"/>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9"/>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1"/>
            <w:tabs>
              <w:tab w:val="right" w:leader="dot" w:pos="9060"/>
            </w:tabs>
            <w:rPr>
              <w:lang w:val="sr-Latn-RS"/>
            </w:rPr>
          </w:pPr>
          <w:r>
            <w:fldChar w:fldCharType="begin"/>
          </w:r>
          <w:r>
            <w:instrText xml:space="preserve"> HYPERLINK \l "_Toc100687722" </w:instrText>
          </w:r>
          <w:r>
            <w:fldChar w:fldCharType="separate"/>
          </w:r>
          <w:r>
            <w:rPr>
              <w:rStyle w:val="9"/>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1"/>
            <w:tabs>
              <w:tab w:val="right" w:leader="dot" w:pos="9060"/>
            </w:tabs>
            <w:rPr>
              <w:lang w:val="sr-Latn-RS"/>
            </w:rPr>
          </w:pPr>
          <w:r>
            <w:fldChar w:fldCharType="begin"/>
          </w:r>
          <w:r>
            <w:instrText xml:space="preserve"> HYPERLINK \l "_Toc100687723" </w:instrText>
          </w:r>
          <w:r>
            <w:fldChar w:fldCharType="separate"/>
          </w:r>
          <w:r>
            <w:rPr>
              <w:rStyle w:val="9"/>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1"/>
            <w:tabs>
              <w:tab w:val="right" w:leader="dot" w:pos="9060"/>
            </w:tabs>
            <w:rPr>
              <w:lang w:val="sr-Latn-RS"/>
            </w:rPr>
          </w:pPr>
          <w:r>
            <w:fldChar w:fldCharType="begin"/>
          </w:r>
          <w:r>
            <w:instrText xml:space="preserve"> HYPERLINK \l "_Toc100687724" </w:instrText>
          </w:r>
          <w:r>
            <w:fldChar w:fldCharType="separate"/>
          </w:r>
          <w:r>
            <w:rPr>
              <w:rStyle w:val="9"/>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1"/>
            <w:tabs>
              <w:tab w:val="right" w:leader="dot" w:pos="9060"/>
            </w:tabs>
            <w:rPr>
              <w:lang w:val="sr-Latn-RS"/>
            </w:rPr>
          </w:pPr>
          <w:r>
            <w:fldChar w:fldCharType="begin"/>
          </w:r>
          <w:r>
            <w:instrText xml:space="preserve"> HYPERLINK \l "_Toc100687725" </w:instrText>
          </w:r>
          <w:r>
            <w:fldChar w:fldCharType="separate"/>
          </w:r>
          <w:r>
            <w:rPr>
              <w:rStyle w:val="9"/>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1"/>
            <w:tabs>
              <w:tab w:val="right" w:leader="dot" w:pos="9060"/>
            </w:tabs>
            <w:rPr>
              <w:lang w:val="sr-Latn-RS"/>
            </w:rPr>
          </w:pPr>
          <w:r>
            <w:fldChar w:fldCharType="begin"/>
          </w:r>
          <w:r>
            <w:instrText xml:space="preserve"> HYPERLINK \l "_Toc100687726" </w:instrText>
          </w:r>
          <w:r>
            <w:fldChar w:fldCharType="separate"/>
          </w:r>
          <w:r>
            <w:rPr>
              <w:rStyle w:val="9"/>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1"/>
            <w:tabs>
              <w:tab w:val="right" w:leader="dot" w:pos="9060"/>
            </w:tabs>
            <w:rPr>
              <w:lang w:val="sr-Latn-RS"/>
            </w:rPr>
          </w:pPr>
          <w:r>
            <w:fldChar w:fldCharType="begin"/>
          </w:r>
          <w:r>
            <w:instrText xml:space="preserve"> HYPERLINK \l "_Toc100687727" </w:instrText>
          </w:r>
          <w:r>
            <w:fldChar w:fldCharType="separate"/>
          </w:r>
          <w:r>
            <w:rPr>
              <w:rStyle w:val="9"/>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1"/>
            <w:tabs>
              <w:tab w:val="right" w:leader="dot" w:pos="9060"/>
            </w:tabs>
            <w:rPr>
              <w:lang w:val="sr-Latn-RS"/>
            </w:rPr>
          </w:pPr>
          <w:r>
            <w:fldChar w:fldCharType="begin"/>
          </w:r>
          <w:r>
            <w:instrText xml:space="preserve"> HYPERLINK \l "_Toc100687728" </w:instrText>
          </w:r>
          <w:r>
            <w:fldChar w:fldCharType="separate"/>
          </w:r>
          <w:r>
            <w:rPr>
              <w:rStyle w:val="9"/>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054FE467">
      <w:pPr>
        <w:pStyle w:val="2"/>
        <w:rPr>
          <w:lang w:val="sr-Latn-RS"/>
        </w:rPr>
      </w:pPr>
      <w:bookmarkStart w:id="3" w:name="_Toc100687723"/>
      <w:r>
        <w:rPr>
          <w:lang w:val="sr-Latn-RS"/>
        </w:rPr>
        <w:t>Uvod</w:t>
      </w:r>
      <w:bookmarkEnd w:id="3"/>
    </w:p>
    <w:p w14:paraId="5E34F72E">
      <w:pPr>
        <w:rPr>
          <w:lang w:val="sr-Latn-RS"/>
        </w:rPr>
      </w:pPr>
    </w:p>
    <w:p w14:paraId="37CC0E38">
      <w:pPr>
        <w:spacing w:after="160"/>
        <w:rPr>
          <w:lang w:val="sr-Latn-RS"/>
        </w:rPr>
      </w:pPr>
      <w:r>
        <w:rPr>
          <w:rFonts w:hint="default"/>
          <w:lang w:val="sr-Latn-RS"/>
        </w:rPr>
        <w:t xml:space="preserve">Ovaj rad obrađuje proces planiranja, dizajniranja i kreiranja veb aplikacije „Od njive do stola“. Aplikacija je razvijena u PHP programskom jeziku uz pomoć Laravel okvira(framework-a).  Projekat je osmišljen tako da objedini tehničke i konceptualne aspekte izrade softverskog rešenja. Od definisanja funkcionalnih zahteva na osnovu problema i primitivnog nacrta dizajna, do modelovanja dijagrama po UML standardu i kreiranja aplikacije. Aplikacija je dizajnirana da obrađuje potrebe poslovanja isključivo u Beogradu i Novom Sadu jer se tu nalazi ciljna grupa za ovakvu uslugu.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0CDB98E9">
      <w:pPr>
        <w:rPr>
          <w:rFonts w:hint="default"/>
          <w:lang w:val="sr-Latn-RS"/>
        </w:rPr>
      </w:pPr>
      <w:r>
        <w:rPr>
          <w:rFonts w:hint="default"/>
          <w:lang w:val="sr-Latn-RS"/>
        </w:rPr>
        <w:t xml:space="preserve">Cilj servisa je da se olakša nabavka voća i povrća. U modernom svetu čovek ima sve manje i manje slobodnog vremena. Ciljna grupa su ljudi koji žive u gradovima i nemaju lak pristup kvalitetnim i svežim namirnicama. Mnogi građani nemaju brz pristup pijacama. Odlazak i dolazak oduzima vreme i sam boravak na pijaci jer su jako česte gužve vikendom kada većina ljudi ima slobodno vreme. Na pijacama je veliki procenat ljudi koji se bave preprodajom robe što direktno šteti poljoprivrednike. Druga opcija za građane su marketi koji uglavnom imaju prskane proizvode i proizvode koji dolaze iz inostranstva. Glavni uzrok većine bolesti je loša ishrana. </w:t>
      </w:r>
    </w:p>
    <w:p w14:paraId="7CF3508E">
      <w:pPr>
        <w:rPr>
          <w:rFonts w:hint="default"/>
          <w:lang w:val="sr-Latn-RS"/>
        </w:rPr>
      </w:pPr>
      <w:r>
        <w:rPr>
          <w:rFonts w:hint="default"/>
          <w:lang w:val="sr-Latn-RS"/>
        </w:rPr>
        <w:t xml:space="preserve">Zato servis “Od njive do stola” može da reši gore navedene probleme. Omogućava korisnicima da dobijaju voće i povrće koje je maksimalno sveže jer se berba vrši dan pred dostavu, a berbu vrše poljoprivrednici koji ne moraju da posluju sa  otkupljivačima koji uvek nude  nepovoljne cene i imaju sigurnu prodaju za razliku od neizvesnosti na pijaci jer prodaja na pijaci zavisi od mnogo faktora kao što su vreme i broj drugih proizvođača i pozicije tezge. </w:t>
      </w:r>
    </w:p>
    <w:p w14:paraId="600AB533">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koji ne sarađuju sa domaćim proizvođačima.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Korišćene tehnologije i tehnike</w:t>
      </w:r>
    </w:p>
    <w:p w14:paraId="4F60EBDE">
      <w:pPr>
        <w:rPr>
          <w:rFonts w:hint="default"/>
          <w:lang w:val="sr-Latn-RS"/>
        </w:rPr>
      </w:pPr>
      <w:bookmarkStart w:id="4" w:name="_GoBack"/>
      <w:bookmarkEnd w:id="4"/>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7"/>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7"/>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8"/>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8"/>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1AA43EFA"/>
    <w:rsid w:val="1BD7669A"/>
    <w:rsid w:val="1CCC467A"/>
    <w:rsid w:val="233800E2"/>
    <w:rsid w:val="2AE17DA0"/>
    <w:rsid w:val="352D1DC0"/>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4"/>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19"/>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5"/>
    <w:semiHidden/>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line="240" w:lineRule="auto"/>
    </w:pPr>
  </w:style>
  <w:style w:type="paragraph" w:styleId="8">
    <w:name w:val="header"/>
    <w:basedOn w:val="1"/>
    <w:link w:val="15"/>
    <w:unhideWhenUsed/>
    <w:qFormat/>
    <w:uiPriority w:val="99"/>
    <w:pPr>
      <w:tabs>
        <w:tab w:val="center" w:pos="4513"/>
        <w:tab w:val="right" w:pos="9026"/>
      </w:tabs>
      <w:spacing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styleId="10">
    <w:name w:val="Strong"/>
    <w:qFormat/>
    <w:uiPriority w:val="22"/>
    <w:rPr>
      <w:b/>
      <w:bCs/>
    </w:rPr>
  </w:style>
  <w:style w:type="paragraph" w:styleId="11">
    <w:name w:val="toc 1"/>
    <w:basedOn w:val="1"/>
    <w:next w:val="1"/>
    <w:autoRedefine/>
    <w:unhideWhenUsed/>
    <w:qFormat/>
    <w:uiPriority w:val="39"/>
    <w:pPr>
      <w:spacing w:after="100"/>
    </w:pPr>
  </w:style>
  <w:style w:type="paragraph" w:customStyle="1" w:styleId="12">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3">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4">
    <w:name w:val="Heading 1 Char"/>
    <w:basedOn w:val="5"/>
    <w:link w:val="2"/>
    <w:qFormat/>
    <w:uiPriority w:val="9"/>
    <w:rPr>
      <w:rFonts w:eastAsiaTheme="majorEastAsia" w:cstheme="majorBidi"/>
      <w:b/>
      <w:sz w:val="32"/>
      <w:szCs w:val="32"/>
      <w:lang w:val="en-US"/>
    </w:rPr>
  </w:style>
  <w:style w:type="character" w:customStyle="1" w:styleId="15">
    <w:name w:val="Header Char"/>
    <w:basedOn w:val="5"/>
    <w:link w:val="8"/>
    <w:qFormat/>
    <w:uiPriority w:val="99"/>
    <w:rPr>
      <w:lang w:val="en-US"/>
    </w:rPr>
  </w:style>
  <w:style w:type="character" w:customStyle="1" w:styleId="16">
    <w:name w:val="Footer Char"/>
    <w:basedOn w:val="5"/>
    <w:link w:val="7"/>
    <w:qFormat/>
    <w:uiPriority w:val="99"/>
    <w:rPr>
      <w:lang w:val="en-US"/>
    </w:rPr>
  </w:style>
  <w:style w:type="paragraph" w:customStyle="1" w:styleId="17">
    <w:name w:val="TOC Heading"/>
    <w:basedOn w:val="2"/>
    <w:next w:val="1"/>
    <w:unhideWhenUsed/>
    <w:qFormat/>
    <w:uiPriority w:val="39"/>
    <w:pPr>
      <w:outlineLvl w:val="9"/>
    </w:pPr>
  </w:style>
  <w:style w:type="paragraph" w:customStyle="1" w:styleId="18">
    <w:name w:val="Bibliography"/>
    <w:basedOn w:val="1"/>
    <w:next w:val="1"/>
    <w:unhideWhenUsed/>
    <w:qFormat/>
    <w:uiPriority w:val="37"/>
  </w:style>
  <w:style w:type="character" w:customStyle="1" w:styleId="19">
    <w:name w:val="Heading 2 Char"/>
    <w:basedOn w:val="5"/>
    <w:link w:val="3"/>
    <w:qFormat/>
    <w:uiPriority w:val="9"/>
    <w:rPr>
      <w:rFonts w:eastAsiaTheme="majorEastAsia" w:cstheme="majorBidi"/>
      <w:b/>
      <w:i/>
      <w:sz w:val="26"/>
      <w:szCs w:val="26"/>
      <w:lang w:val="en-US"/>
    </w:rPr>
  </w:style>
  <w:style w:type="character" w:customStyle="1" w:styleId="20">
    <w:name w:val="Style +Headings 10 pt Bold"/>
    <w:qFormat/>
    <w:uiPriority w:val="0"/>
    <w:rPr>
      <w:rFonts w:ascii="Cambria" w:hAnsi="Cambria"/>
      <w:b/>
      <w:bCs/>
      <w:sz w:val="20"/>
    </w:rPr>
  </w:style>
  <w:style w:type="paragraph" w:customStyle="1" w:styleId="21">
    <w:name w:val="Slike"/>
    <w:basedOn w:val="1"/>
    <w:link w:val="22"/>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2">
    <w:name w:val="Slike Char"/>
    <w:link w:val="21"/>
    <w:qFormat/>
    <w:uiPriority w:val="0"/>
    <w:rPr>
      <w:rFonts w:ascii="Cambria" w:hAnsi="Cambria" w:eastAsia="Times New Roman" w:cs="Times New Roman"/>
      <w:i/>
      <w:sz w:val="20"/>
      <w:szCs w:val="24"/>
    </w:rPr>
  </w:style>
  <w:style w:type="paragraph" w:customStyle="1" w:styleId="23">
    <w:name w:val="Tabele"/>
    <w:basedOn w:val="1"/>
    <w:link w:val="24"/>
    <w:qFormat/>
    <w:uiPriority w:val="0"/>
    <w:pPr>
      <w:spacing w:before="240" w:line="240" w:lineRule="auto"/>
    </w:pPr>
    <w:rPr>
      <w:rFonts w:ascii="Cambria" w:hAnsi="Cambria" w:eastAsia="Times New Roman" w:cs="Times New Roman"/>
      <w:sz w:val="20"/>
      <w:szCs w:val="24"/>
      <w:lang w:val="sr-Latn-RS"/>
    </w:rPr>
  </w:style>
  <w:style w:type="character" w:customStyle="1" w:styleId="24">
    <w:name w:val="Tabele Char"/>
    <w:link w:val="23"/>
    <w:qFormat/>
    <w:uiPriority w:val="0"/>
    <w:rPr>
      <w:rFonts w:ascii="Cambria" w:hAnsi="Cambria" w:eastAsia="Times New Roman" w:cs="Times New Roman"/>
      <w:sz w:val="20"/>
      <w:szCs w:val="24"/>
    </w:rPr>
  </w:style>
  <w:style w:type="character" w:customStyle="1" w:styleId="25">
    <w:name w:val="Heading 3 Char"/>
    <w:basedOn w:val="5"/>
    <w:link w:val="4"/>
    <w:semiHidden/>
    <w:qFormat/>
    <w:uiPriority w:val="9"/>
    <w:rPr>
      <w:rFonts w:eastAsiaTheme="majorEastAsia" w:cstheme="majorBidi"/>
      <w:b/>
      <w:i/>
      <w:sz w:val="24"/>
      <w:szCs w:val="24"/>
      <w:lang w:val="en-US"/>
    </w:rPr>
  </w:style>
  <w:style w:type="table" w:customStyle="1" w:styleId="26">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1107</Words>
  <Characters>6314</Characters>
  <Lines>52</Lines>
  <Paragraphs>14</Paragraphs>
  <TotalTime>89</TotalTime>
  <ScaleCrop>false</ScaleCrop>
  <LinksUpToDate>false</LinksUpToDate>
  <CharactersWithSpaces>7407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2025-10-02T15:25:06Z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DFC373CCD54A44049367B53AD5EBCB07_12</vt:lpwstr>
  </property>
</Properties>
</file>