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FD4E" w14:textId="1C348586" w:rsidR="00247319" w:rsidRPr="006155A5" w:rsidRDefault="000718E8" w:rsidP="00E818DC">
      <w:pPr>
        <w:pStyle w:val="Heading1"/>
        <w:spacing w:line="240" w:lineRule="auto"/>
        <w:jc w:val="center"/>
        <w:rPr>
          <w:rFonts w:ascii="Cambria Math" w:hAnsi="Cambria Math"/>
          <w:b/>
          <w:bCs/>
          <w:color w:val="auto"/>
          <w:sz w:val="24"/>
          <w:szCs w:val="24"/>
        </w:rPr>
      </w:pPr>
      <w:r w:rsidRPr="006155A5">
        <w:rPr>
          <w:rFonts w:ascii="Cambria Math" w:hAnsi="Cambria Math"/>
          <w:b/>
          <w:bCs/>
          <w:color w:val="auto"/>
          <w:sz w:val="24"/>
          <w:szCs w:val="24"/>
        </w:rPr>
        <w:t>Weekly Report – W9 Fall 2022</w:t>
      </w:r>
    </w:p>
    <w:p w14:paraId="58974E6D" w14:textId="3FA88536" w:rsidR="00CF3193" w:rsidRPr="006155A5" w:rsidRDefault="00CF3193" w:rsidP="00E818DC">
      <w:pPr>
        <w:spacing w:line="240" w:lineRule="auto"/>
        <w:rPr>
          <w:rFonts w:ascii="Cambria Math" w:hAnsi="Cambria Math"/>
          <w:sz w:val="24"/>
          <w:szCs w:val="24"/>
        </w:rPr>
      </w:pPr>
    </w:p>
    <w:p w14:paraId="3F0B4BBF" w14:textId="26E176CF" w:rsidR="00CF3193" w:rsidRPr="006155A5" w:rsidRDefault="00CF3193" w:rsidP="00E818DC">
      <w:pPr>
        <w:pStyle w:val="Heading2"/>
        <w:spacing w:line="240" w:lineRule="auto"/>
        <w:rPr>
          <w:rFonts w:ascii="Cambria Math" w:hAnsi="Cambria Math"/>
          <w:b/>
          <w:bCs/>
          <w:color w:val="auto"/>
          <w:sz w:val="20"/>
          <w:szCs w:val="20"/>
          <w:u w:val="single"/>
        </w:rPr>
      </w:pPr>
      <w:r w:rsidRPr="006155A5">
        <w:rPr>
          <w:rFonts w:ascii="Cambria Math" w:hAnsi="Cambria Math"/>
          <w:b/>
          <w:bCs/>
          <w:color w:val="auto"/>
          <w:sz w:val="20"/>
          <w:szCs w:val="20"/>
          <w:u w:val="single"/>
        </w:rPr>
        <w:t>Problem</w:t>
      </w:r>
    </w:p>
    <w:p w14:paraId="3297B4A6" w14:textId="483F5A97" w:rsidR="00CF3193" w:rsidRPr="006155A5" w:rsidRDefault="00CF3193" w:rsidP="00E818DC">
      <w:pPr>
        <w:pStyle w:val="ListParagraph"/>
        <w:numPr>
          <w:ilvl w:val="0"/>
          <w:numId w:val="1"/>
        </w:numPr>
        <w:spacing w:line="240" w:lineRule="auto"/>
        <w:rPr>
          <w:rFonts w:ascii="Cambria Math" w:hAnsi="Cambria Math"/>
          <w:sz w:val="20"/>
          <w:szCs w:val="20"/>
        </w:rPr>
      </w:pPr>
      <w:r w:rsidRPr="006155A5">
        <w:rPr>
          <w:rFonts w:ascii="Cambria Math" w:hAnsi="Cambria Math"/>
          <w:sz w:val="20"/>
          <w:szCs w:val="20"/>
        </w:rPr>
        <w:t xml:space="preserve">Use the properties of determinant and trance of a </w:t>
      </w:r>
      <m:oMath>
        <m:r>
          <w:rPr>
            <w:rFonts w:ascii="Cambria Math" w:hAnsi="Cambria Math"/>
            <w:sz w:val="20"/>
            <w:szCs w:val="20"/>
          </w:rPr>
          <m:t>n×n</m:t>
        </m:r>
      </m:oMath>
      <w:r w:rsidRPr="006155A5">
        <w:rPr>
          <w:rFonts w:ascii="Cambria Math" w:hAnsi="Cambria Math"/>
          <w:sz w:val="20"/>
          <w:szCs w:val="20"/>
        </w:rPr>
        <w:t xml:space="preserve"> matrix to examine if the inertia matrix in the governing equation is positive definite via Mathematica;</w:t>
      </w:r>
    </w:p>
    <w:p w14:paraId="41833BFB" w14:textId="74C565C8" w:rsidR="00CF3193" w:rsidRPr="006155A5" w:rsidRDefault="00CF3193" w:rsidP="00E818DC">
      <w:pPr>
        <w:pStyle w:val="ListParagraph"/>
        <w:numPr>
          <w:ilvl w:val="0"/>
          <w:numId w:val="1"/>
        </w:numPr>
        <w:spacing w:line="240" w:lineRule="auto"/>
        <w:rPr>
          <w:rFonts w:ascii="Cambria Math" w:hAnsi="Cambria Math"/>
          <w:sz w:val="20"/>
          <w:szCs w:val="20"/>
        </w:rPr>
      </w:pPr>
      <w:r w:rsidRPr="006155A5">
        <w:rPr>
          <w:rFonts w:ascii="Cambria Math" w:hAnsi="Cambria Math"/>
          <w:sz w:val="20"/>
          <w:szCs w:val="20"/>
        </w:rPr>
        <w:t>Specify where the ODE solvers have been used in Simulink;</w:t>
      </w:r>
    </w:p>
    <w:p w14:paraId="53DE9D6B" w14:textId="4ED207FF" w:rsidR="00CF3193" w:rsidRPr="006155A5" w:rsidRDefault="00CF3193" w:rsidP="00E818DC">
      <w:pPr>
        <w:spacing w:line="240" w:lineRule="auto"/>
        <w:rPr>
          <w:rFonts w:ascii="Cambria Math" w:hAnsi="Cambria Math"/>
          <w:sz w:val="20"/>
          <w:szCs w:val="20"/>
        </w:rPr>
      </w:pPr>
    </w:p>
    <w:p w14:paraId="6A899F5F" w14:textId="2DF05F8B" w:rsidR="00CF3193" w:rsidRPr="006155A5" w:rsidRDefault="00CF3193" w:rsidP="00E818DC">
      <w:pPr>
        <w:pStyle w:val="Heading2"/>
        <w:spacing w:line="240" w:lineRule="auto"/>
        <w:rPr>
          <w:rFonts w:ascii="Cambria Math" w:hAnsi="Cambria Math"/>
          <w:b/>
          <w:bCs/>
          <w:color w:val="auto"/>
          <w:sz w:val="20"/>
          <w:szCs w:val="20"/>
          <w:u w:val="single"/>
        </w:rPr>
      </w:pPr>
      <w:r w:rsidRPr="006155A5">
        <w:rPr>
          <w:rFonts w:ascii="Cambria Math" w:hAnsi="Cambria Math"/>
          <w:b/>
          <w:bCs/>
          <w:color w:val="auto"/>
          <w:sz w:val="20"/>
          <w:szCs w:val="20"/>
          <w:u w:val="single"/>
        </w:rPr>
        <w:t>Solution</w:t>
      </w:r>
    </w:p>
    <w:p w14:paraId="0D2D41B4" w14:textId="751890E2" w:rsidR="00CF3193" w:rsidRPr="006155A5" w:rsidRDefault="00CF3193" w:rsidP="00E818DC">
      <w:pPr>
        <w:pStyle w:val="ListParagraph"/>
        <w:numPr>
          <w:ilvl w:val="0"/>
          <w:numId w:val="2"/>
        </w:numPr>
        <w:spacing w:line="240" w:lineRule="auto"/>
        <w:rPr>
          <w:rFonts w:ascii="Cambria Math" w:hAnsi="Cambria Math"/>
          <w:sz w:val="20"/>
          <w:szCs w:val="20"/>
        </w:rPr>
      </w:pPr>
      <w:r w:rsidRPr="006155A5">
        <w:rPr>
          <w:rFonts w:ascii="Cambria Math" w:hAnsi="Cambria Math"/>
          <w:sz w:val="20"/>
          <w:szCs w:val="20"/>
        </w:rPr>
        <w:t>Examination of inertia matrix</w:t>
      </w:r>
    </w:p>
    <w:p w14:paraId="4A7B2743" w14:textId="0D5D2548" w:rsidR="00CF3193" w:rsidRPr="006155A5" w:rsidRDefault="00CF3193" w:rsidP="00761B74">
      <w:pPr>
        <w:spacing w:line="240" w:lineRule="auto"/>
        <w:ind w:firstLine="720"/>
        <w:rPr>
          <w:rFonts w:ascii="Cambria Math" w:hAnsi="Cambria Math"/>
          <w:sz w:val="20"/>
          <w:szCs w:val="20"/>
        </w:rPr>
      </w:pPr>
      <w:r w:rsidRPr="006155A5">
        <w:rPr>
          <w:rFonts w:ascii="Cambria Math" w:hAnsi="Cambria Math"/>
          <w:sz w:val="20"/>
          <w:szCs w:val="20"/>
        </w:rPr>
        <w:t>Since it was hard to examine the correctness of inertia matrix in the governing equation just by judging the sign of each eigenvalue, we can try to use the following two properties of a matrix:</w:t>
      </w:r>
    </w:p>
    <w:p w14:paraId="496BF60D" w14:textId="0D21CE4F" w:rsidR="00CF3193" w:rsidRPr="006155A5" w:rsidRDefault="00CF3193" w:rsidP="00E818DC">
      <w:pPr>
        <w:spacing w:line="240" w:lineRule="auto"/>
        <w:rPr>
          <w:rFonts w:ascii="Cambria Math" w:hAnsi="Cambria Math"/>
          <w:sz w:val="20"/>
          <w:szCs w:val="20"/>
        </w:rPr>
      </w:pPr>
      <w:r w:rsidRPr="006155A5">
        <w:rPr>
          <w:rFonts w:ascii="Cambria Math" w:hAnsi="Cambria Math"/>
          <w:sz w:val="20"/>
          <w:szCs w:val="20"/>
        </w:rPr>
        <w:t>(1). Trace of matrix: The sum of all eigenvalues of a matrix.</w:t>
      </w:r>
    </w:p>
    <w:p w14:paraId="64F46E8F" w14:textId="4AC70F61" w:rsidR="00CF3193" w:rsidRPr="006155A5" w:rsidRDefault="00CF3193" w:rsidP="00E818DC">
      <w:pPr>
        <w:spacing w:line="240" w:lineRule="auto"/>
        <w:rPr>
          <w:rFonts w:ascii="Cambria Math" w:hAnsi="Cambria Math"/>
          <w:sz w:val="20"/>
          <w:szCs w:val="20"/>
        </w:rPr>
      </w:pPr>
      <w:r w:rsidRPr="006155A5">
        <w:rPr>
          <w:rFonts w:ascii="Cambria Math" w:hAnsi="Cambria Math"/>
          <w:sz w:val="20"/>
          <w:szCs w:val="20"/>
        </w:rPr>
        <w:t>(2). Determinant of matrix: The product of all eig</w:t>
      </w:r>
      <w:r w:rsidR="00132840" w:rsidRPr="006155A5">
        <w:rPr>
          <w:rFonts w:ascii="Cambria Math" w:hAnsi="Cambria Math"/>
          <w:sz w:val="20"/>
          <w:szCs w:val="20"/>
        </w:rPr>
        <w:t>envalues of a matrix.</w:t>
      </w:r>
    </w:p>
    <w:p w14:paraId="51A5DC12" w14:textId="6C6A8702" w:rsidR="00E971D6" w:rsidRDefault="00E971D6" w:rsidP="00BC496E">
      <w:pPr>
        <w:spacing w:line="240" w:lineRule="auto"/>
        <w:ind w:firstLine="720"/>
        <w:rPr>
          <w:rFonts w:ascii="Cambria Math" w:hAnsi="Cambria Math"/>
          <w:sz w:val="20"/>
          <w:szCs w:val="20"/>
        </w:rPr>
      </w:pPr>
      <w:r w:rsidRPr="006155A5">
        <w:rPr>
          <w:rFonts w:ascii="Cambria Math" w:hAnsi="Cambria Math"/>
          <w:sz w:val="20"/>
          <w:szCs w:val="20"/>
        </w:rPr>
        <w:t xml:space="preserve">For a </w:t>
      </w:r>
      <m:oMath>
        <m:r>
          <w:rPr>
            <w:rFonts w:ascii="Cambria Math" w:hAnsi="Cambria Math"/>
            <w:sz w:val="20"/>
            <w:szCs w:val="20"/>
          </w:rPr>
          <m:t>2×2</m:t>
        </m:r>
      </m:oMath>
      <w:r w:rsidRPr="006155A5">
        <w:rPr>
          <w:rFonts w:ascii="Cambria Math" w:hAnsi="Cambria Math"/>
          <w:sz w:val="20"/>
          <w:szCs w:val="20"/>
        </w:rPr>
        <w:t xml:space="preserve"> inertia matrix, </w:t>
      </w:r>
      <w:r w:rsidR="00BC496E" w:rsidRPr="006155A5">
        <w:rPr>
          <w:rFonts w:ascii="Cambria Math" w:hAnsi="Cambria Math"/>
          <w:sz w:val="20"/>
          <w:szCs w:val="20"/>
        </w:rPr>
        <w:t>if it is positive definite, the necessary and sufficient conditions are that both the trace and determinant of the inertia matrix should be greater than zero (or positive).</w:t>
      </w:r>
    </w:p>
    <w:p w14:paraId="4DCA523C" w14:textId="34B1B33F" w:rsidR="00FA76E4" w:rsidRDefault="00FA76E4" w:rsidP="00FA76E4">
      <w:pPr>
        <w:spacing w:line="240" w:lineRule="auto"/>
        <w:rPr>
          <w:rFonts w:ascii="Cambria Math" w:hAnsi="Cambria Math"/>
          <w:sz w:val="20"/>
          <w:szCs w:val="20"/>
        </w:rPr>
      </w:pPr>
      <w:r>
        <w:rPr>
          <w:rFonts w:ascii="Cambria Math" w:hAnsi="Cambria Math"/>
          <w:sz w:val="20"/>
          <w:szCs w:val="20"/>
        </w:rPr>
        <w:t>The results showcased by Mathematica is as follows,</w:t>
      </w:r>
    </w:p>
    <w:p w14:paraId="20363C00" w14:textId="68D877C4" w:rsidR="00FA76E4" w:rsidRDefault="00FA76E4" w:rsidP="00FA76E4">
      <w:pPr>
        <w:spacing w:line="240" w:lineRule="auto"/>
        <w:jc w:val="center"/>
        <w:rPr>
          <w:rFonts w:ascii="Cambria Math" w:hAnsi="Cambria Math"/>
          <w:sz w:val="20"/>
          <w:szCs w:val="20"/>
        </w:rPr>
      </w:pPr>
      <w:r>
        <w:rPr>
          <w:rFonts w:ascii="Cambria Math" w:hAnsi="Cambria Math"/>
          <w:noProof/>
          <w:sz w:val="20"/>
          <w:szCs w:val="20"/>
        </w:rPr>
        <w:drawing>
          <wp:inline distT="0" distB="0" distL="0" distR="0" wp14:anchorId="3EF1496E" wp14:editId="6774045E">
            <wp:extent cx="5274310" cy="2200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5274310" cy="2200275"/>
                    </a:xfrm>
                    <a:prstGeom prst="rect">
                      <a:avLst/>
                    </a:prstGeom>
                  </pic:spPr>
                </pic:pic>
              </a:graphicData>
            </a:graphic>
          </wp:inline>
        </w:drawing>
      </w:r>
    </w:p>
    <w:p w14:paraId="53779070" w14:textId="5DE97BE7" w:rsidR="00FA76E4" w:rsidRDefault="00FA76E4" w:rsidP="00FA76E4">
      <w:pPr>
        <w:spacing w:line="240" w:lineRule="auto"/>
        <w:jc w:val="center"/>
        <w:rPr>
          <w:rFonts w:ascii="Cambria Math" w:hAnsi="Cambria Math"/>
          <w:sz w:val="20"/>
          <w:szCs w:val="20"/>
        </w:rPr>
      </w:pPr>
      <w:r w:rsidRPr="00FA76E4">
        <w:rPr>
          <w:rFonts w:ascii="Cambria Math" w:hAnsi="Cambria Math"/>
          <w:b/>
          <w:bCs/>
          <w:sz w:val="20"/>
          <w:szCs w:val="20"/>
        </w:rPr>
        <w:t>Fig. 1</w:t>
      </w:r>
      <w:r>
        <w:rPr>
          <w:rFonts w:ascii="Cambria Math" w:hAnsi="Cambria Math"/>
          <w:sz w:val="20"/>
          <w:szCs w:val="20"/>
        </w:rPr>
        <w:t xml:space="preserve"> The computation results of trace and determinant from Mathematica</w:t>
      </w:r>
    </w:p>
    <w:p w14:paraId="61434207" w14:textId="12D17F3F" w:rsidR="00FA76E4" w:rsidRDefault="00FA76E4" w:rsidP="00FA76E4">
      <w:pPr>
        <w:spacing w:line="240" w:lineRule="auto"/>
        <w:rPr>
          <w:rFonts w:ascii="Cambria Math" w:hAnsi="Cambria Math"/>
          <w:sz w:val="20"/>
          <w:szCs w:val="20"/>
        </w:rPr>
      </w:pPr>
    </w:p>
    <w:p w14:paraId="0A0B498A" w14:textId="31ECFDFF" w:rsidR="00161B1E" w:rsidRDefault="00161B1E" w:rsidP="00161B1E">
      <w:pPr>
        <w:spacing w:line="240" w:lineRule="auto"/>
        <w:ind w:firstLine="720"/>
        <w:rPr>
          <w:rFonts w:ascii="Cambria Math" w:hAnsi="Cambria Math"/>
          <w:sz w:val="20"/>
          <w:szCs w:val="20"/>
        </w:rPr>
      </w:pPr>
      <w:r>
        <w:rPr>
          <w:rFonts w:ascii="Cambria Math" w:hAnsi="Cambria Math"/>
          <w:sz w:val="20"/>
          <w:szCs w:val="20"/>
        </w:rPr>
        <w:t>Since to judge the sign of each eigenvalue of the inertia matrix can be hard when some of the parameters cannot be determined, calculating the trace and determinant of it will be an alternative, and the results of them are:</w:t>
      </w:r>
    </w:p>
    <w:p w14:paraId="6BD8E2EC" w14:textId="59BA1766" w:rsidR="00161B1E" w:rsidRPr="00161B1E" w:rsidRDefault="00161B1E" w:rsidP="00161B1E">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d>
                <m:dPr>
                  <m:begChr m:val="{"/>
                  <m:endChr m:val=""/>
                  <m:ctrlPr>
                    <w:rPr>
                      <w:rFonts w:ascii="Cambria Math" w:hAnsi="Cambria Math"/>
                      <w:i/>
                      <w:sz w:val="20"/>
                      <w:szCs w:val="20"/>
                    </w:rPr>
                  </m:ctrlPr>
                </m:dPr>
                <m:e>
                  <m:eqArr>
                    <m:eqArrPr>
                      <m:ctrlPr>
                        <w:rPr>
                          <w:rFonts w:ascii="Cambria Math" w:hAnsi="Cambria Math"/>
                          <w:i/>
                          <w:sz w:val="20"/>
                          <w:szCs w:val="20"/>
                        </w:rPr>
                      </m:ctrlPr>
                    </m:eqArrPr>
                    <m:e>
                      <m:r>
                        <m:rPr>
                          <m:sty m:val="p"/>
                        </m:rPr>
                        <w:rPr>
                          <w:rFonts w:ascii="Cambria Math" w:hAnsi="Cambria Math"/>
                          <w:sz w:val="20"/>
                          <w:szCs w:val="20"/>
                        </w:rPr>
                        <m:t>Trace</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+3</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1</m:t>
                              </m:r>
                            </m:sub>
                            <m:sup>
                              <m:r>
                                <w:rPr>
                                  <w:rFonts w:ascii="Cambria Math" w:hAnsi="Cambria Math"/>
                                  <w:sz w:val="20"/>
                                  <w:szCs w:val="20"/>
                                </w:rPr>
                                <m:t>2</m:t>
                              </m:r>
                            </m:sup>
                          </m:sSubSup>
                        </m:e>
                      </m:d>
                    </m:e>
                    <m:e>
                      <m:r>
                        <m:rPr>
                          <m:sty m:val="p"/>
                        </m:rPr>
                        <w:rPr>
                          <w:rFonts w:ascii="Cambria Math" w:hAnsi="Cambria Math"/>
                          <w:sz w:val="20"/>
                          <w:szCs w:val="20"/>
                        </w:rPr>
                        <m:t>Determinant</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72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2</m:t>
                          </m:r>
                        </m:sub>
                        <m:sup>
                          <m:r>
                            <w:rPr>
                              <w:rFonts w:ascii="Cambria Math" w:hAnsi="Cambria Math"/>
                              <w:sz w:val="20"/>
                              <w:szCs w:val="20"/>
                            </w:rPr>
                            <m:t>2</m:t>
                          </m:r>
                        </m:sup>
                      </m:sSubSup>
                      <m:d>
                        <m:dPr>
                          <m:begChr m:val="{"/>
                          <m:endChr m:val="}"/>
                          <m:ctrlPr>
                            <w:rPr>
                              <w:rFonts w:ascii="Cambria Math" w:hAnsi="Cambria Math"/>
                              <w:i/>
                              <w:sz w:val="20"/>
                              <w:szCs w:val="20"/>
                            </w:rPr>
                          </m:ctrlPr>
                        </m:dPr>
                        <m:e>
                          <m:r>
                            <w:rPr>
                              <w:rFonts w:ascii="Cambria Math" w:hAnsi="Cambria Math"/>
                              <w:sz w:val="20"/>
                              <w:szCs w:val="20"/>
                            </w:rPr>
                            <m:t>8</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+15</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-9</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d>
                                <m:dPr>
                                  <m:begChr m:val="["/>
                                  <m:endChr m:val="]"/>
                                  <m:ctrlPr>
                                    <w:rPr>
                                      <w:rFonts w:ascii="Cambria Math" w:hAnsi="Cambria Math"/>
                                      <w:i/>
                                      <w:sz w:val="20"/>
                                      <w:szCs w:val="20"/>
                                    </w:rPr>
                                  </m:ctrlPr>
                                </m:dPr>
                                <m:e>
                                  <m:r>
                                    <w:rPr>
                                      <w:rFonts w:ascii="Cambria Math" w:hAnsi="Cambria Math"/>
                                      <w:sz w:val="20"/>
                                      <w:szCs w:val="20"/>
                                    </w:rPr>
                                    <m:t>2</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e>
                          </m:func>
                        </m:e>
                      </m:d>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W9-1</m:t>
                  </m:r>
                </m:e>
              </m:d>
            </m:e>
          </m:eqArr>
        </m:oMath>
      </m:oMathPara>
    </w:p>
    <w:p w14:paraId="52CB6259" w14:textId="3C242DC7" w:rsidR="00161B1E" w:rsidRDefault="004C06CE" w:rsidP="00161B1E">
      <w:pPr>
        <w:spacing w:line="240" w:lineRule="auto"/>
        <w:rPr>
          <w:rFonts w:ascii="Cambria Math" w:hAnsi="Cambria Math"/>
          <w:sz w:val="20"/>
          <w:szCs w:val="20"/>
        </w:rPr>
      </w:pPr>
      <w:r>
        <w:rPr>
          <w:rFonts w:ascii="Cambria Math" w:hAnsi="Cambria Math"/>
          <w:sz w:val="20"/>
          <w:szCs w:val="20"/>
        </w:rPr>
        <w:t xml:space="preserve">Apparently, the trace will always be positive, for the determinant, we can plug in the upper and lower boundary of the term </w:t>
      </w:r>
      <m:oMath>
        <m:func>
          <m:funcPr>
            <m:ctrlPr>
              <w:rPr>
                <w:rFonts w:ascii="Cambria Math" w:hAnsi="Cambria Math"/>
                <w:i/>
                <w:sz w:val="20"/>
                <w:szCs w:val="20"/>
              </w:rPr>
            </m:ctrlPr>
          </m:funcPr>
          <m:fName>
            <m:r>
              <m:rPr>
                <m:sty m:val="p"/>
              </m:rPr>
              <w:rPr>
                <w:rFonts w:ascii="Cambria Math" w:hAnsi="Cambria Math"/>
                <w:sz w:val="20"/>
                <w:szCs w:val="20"/>
              </w:rPr>
              <m:t>cos</m:t>
            </m:r>
          </m:fName>
          <m:e>
            <m:d>
              <m:dPr>
                <m:begChr m:val="["/>
                <m:endChr m:val="]"/>
                <m:ctrlPr>
                  <w:rPr>
                    <w:rFonts w:ascii="Cambria Math" w:hAnsi="Cambria Math"/>
                    <w:i/>
                    <w:sz w:val="20"/>
                    <w:szCs w:val="20"/>
                  </w:rPr>
                </m:ctrlPr>
              </m:dPr>
              <m:e>
                <m:r>
                  <w:rPr>
                    <w:rFonts w:ascii="Cambria Math" w:hAnsi="Cambria Math"/>
                    <w:sz w:val="20"/>
                    <w:szCs w:val="20"/>
                  </w:rPr>
                  <m:t>2</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e>
        </m:func>
      </m:oMath>
      <w:r>
        <w:rPr>
          <w:rFonts w:ascii="Cambria Math" w:hAnsi="Cambria Math"/>
          <w:sz w:val="20"/>
          <w:szCs w:val="20"/>
        </w:rPr>
        <w:t>, and correspondingly the two boundaries of the determinant will be</w:t>
      </w:r>
    </w:p>
    <w:p w14:paraId="52FCF878" w14:textId="7A7CA6D2" w:rsidR="004C06CE" w:rsidRPr="004C06CE" w:rsidRDefault="004C06CE" w:rsidP="00161B1E">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m:rPr>
                  <m:sty m:val="p"/>
                </m:rPr>
                <w:rPr>
                  <w:rFonts w:ascii="Cambria Math" w:hAnsi="Cambria Math"/>
                  <w:sz w:val="20"/>
                  <w:szCs w:val="20"/>
                </w:rPr>
                <m:t>Determinant</m:t>
              </m:r>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lower: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72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2</m:t>
                          </m:r>
                        </m:sub>
                        <m:sup>
                          <m:r>
                            <w:rPr>
                              <w:rFonts w:ascii="Cambria Math" w:hAnsi="Cambria Math"/>
                              <w:sz w:val="20"/>
                              <w:szCs w:val="20"/>
                            </w:rPr>
                            <m:t>2</m:t>
                          </m:r>
                        </m:sup>
                      </m:sSubSup>
                      <m:d>
                        <m:dPr>
                          <m:ctrlPr>
                            <w:rPr>
                              <w:rFonts w:ascii="Cambria Math" w:hAnsi="Cambria Math"/>
                              <w:i/>
                              <w:sz w:val="20"/>
                              <w:szCs w:val="20"/>
                            </w:rPr>
                          </m:ctrlPr>
                        </m:dPr>
                        <m:e>
                          <m:r>
                            <w:rPr>
                              <w:rFonts w:ascii="Cambria Math" w:hAnsi="Cambria Math"/>
                              <w:sz w:val="20"/>
                              <w:szCs w:val="20"/>
                            </w:rPr>
                            <m:t>8</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+9</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e>
                      <m:r>
                        <w:rPr>
                          <w:rFonts w:ascii="Cambria Math" w:hAnsi="Cambria Math"/>
                          <w:sz w:val="20"/>
                          <w:szCs w:val="20"/>
                        </w:rPr>
                        <m:t xml:space="preserve">upper: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72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2</m:t>
                          </m:r>
                        </m:sub>
                        <m:sup>
                          <m:r>
                            <w:rPr>
                              <w:rFonts w:ascii="Cambria Math" w:hAnsi="Cambria Math"/>
                              <w:sz w:val="20"/>
                              <w:szCs w:val="20"/>
                            </w:rPr>
                            <m:t>2</m:t>
                          </m:r>
                        </m:sup>
                      </m:sSubSup>
                      <m:d>
                        <m:dPr>
                          <m:ctrlPr>
                            <w:rPr>
                              <w:rFonts w:ascii="Cambria Math" w:hAnsi="Cambria Math"/>
                              <w:i/>
                              <w:sz w:val="20"/>
                              <w:szCs w:val="20"/>
                            </w:rPr>
                          </m:ctrlPr>
                        </m:dPr>
                        <m:e>
                          <m:r>
                            <w:rPr>
                              <w:rFonts w:ascii="Cambria Math" w:hAnsi="Cambria Math"/>
                              <w:sz w:val="20"/>
                              <w:szCs w:val="20"/>
                            </w:rPr>
                            <m:t>8</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+24</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W9-2</m:t>
                  </m:r>
                </m:e>
              </m:d>
            </m:e>
          </m:eqArr>
        </m:oMath>
      </m:oMathPara>
    </w:p>
    <w:p w14:paraId="132D9229" w14:textId="750D6B79" w:rsidR="004C06CE" w:rsidRPr="004C06CE" w:rsidRDefault="004B542C" w:rsidP="00161B1E">
      <w:pPr>
        <w:spacing w:line="240" w:lineRule="auto"/>
        <w:rPr>
          <w:rFonts w:ascii="Cambria Math" w:hAnsi="Cambria Math"/>
          <w:sz w:val="20"/>
          <w:szCs w:val="20"/>
        </w:rPr>
      </w:pPr>
      <w:r>
        <w:rPr>
          <w:rFonts w:ascii="Cambria Math" w:hAnsi="Cambria Math"/>
          <w:sz w:val="20"/>
          <w:szCs w:val="20"/>
        </w:rPr>
        <w:t>It turns out both of them are positive, so we can say the inertia matrix is positive definite.</w:t>
      </w:r>
      <w:r w:rsidR="00275BDE">
        <w:rPr>
          <w:rFonts w:ascii="Cambria Math" w:hAnsi="Cambria Math"/>
          <w:sz w:val="20"/>
          <w:szCs w:val="20"/>
        </w:rPr>
        <w:t xml:space="preserve"> However, back to the falling SRA simulation, I tried to evaluate the inertia matrix by the same method in Mathematica, the inertia matrix contains too many high order terms of the variables like </w:t>
      </w:r>
      <m:oMath>
        <m:sSup>
          <m:sSupPr>
            <m:ctrlPr>
              <w:rPr>
                <w:rFonts w:ascii="Cambria Math" w:hAnsi="Cambria Math"/>
                <w:iCs/>
                <w:sz w:val="20"/>
                <w:szCs w:val="20"/>
              </w:rPr>
            </m:ctrlPr>
          </m:sSupPr>
          <m:e>
            <m:r>
              <m:rPr>
                <m:sty m:val="p"/>
              </m:rPr>
              <w:rPr>
                <w:rFonts w:ascii="Cambria Math" w:hAnsi="Cambria Math"/>
                <w:sz w:val="20"/>
                <w:szCs w:val="20"/>
              </w:rPr>
              <m:t>sin</m:t>
            </m:r>
          </m:e>
          <m:sup>
            <m:r>
              <m:rPr>
                <m:sty m:val="p"/>
              </m:rPr>
              <w:rPr>
                <w:rFonts w:ascii="Cambria Math" w:hAnsi="Cambria Math"/>
                <w:sz w:val="20"/>
                <w:szCs w:val="20"/>
              </w:rPr>
              <m:t>4</m:t>
            </m:r>
          </m:sup>
        </m:s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Cs/>
                <w:sz w:val="20"/>
                <w:szCs w:val="20"/>
              </w:rPr>
            </m:ctrlPr>
          </m:sSupPr>
          <m:e>
            <m:r>
              <m:rPr>
                <m:sty m:val="p"/>
              </m:rPr>
              <w:rPr>
                <w:rFonts w:ascii="Cambria Math" w:hAnsi="Cambria Math"/>
                <w:sz w:val="20"/>
                <w:szCs w:val="20"/>
              </w:rPr>
              <m:t>cos</m:t>
            </m:r>
          </m:e>
          <m:sup>
            <m:r>
              <m:rPr>
                <m:sty m:val="p"/>
              </m:rP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oMath>
      <w:r w:rsidR="00275BDE">
        <w:rPr>
          <w:rFonts w:ascii="Cambria Math" w:hAnsi="Cambria Math"/>
          <w:sz w:val="20"/>
          <w:szCs w:val="20"/>
        </w:rPr>
        <w:t>, which made it even harder to check the sign of the trace and determinant. The only thing I can guarantee is that I utilized the same way to derive the inertia matrix, so there shouldn’t be any issues.</w:t>
      </w:r>
    </w:p>
    <w:p w14:paraId="7C91369F" w14:textId="77777777" w:rsidR="00372F69" w:rsidRPr="006155A5" w:rsidRDefault="00372F69" w:rsidP="00AB1870">
      <w:pPr>
        <w:spacing w:line="240" w:lineRule="auto"/>
        <w:rPr>
          <w:rFonts w:ascii="Cambria Math" w:hAnsi="Cambria Math"/>
          <w:sz w:val="20"/>
          <w:szCs w:val="20"/>
        </w:rPr>
      </w:pPr>
    </w:p>
    <w:p w14:paraId="2A291C84" w14:textId="40A4E0EB" w:rsidR="00AB1870" w:rsidRPr="006155A5" w:rsidRDefault="00277A5F" w:rsidP="00AB1870">
      <w:pPr>
        <w:pStyle w:val="ListParagraph"/>
        <w:numPr>
          <w:ilvl w:val="0"/>
          <w:numId w:val="2"/>
        </w:numPr>
        <w:spacing w:line="240" w:lineRule="auto"/>
        <w:rPr>
          <w:rFonts w:ascii="Cambria Math" w:hAnsi="Cambria Math"/>
          <w:sz w:val="20"/>
          <w:szCs w:val="20"/>
        </w:rPr>
      </w:pPr>
      <w:r w:rsidRPr="006155A5">
        <w:rPr>
          <w:rFonts w:ascii="Cambria Math" w:hAnsi="Cambria Math"/>
          <w:sz w:val="20"/>
          <w:szCs w:val="20"/>
        </w:rPr>
        <w:t>Several questions for solving ODEs in Simulink</w:t>
      </w:r>
    </w:p>
    <w:p w14:paraId="105571BD" w14:textId="2D69C0F4" w:rsidR="00277A5F" w:rsidRPr="006155A5" w:rsidRDefault="00277A5F" w:rsidP="00277A5F">
      <w:pPr>
        <w:spacing w:line="240" w:lineRule="auto"/>
        <w:ind w:firstLine="720"/>
        <w:rPr>
          <w:rFonts w:ascii="Cambria Math" w:hAnsi="Cambria Math"/>
          <w:sz w:val="20"/>
          <w:szCs w:val="20"/>
        </w:rPr>
      </w:pPr>
      <w:r w:rsidRPr="006155A5">
        <w:rPr>
          <w:rFonts w:ascii="Cambria Math" w:hAnsi="Cambria Math"/>
          <w:sz w:val="20"/>
          <w:szCs w:val="20"/>
        </w:rPr>
        <w:t>During this week, I have read a lot of tutorials, blogs and lecture videos about the following topics, how to solve ODEs in Simulink, how ODE solver works in Simulink, how integrator block works for solving ODE is Simulink and so on, though I have already known most of them, the aim is to find if there are any direct answers or indirect indications to the concern for which step the ODE solver has been applied. But it turned out few of the resources are useful.</w:t>
      </w:r>
    </w:p>
    <w:p w14:paraId="4D1C20AA" w14:textId="54647413" w:rsidR="00277A5F" w:rsidRPr="006155A5" w:rsidRDefault="00277A5F" w:rsidP="00277A5F">
      <w:pPr>
        <w:spacing w:line="240" w:lineRule="auto"/>
        <w:rPr>
          <w:rFonts w:ascii="Cambria Math" w:hAnsi="Cambria Math"/>
          <w:sz w:val="20"/>
          <w:szCs w:val="20"/>
        </w:rPr>
      </w:pPr>
      <w:r w:rsidRPr="006155A5">
        <w:rPr>
          <w:rFonts w:ascii="Cambria Math" w:hAnsi="Cambria Math"/>
          <w:sz w:val="20"/>
          <w:szCs w:val="20"/>
        </w:rPr>
        <w:t xml:space="preserve">(1). </w:t>
      </w:r>
      <w:r w:rsidR="006155A5" w:rsidRPr="006155A5">
        <w:rPr>
          <w:rFonts w:ascii="Cambria Math" w:hAnsi="Cambria Math"/>
          <w:sz w:val="20"/>
          <w:szCs w:val="20"/>
        </w:rPr>
        <w:t>Integrator block</w:t>
      </w:r>
    </w:p>
    <w:p w14:paraId="2CC5DBD7" w14:textId="42E54796" w:rsidR="006155A5" w:rsidRPr="006155A5" w:rsidRDefault="006155A5" w:rsidP="005472C4">
      <w:pPr>
        <w:spacing w:line="240" w:lineRule="auto"/>
        <w:ind w:firstLine="720"/>
        <w:rPr>
          <w:rFonts w:ascii="Cambria Math" w:hAnsi="Cambria Math"/>
          <w:sz w:val="20"/>
          <w:szCs w:val="20"/>
        </w:rPr>
      </w:pPr>
      <w:r w:rsidRPr="006155A5">
        <w:rPr>
          <w:rFonts w:ascii="Cambria Math" w:hAnsi="Cambria Math"/>
          <w:sz w:val="20"/>
          <w:szCs w:val="20"/>
        </w:rPr>
        <w:t>Firstly I will copy down exactly the same information as provided in MATLAB official help center, which introduces the basic function of this block.</w:t>
      </w:r>
    </w:p>
    <w:p w14:paraId="70F80B9F" w14:textId="168C7707" w:rsidR="006155A5" w:rsidRPr="006155A5" w:rsidRDefault="006155A5" w:rsidP="00277A5F">
      <w:pPr>
        <w:spacing w:line="240" w:lineRule="auto"/>
        <w:rPr>
          <w:rFonts w:ascii="Cambria Math" w:hAnsi="Cambria Math"/>
          <w:sz w:val="20"/>
          <w:szCs w:val="20"/>
        </w:rPr>
      </w:pPr>
      <w:r w:rsidRPr="006155A5">
        <w:rPr>
          <w:rFonts w:ascii="Cambria Math" w:hAnsi="Cambria Math"/>
          <w:sz w:val="20"/>
          <w:szCs w:val="20"/>
        </w:rPr>
        <w:t>The block dynamics are given by</w:t>
      </w:r>
    </w:p>
    <w:p w14:paraId="2D928A03" w14:textId="3EBB7D40" w:rsidR="006155A5" w:rsidRPr="006155A5" w:rsidRDefault="006155A5" w:rsidP="00277A5F">
      <w:pPr>
        <w:spacing w:line="240" w:lineRule="auto"/>
        <w:rPr>
          <w:rFonts w:ascii="Cambria Math" w:hAnsi="Cambria Math"/>
          <w:sz w:val="20"/>
          <w:szCs w:val="20"/>
        </w:rPr>
      </w:pPr>
      <m:oMathPara>
        <m:oMath>
          <m:d>
            <m:dPr>
              <m:begChr m:val="{"/>
              <m:endChr m:val=""/>
              <m:ctrlPr>
                <w:rPr>
                  <w:rFonts w:ascii="Cambria Math" w:hAnsi="Cambria Math"/>
                  <w:i/>
                  <w:sz w:val="20"/>
                  <w:szCs w:val="20"/>
                </w:rPr>
              </m:ctrlPr>
            </m:dPr>
            <m:e>
              <m:eqArr>
                <m:eqArrPr>
                  <m:ctrlPr>
                    <w:rPr>
                      <w:rFonts w:ascii="Cambria Math" w:hAnsi="Cambria Math"/>
                      <w:i/>
                      <w:sz w:val="20"/>
                      <w:szCs w:val="20"/>
                    </w:rPr>
                  </m:ctrlPr>
                </m:eqArrPr>
                <m:e>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e>
                <m:e>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e>
              </m:eqArr>
            </m:e>
          </m:d>
          <m:r>
            <w:rPr>
              <w:rFonts w:ascii="Cambria Math" w:hAnsi="Cambria Math"/>
              <w:sz w:val="20"/>
              <w:szCs w:val="20"/>
            </w:rPr>
            <m:t xml:space="preserve">      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m:oMathPara>
    </w:p>
    <w:p w14:paraId="4A669846" w14:textId="06643D07" w:rsidR="006155A5" w:rsidRDefault="006155A5" w:rsidP="00277A5F">
      <w:pPr>
        <w:spacing w:line="240" w:lineRule="auto"/>
        <w:rPr>
          <w:rFonts w:ascii="Cambria Math" w:hAnsi="Cambria Math"/>
          <w:sz w:val="20"/>
          <w:szCs w:val="20"/>
        </w:rPr>
      </w:pPr>
      <w:r w:rsidRPr="006155A5">
        <w:rPr>
          <w:rFonts w:ascii="Cambria Math" w:hAnsi="Cambria Math"/>
          <w:sz w:val="20"/>
          <w:szCs w:val="20"/>
        </w:rPr>
        <w:t xml:space="preserve">Where </w:t>
      </w:r>
      <m:oMath>
        <m:r>
          <w:rPr>
            <w:rFonts w:ascii="Cambria Math" w:hAnsi="Cambria Math"/>
            <w:sz w:val="20"/>
            <w:szCs w:val="20"/>
          </w:rPr>
          <m:t>u</m:t>
        </m:r>
      </m:oMath>
      <w:r w:rsidRPr="006155A5">
        <w:rPr>
          <w:rFonts w:ascii="Cambria Math" w:hAnsi="Cambria Math"/>
          <w:sz w:val="20"/>
          <w:szCs w:val="20"/>
        </w:rPr>
        <w:t xml:space="preserve"> is the block input, </w:t>
      </w:r>
      <m:oMath>
        <m:r>
          <w:rPr>
            <w:rFonts w:ascii="Cambria Math" w:hAnsi="Cambria Math"/>
            <w:sz w:val="20"/>
            <w:szCs w:val="20"/>
          </w:rPr>
          <m:t>y</m:t>
        </m:r>
      </m:oMath>
      <w:r w:rsidRPr="006155A5">
        <w:rPr>
          <w:rFonts w:ascii="Cambria Math" w:hAnsi="Cambria Math"/>
          <w:sz w:val="20"/>
          <w:szCs w:val="20"/>
        </w:rPr>
        <w:t xml:space="preserve"> is the block output, </w:t>
      </w:r>
      <m:oMath>
        <m:r>
          <w:rPr>
            <w:rFonts w:ascii="Cambria Math" w:hAnsi="Cambria Math"/>
            <w:sz w:val="20"/>
            <w:szCs w:val="20"/>
          </w:rPr>
          <m:t>x</m:t>
        </m:r>
      </m:oMath>
      <w:r w:rsidRPr="006155A5">
        <w:rPr>
          <w:rFonts w:ascii="Cambria Math" w:hAnsi="Cambria Math"/>
          <w:sz w:val="20"/>
          <w:szCs w:val="20"/>
        </w:rPr>
        <w:t xml:space="preserve"> is the block state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Pr="006155A5">
        <w:rPr>
          <w:rFonts w:ascii="Cambria Math" w:hAnsi="Cambria Math"/>
          <w:sz w:val="20"/>
          <w:szCs w:val="20"/>
        </w:rPr>
        <w:t xml:space="preserve"> is the initial condition of </w:t>
      </w:r>
      <m:oMath>
        <m:r>
          <w:rPr>
            <w:rFonts w:ascii="Cambria Math" w:hAnsi="Cambria Math"/>
            <w:sz w:val="20"/>
            <w:szCs w:val="20"/>
          </w:rPr>
          <m:t>x</m:t>
        </m:r>
      </m:oMath>
      <w:r w:rsidRPr="006155A5">
        <w:rPr>
          <w:rFonts w:ascii="Cambria Math" w:hAnsi="Cambria Math"/>
          <w:sz w:val="20"/>
          <w:szCs w:val="20"/>
        </w:rPr>
        <w:t>.</w:t>
      </w:r>
    </w:p>
    <w:p w14:paraId="4E85EEA3" w14:textId="77777777" w:rsidR="00372F69" w:rsidRPr="006155A5" w:rsidRDefault="00372F69" w:rsidP="00277A5F">
      <w:pPr>
        <w:spacing w:line="240" w:lineRule="auto"/>
        <w:rPr>
          <w:rFonts w:ascii="Cambria Math" w:hAnsi="Cambria Math"/>
          <w:sz w:val="20"/>
          <w:szCs w:val="20"/>
        </w:rPr>
      </w:pPr>
    </w:p>
    <w:p w14:paraId="12179699" w14:textId="2A7A4FA0" w:rsidR="006155A5" w:rsidRPr="00372F69" w:rsidRDefault="006155A5" w:rsidP="006155A5">
      <w:pPr>
        <w:spacing w:line="240" w:lineRule="auto"/>
        <w:ind w:firstLine="720"/>
        <w:rPr>
          <w:rFonts w:ascii="Cambria Math" w:hAnsi="Cambria Math"/>
          <w:i/>
          <w:iCs/>
          <w:sz w:val="20"/>
          <w:szCs w:val="20"/>
        </w:rPr>
      </w:pPr>
      <w:r w:rsidRPr="00372F69">
        <w:rPr>
          <w:rFonts w:ascii="Cambria Math" w:hAnsi="Cambria Math"/>
          <w:i/>
          <w:iCs/>
          <w:sz w:val="20"/>
          <w:szCs w:val="20"/>
        </w:rPr>
        <w:t>“While</w:t>
      </w:r>
      <w:r w:rsidRPr="00372F69">
        <w:rPr>
          <w:rFonts w:ascii="Cambria Math" w:hAnsi="Cambria Math"/>
          <w:i/>
          <w:iCs/>
          <w:color w:val="212121"/>
          <w:sz w:val="20"/>
          <w:szCs w:val="20"/>
          <w:shd w:val="clear" w:color="auto" w:fill="FFFFFF"/>
        </w:rPr>
        <w:t xml:space="preserve"> these equations define an exact relationship in continuous time, Simulink uses </w:t>
      </w:r>
      <w:r w:rsidRPr="00372F69">
        <w:rPr>
          <w:rFonts w:ascii="Cambria Math" w:hAnsi="Cambria Math"/>
          <w:b/>
          <w:bCs/>
          <w:i/>
          <w:iCs/>
          <w:color w:val="FF0000"/>
          <w:sz w:val="20"/>
          <w:szCs w:val="20"/>
          <w:u w:val="single"/>
          <w:shd w:val="clear" w:color="auto" w:fill="FFFFFF"/>
        </w:rPr>
        <w:t>numerical approximation methods</w:t>
      </w:r>
      <w:r w:rsidRPr="00372F69">
        <w:rPr>
          <w:rFonts w:ascii="Cambria Math" w:hAnsi="Cambria Math"/>
          <w:i/>
          <w:iCs/>
          <w:color w:val="212121"/>
          <w:sz w:val="20"/>
          <w:szCs w:val="20"/>
          <w:shd w:val="clear" w:color="auto" w:fill="FFFFFF"/>
        </w:rPr>
        <w:t xml:space="preserve"> to evaluate them with </w:t>
      </w:r>
      <w:r w:rsidRPr="00372F69">
        <w:rPr>
          <w:rFonts w:ascii="Cambria Math" w:hAnsi="Cambria Math"/>
          <w:b/>
          <w:bCs/>
          <w:i/>
          <w:iCs/>
          <w:color w:val="FF0000"/>
          <w:sz w:val="20"/>
          <w:szCs w:val="20"/>
          <w:u w:val="single"/>
          <w:shd w:val="clear" w:color="auto" w:fill="FFFFFF"/>
        </w:rPr>
        <w:t>finite precision</w:t>
      </w:r>
      <w:r w:rsidRPr="00372F69">
        <w:rPr>
          <w:rFonts w:ascii="Cambria Math" w:hAnsi="Cambria Math"/>
          <w:i/>
          <w:iCs/>
          <w:color w:val="212121"/>
          <w:sz w:val="20"/>
          <w:szCs w:val="20"/>
          <w:shd w:val="clear" w:color="auto" w:fill="FFFFFF"/>
        </w:rPr>
        <w:t>. Simulink can use several different numerical integration methods to compute the output of the block, each with advantages in particular applications</w:t>
      </w:r>
      <w:r w:rsidRPr="00372F69">
        <w:rPr>
          <w:rFonts w:ascii="Cambria Math" w:hAnsi="Cambria Math"/>
          <w:i/>
          <w:iCs/>
          <w:color w:val="212121"/>
          <w:sz w:val="20"/>
          <w:szCs w:val="20"/>
          <w:shd w:val="clear" w:color="auto" w:fill="FFFFFF"/>
        </w:rPr>
        <w:t>.</w:t>
      </w:r>
      <w:r w:rsidRPr="00372F69">
        <w:rPr>
          <w:rFonts w:ascii="Cambria Math" w:hAnsi="Cambria Math"/>
          <w:i/>
          <w:iCs/>
          <w:sz w:val="20"/>
          <w:szCs w:val="20"/>
        </w:rPr>
        <w:t>”</w:t>
      </w:r>
    </w:p>
    <w:p w14:paraId="3340332D" w14:textId="3559493C" w:rsidR="00132840" w:rsidRPr="00493397" w:rsidRDefault="006155A5" w:rsidP="006155A5">
      <w:pPr>
        <w:spacing w:line="240" w:lineRule="auto"/>
        <w:ind w:firstLine="720"/>
        <w:rPr>
          <w:rFonts w:ascii="Cambria Math" w:hAnsi="Cambria Math"/>
          <w:color w:val="212121"/>
          <w:sz w:val="20"/>
          <w:szCs w:val="20"/>
          <w:shd w:val="clear" w:color="auto" w:fill="FFFFFF"/>
        </w:rPr>
      </w:pPr>
      <w:r w:rsidRPr="00372F69">
        <w:rPr>
          <w:rFonts w:ascii="Cambria Math" w:hAnsi="Cambria Math"/>
          <w:i/>
          <w:iCs/>
          <w:color w:val="212121"/>
          <w:sz w:val="20"/>
          <w:szCs w:val="20"/>
          <w:shd w:val="clear" w:color="auto" w:fill="FFFFFF"/>
        </w:rPr>
        <w:t>“</w:t>
      </w:r>
      <w:r w:rsidRPr="00372F69">
        <w:rPr>
          <w:rFonts w:ascii="Cambria Math" w:hAnsi="Cambria Math"/>
          <w:i/>
          <w:iCs/>
          <w:color w:val="212121"/>
          <w:sz w:val="20"/>
          <w:szCs w:val="20"/>
          <w:shd w:val="clear" w:color="auto" w:fill="FFFFFF"/>
        </w:rPr>
        <w:t xml:space="preserve">The </w:t>
      </w:r>
      <w:r w:rsidRPr="00372F69">
        <w:rPr>
          <w:rFonts w:ascii="Cambria Math" w:hAnsi="Cambria Math"/>
          <w:b/>
          <w:bCs/>
          <w:i/>
          <w:iCs/>
          <w:color w:val="FF0000"/>
          <w:sz w:val="20"/>
          <w:szCs w:val="20"/>
          <w:u w:val="single"/>
          <w:shd w:val="clear" w:color="auto" w:fill="FFFFFF"/>
        </w:rPr>
        <w:t>selected solver</w:t>
      </w:r>
      <w:r w:rsidRPr="00372F69">
        <w:rPr>
          <w:rFonts w:ascii="Cambria Math" w:hAnsi="Cambria Math"/>
          <w:i/>
          <w:iCs/>
          <w:color w:val="212121"/>
          <w:sz w:val="20"/>
          <w:szCs w:val="20"/>
          <w:shd w:val="clear" w:color="auto" w:fill="FFFFFF"/>
        </w:rPr>
        <w:t xml:space="preserve"> computes the output of the </w:t>
      </w:r>
      <w:r w:rsidRPr="00372F69">
        <w:rPr>
          <w:rStyle w:val="block"/>
          <w:rFonts w:ascii="Cambria Math" w:hAnsi="Cambria Math"/>
          <w:i/>
          <w:iCs/>
          <w:color w:val="212121"/>
          <w:sz w:val="20"/>
          <w:szCs w:val="20"/>
          <w:shd w:val="clear" w:color="auto" w:fill="FFFFFF"/>
        </w:rPr>
        <w:t>Integrator</w:t>
      </w:r>
      <w:r w:rsidRPr="00372F69">
        <w:rPr>
          <w:rFonts w:ascii="Cambria Math" w:hAnsi="Cambria Math"/>
          <w:i/>
          <w:iCs/>
          <w:color w:val="212121"/>
          <w:sz w:val="20"/>
          <w:szCs w:val="20"/>
          <w:shd w:val="clear" w:color="auto" w:fill="FFFFFF"/>
        </w:rPr>
        <w:t> block at the current time step, using the current input value and the value of the state at the previous time step. To support this computational model, the </w:t>
      </w:r>
      <w:r w:rsidRPr="00372F69">
        <w:rPr>
          <w:rStyle w:val="block"/>
          <w:rFonts w:ascii="Cambria Math" w:hAnsi="Cambria Math"/>
          <w:i/>
          <w:iCs/>
          <w:color w:val="212121"/>
          <w:sz w:val="20"/>
          <w:szCs w:val="20"/>
          <w:shd w:val="clear" w:color="auto" w:fill="FFFFFF"/>
        </w:rPr>
        <w:t>Integrator</w:t>
      </w:r>
      <w:r w:rsidRPr="00372F69">
        <w:rPr>
          <w:rFonts w:ascii="Cambria Math" w:hAnsi="Cambria Math"/>
          <w:i/>
          <w:iCs/>
          <w:color w:val="212121"/>
          <w:sz w:val="20"/>
          <w:szCs w:val="20"/>
          <w:shd w:val="clear" w:color="auto" w:fill="FFFFFF"/>
        </w:rPr>
        <w:t> block saves its output at the current time step for use by the solver to compute its output at the next time step.</w:t>
      </w:r>
      <w:r w:rsidRPr="00372F69">
        <w:rPr>
          <w:rFonts w:ascii="Cambria Math" w:hAnsi="Cambria Math"/>
          <w:i/>
          <w:iCs/>
          <w:color w:val="212121"/>
          <w:sz w:val="20"/>
          <w:szCs w:val="20"/>
          <w:shd w:val="clear" w:color="auto" w:fill="FFFFFF"/>
        </w:rPr>
        <w:t>”</w:t>
      </w:r>
      <w:r w:rsidR="00493397">
        <w:rPr>
          <w:rFonts w:ascii="Cambria Math" w:hAnsi="Cambria Math"/>
          <w:i/>
          <w:iCs/>
          <w:color w:val="212121"/>
          <w:sz w:val="20"/>
          <w:szCs w:val="20"/>
          <w:shd w:val="clear" w:color="auto" w:fill="FFFFFF"/>
        </w:rPr>
        <w:t xml:space="preserve"> </w:t>
      </w:r>
      <w:r w:rsidR="00493397">
        <w:rPr>
          <w:rFonts w:ascii="Cambria Math" w:hAnsi="Cambria Math"/>
          <w:color w:val="212121"/>
          <w:sz w:val="20"/>
          <w:szCs w:val="20"/>
          <w:shd w:val="clear" w:color="auto" w:fill="FFFFFF"/>
        </w:rPr>
        <w:t>[1]</w:t>
      </w:r>
    </w:p>
    <w:p w14:paraId="1C5D389A" w14:textId="3F512FE8" w:rsidR="00372F69" w:rsidRDefault="00372F69" w:rsidP="006155A5">
      <w:pPr>
        <w:spacing w:line="240" w:lineRule="auto"/>
        <w:ind w:firstLine="720"/>
        <w:rPr>
          <w:rFonts w:ascii="Cambria Math" w:hAnsi="Cambria Math"/>
          <w:color w:val="212121"/>
          <w:sz w:val="20"/>
          <w:szCs w:val="20"/>
          <w:shd w:val="clear" w:color="auto" w:fill="FFFFFF"/>
        </w:rPr>
      </w:pPr>
    </w:p>
    <w:p w14:paraId="28A7BE76" w14:textId="23AC2545" w:rsidR="00372F69" w:rsidRDefault="00372F69" w:rsidP="006155A5">
      <w:pPr>
        <w:spacing w:line="240" w:lineRule="auto"/>
        <w:ind w:firstLine="720"/>
        <w:rPr>
          <w:rFonts w:ascii="Cambria Math" w:hAnsi="Cambria Math"/>
          <w:color w:val="212121"/>
          <w:sz w:val="20"/>
          <w:szCs w:val="20"/>
          <w:shd w:val="clear" w:color="auto" w:fill="FFFFFF"/>
        </w:rPr>
      </w:pPr>
      <w:r>
        <w:rPr>
          <w:rFonts w:ascii="Cambria Math" w:hAnsi="Cambria Math"/>
          <w:color w:val="212121"/>
          <w:sz w:val="20"/>
          <w:szCs w:val="20"/>
          <w:shd w:val="clear" w:color="auto" w:fill="FFFFFF"/>
        </w:rPr>
        <w:t>From the official documentation above, we can deduct that one of the locations for ODE solver been applied in the interval from the function block (which contains the dynamics) to the integrator blocks at least, since some of the integrator block’s inputs are computed by the dynamics of the system. But this is just a very general deduction, which needs to be proved furthermore.</w:t>
      </w:r>
    </w:p>
    <w:p w14:paraId="1E1E9A1E" w14:textId="170B2068" w:rsidR="00372F69" w:rsidRDefault="00372F69" w:rsidP="00372F69">
      <w:pPr>
        <w:spacing w:line="240" w:lineRule="auto"/>
        <w:rPr>
          <w:rFonts w:ascii="Cambria Math" w:hAnsi="Cambria Math"/>
          <w:color w:val="212121"/>
          <w:sz w:val="20"/>
          <w:szCs w:val="20"/>
          <w:shd w:val="clear" w:color="auto" w:fill="FFFFFF"/>
        </w:rPr>
      </w:pPr>
    </w:p>
    <w:p w14:paraId="20E6EF67" w14:textId="0DCB9598" w:rsidR="00372F69" w:rsidRDefault="00372F69" w:rsidP="00372F69">
      <w:pPr>
        <w:spacing w:line="240" w:lineRule="auto"/>
        <w:rPr>
          <w:rFonts w:ascii="Cambria Math" w:hAnsi="Cambria Math"/>
          <w:color w:val="212121"/>
          <w:sz w:val="20"/>
          <w:szCs w:val="20"/>
          <w:shd w:val="clear" w:color="auto" w:fill="FFFFFF"/>
        </w:rPr>
      </w:pPr>
      <w:r>
        <w:rPr>
          <w:rFonts w:ascii="Cambria Math" w:hAnsi="Cambria Math"/>
          <w:color w:val="212121"/>
          <w:sz w:val="20"/>
          <w:szCs w:val="20"/>
          <w:shd w:val="clear" w:color="auto" w:fill="FFFFFF"/>
        </w:rPr>
        <w:t>(2). From the specifications of ODE solvers</w:t>
      </w:r>
    </w:p>
    <w:p w14:paraId="5636AD14" w14:textId="2A538AC9" w:rsidR="00372F69" w:rsidRDefault="0073293D" w:rsidP="0073293D">
      <w:pPr>
        <w:spacing w:line="240" w:lineRule="auto"/>
        <w:ind w:firstLine="720"/>
        <w:rPr>
          <w:rFonts w:ascii="Cambria Math" w:hAnsi="Cambria Math"/>
          <w:sz w:val="20"/>
          <w:szCs w:val="20"/>
        </w:rPr>
      </w:pPr>
      <w:r>
        <w:rPr>
          <w:rFonts w:ascii="Cambria Math" w:hAnsi="Cambria Math"/>
          <w:sz w:val="20"/>
          <w:szCs w:val="20"/>
        </w:rPr>
        <w:t xml:space="preserve">Facially the concepts of “how the ODEs are solved?” and “different ODE solvers” are basically the same, </w:t>
      </w:r>
      <w:r w:rsidR="00D04D5E">
        <w:rPr>
          <w:rFonts w:ascii="Cambria Math" w:hAnsi="Cambria Math"/>
          <w:sz w:val="20"/>
          <w:szCs w:val="20"/>
        </w:rPr>
        <w:t>however, the first concept concerns more about a more general method in the big picture, using numerical integration and approximation is the key feature for Simulink to solve ODEs; ODE solvers focus more about the trade-off between simulation precision and computation cost.</w:t>
      </w:r>
    </w:p>
    <w:p w14:paraId="61FFF8FE" w14:textId="57466DFE" w:rsidR="00D04D5E" w:rsidRDefault="00D04D5E" w:rsidP="0073293D">
      <w:pPr>
        <w:spacing w:line="240" w:lineRule="auto"/>
        <w:ind w:firstLine="720"/>
        <w:rPr>
          <w:rFonts w:ascii="Cambria Math" w:hAnsi="Cambria Math"/>
          <w:sz w:val="20"/>
          <w:szCs w:val="20"/>
        </w:rPr>
      </w:pPr>
      <w:r>
        <w:rPr>
          <w:rFonts w:ascii="Cambria Math" w:hAnsi="Cambria Math"/>
          <w:sz w:val="20"/>
          <w:szCs w:val="20"/>
        </w:rPr>
        <w:t xml:space="preserve">There are plenty of examples that can prove ODE solvers have truly been used in </w:t>
      </w:r>
      <w:r>
        <w:rPr>
          <w:rFonts w:ascii="Cambria Math" w:hAnsi="Cambria Math"/>
          <w:sz w:val="20"/>
          <w:szCs w:val="20"/>
        </w:rPr>
        <w:lastRenderedPageBreak/>
        <w:t>simulation process even there are no ODEs inside, and using different ODE solvers can lead to slightly different results, which makes it hard to locate the specific section the solver has been used.</w:t>
      </w:r>
    </w:p>
    <w:p w14:paraId="43F68177" w14:textId="62D1840D" w:rsidR="00D04D5E" w:rsidRDefault="00D04D5E" w:rsidP="00D04D5E">
      <w:pPr>
        <w:spacing w:line="240" w:lineRule="auto"/>
        <w:rPr>
          <w:rFonts w:ascii="Cambria Math" w:hAnsi="Cambria Math"/>
          <w:sz w:val="20"/>
          <w:szCs w:val="20"/>
        </w:rPr>
      </w:pPr>
    </w:p>
    <w:p w14:paraId="7DEB2D01" w14:textId="793EFC61" w:rsidR="00D04D5E" w:rsidRDefault="00D04D5E" w:rsidP="00D04D5E">
      <w:pPr>
        <w:spacing w:line="240" w:lineRule="auto"/>
        <w:rPr>
          <w:rFonts w:ascii="Cambria Math" w:hAnsi="Cambria Math"/>
          <w:sz w:val="20"/>
          <w:szCs w:val="20"/>
        </w:rPr>
      </w:pPr>
      <w:r>
        <w:rPr>
          <w:rFonts w:ascii="Cambria Math" w:hAnsi="Cambria Math"/>
          <w:sz w:val="20"/>
          <w:szCs w:val="20"/>
        </w:rPr>
        <w:t>(3). From the execution order of Simulink model</w:t>
      </w:r>
    </w:p>
    <w:p w14:paraId="00651692" w14:textId="62499E2E" w:rsidR="00493397" w:rsidRDefault="00493397" w:rsidP="00493397">
      <w:pPr>
        <w:spacing w:line="240" w:lineRule="auto"/>
        <w:ind w:firstLine="720"/>
        <w:rPr>
          <w:rFonts w:ascii="Cambria Math" w:hAnsi="Cambria Math"/>
          <w:sz w:val="20"/>
          <w:szCs w:val="20"/>
        </w:rPr>
      </w:pPr>
      <w:r>
        <w:rPr>
          <w:rFonts w:ascii="Cambria Math" w:hAnsi="Cambria Math"/>
          <w:sz w:val="20"/>
          <w:szCs w:val="20"/>
        </w:rPr>
        <w:t xml:space="preserve">The subsequent example [2] comes from Zhihu, which is about analysis of how the ODE solver </w:t>
      </w:r>
      <w:r w:rsidR="009668FC">
        <w:rPr>
          <w:rFonts w:ascii="Cambria Math" w:hAnsi="Cambria Math"/>
          <w:sz w:val="20"/>
          <w:szCs w:val="20"/>
        </w:rPr>
        <w:t>works by observing the data flow.</w:t>
      </w:r>
    </w:p>
    <w:p w14:paraId="0925040B" w14:textId="3D5B47E2" w:rsidR="00D04D5E" w:rsidRDefault="00493397" w:rsidP="009668FC">
      <w:pPr>
        <w:spacing w:line="240" w:lineRule="auto"/>
        <w:jc w:val="center"/>
        <w:rPr>
          <w:rFonts w:ascii="Cambria Math" w:hAnsi="Cambria Math"/>
          <w:sz w:val="20"/>
          <w:szCs w:val="20"/>
        </w:rPr>
      </w:pPr>
      <w:r>
        <w:rPr>
          <w:noProof/>
        </w:rPr>
        <w:drawing>
          <wp:inline distT="0" distB="0" distL="0" distR="0" wp14:anchorId="5A943E02" wp14:editId="6348C1C8">
            <wp:extent cx="5274310" cy="1207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207135"/>
                    </a:xfrm>
                    <a:prstGeom prst="rect">
                      <a:avLst/>
                    </a:prstGeom>
                    <a:noFill/>
                    <a:ln>
                      <a:noFill/>
                    </a:ln>
                  </pic:spPr>
                </pic:pic>
              </a:graphicData>
            </a:graphic>
          </wp:inline>
        </w:drawing>
      </w:r>
    </w:p>
    <w:p w14:paraId="71E16EB5" w14:textId="4807C565" w:rsidR="00493397" w:rsidRDefault="009668FC" w:rsidP="009668FC">
      <w:pPr>
        <w:spacing w:line="240" w:lineRule="auto"/>
        <w:jc w:val="center"/>
        <w:rPr>
          <w:rFonts w:ascii="Cambria Math" w:hAnsi="Cambria Math"/>
          <w:sz w:val="20"/>
          <w:szCs w:val="20"/>
        </w:rPr>
      </w:pPr>
      <w:r w:rsidRPr="009668FC">
        <w:rPr>
          <w:rFonts w:ascii="Cambria Math" w:hAnsi="Cambria Math"/>
          <w:b/>
          <w:bCs/>
          <w:sz w:val="20"/>
          <w:szCs w:val="20"/>
        </w:rPr>
        <w:t xml:space="preserve">Fig. </w:t>
      </w:r>
      <w:r w:rsidR="00FA76E4">
        <w:rPr>
          <w:rFonts w:ascii="Cambria Math" w:hAnsi="Cambria Math"/>
          <w:b/>
          <w:bCs/>
          <w:sz w:val="20"/>
          <w:szCs w:val="20"/>
        </w:rPr>
        <w:t>2</w:t>
      </w:r>
      <w:r>
        <w:rPr>
          <w:rFonts w:ascii="Cambria Math" w:hAnsi="Cambria Math"/>
          <w:sz w:val="20"/>
          <w:szCs w:val="20"/>
        </w:rPr>
        <w:t xml:space="preserve"> The procedure to display the execution order of the Simulink model</w:t>
      </w:r>
    </w:p>
    <w:p w14:paraId="561B9A9E" w14:textId="7CF5EB12" w:rsidR="00493397" w:rsidRDefault="009668FC" w:rsidP="009668FC">
      <w:pPr>
        <w:spacing w:line="240" w:lineRule="auto"/>
        <w:jc w:val="center"/>
        <w:rPr>
          <w:rFonts w:ascii="Cambria Math" w:hAnsi="Cambria Math"/>
          <w:sz w:val="20"/>
          <w:szCs w:val="20"/>
        </w:rPr>
      </w:pPr>
      <w:r>
        <w:rPr>
          <w:noProof/>
        </w:rPr>
        <w:drawing>
          <wp:inline distT="0" distB="0" distL="0" distR="0" wp14:anchorId="62D4F6A9" wp14:editId="0306E0C6">
            <wp:extent cx="5274310" cy="3465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65195"/>
                    </a:xfrm>
                    <a:prstGeom prst="rect">
                      <a:avLst/>
                    </a:prstGeom>
                    <a:noFill/>
                    <a:ln>
                      <a:noFill/>
                    </a:ln>
                  </pic:spPr>
                </pic:pic>
              </a:graphicData>
            </a:graphic>
          </wp:inline>
        </w:drawing>
      </w:r>
    </w:p>
    <w:p w14:paraId="0147FB6B" w14:textId="62B41B44" w:rsidR="009668FC" w:rsidRPr="009668FC" w:rsidRDefault="009668FC" w:rsidP="009668FC">
      <w:pPr>
        <w:spacing w:line="240" w:lineRule="auto"/>
        <w:jc w:val="center"/>
        <w:rPr>
          <w:rFonts w:ascii="Cambria Math" w:hAnsi="Cambria Math"/>
          <w:sz w:val="20"/>
          <w:szCs w:val="20"/>
        </w:rPr>
      </w:pPr>
      <w:r w:rsidRPr="009668FC">
        <w:rPr>
          <w:rFonts w:ascii="Cambria Math" w:hAnsi="Cambria Math"/>
          <w:b/>
          <w:bCs/>
          <w:sz w:val="20"/>
          <w:szCs w:val="20"/>
        </w:rPr>
        <w:t xml:space="preserve">Fig. </w:t>
      </w:r>
      <w:r w:rsidR="00FA76E4">
        <w:rPr>
          <w:rFonts w:ascii="Cambria Math" w:hAnsi="Cambria Math"/>
          <w:b/>
          <w:bCs/>
          <w:sz w:val="20"/>
          <w:szCs w:val="20"/>
        </w:rPr>
        <w:t>3</w:t>
      </w:r>
      <w:r w:rsidRPr="009668FC">
        <w:rPr>
          <w:rFonts w:ascii="Cambria Math" w:hAnsi="Cambria Math"/>
          <w:sz w:val="20"/>
          <w:szCs w:val="20"/>
        </w:rPr>
        <w:t xml:space="preserve"> The data flow in the example Simulink model</w:t>
      </w:r>
    </w:p>
    <w:p w14:paraId="3074C382" w14:textId="0A7D2E51" w:rsidR="009668FC" w:rsidRDefault="009668FC" w:rsidP="00D04D5E">
      <w:pPr>
        <w:spacing w:line="240" w:lineRule="auto"/>
        <w:rPr>
          <w:rFonts w:ascii="Cambria Math" w:hAnsi="Cambria Math"/>
          <w:sz w:val="20"/>
          <w:szCs w:val="20"/>
        </w:rPr>
      </w:pPr>
    </w:p>
    <w:p w14:paraId="7F6695F7" w14:textId="439AA013" w:rsidR="009668FC" w:rsidRDefault="00D14417" w:rsidP="00922CE2">
      <w:pPr>
        <w:spacing w:line="240" w:lineRule="auto"/>
        <w:ind w:firstLine="720"/>
        <w:rPr>
          <w:rFonts w:ascii="Cambria Math" w:hAnsi="Cambria Math"/>
          <w:sz w:val="20"/>
          <w:szCs w:val="20"/>
        </w:rPr>
      </w:pPr>
      <w:r>
        <w:rPr>
          <w:rFonts w:ascii="Cambria Math" w:hAnsi="Cambria Math"/>
          <w:sz w:val="20"/>
          <w:szCs w:val="20"/>
        </w:rPr>
        <w:t>When we select the sorted execution order, we will find that all the Simulink blocks and links turn yellow, which means that the ODE solver has been used throughout the whole model. In Fig.2 we can see that the procedure was not strictly performed as what we thought, that is because some hidden blocks are inside</w:t>
      </w:r>
      <w:r w:rsidR="00922CE2">
        <w:rPr>
          <w:rFonts w:ascii="Cambria Math" w:hAnsi="Cambria Math"/>
          <w:sz w:val="20"/>
          <w:szCs w:val="20"/>
        </w:rPr>
        <w:t>. This example just indicates that the ODE solver does not act on a single block or section, instead it works for everywhere of the model.</w:t>
      </w:r>
    </w:p>
    <w:p w14:paraId="1DFBD238" w14:textId="60BC7599" w:rsidR="00922CE2" w:rsidRDefault="00922CE2" w:rsidP="00922CE2">
      <w:pPr>
        <w:spacing w:line="240" w:lineRule="auto"/>
        <w:rPr>
          <w:rFonts w:ascii="Cambria Math" w:hAnsi="Cambria Math"/>
          <w:sz w:val="20"/>
          <w:szCs w:val="20"/>
        </w:rPr>
      </w:pPr>
    </w:p>
    <w:p w14:paraId="38F864D2" w14:textId="590ED13A" w:rsidR="00922CE2" w:rsidRDefault="00981924" w:rsidP="00922CE2">
      <w:pPr>
        <w:pStyle w:val="ListParagraph"/>
        <w:numPr>
          <w:ilvl w:val="0"/>
          <w:numId w:val="2"/>
        </w:numPr>
        <w:spacing w:line="240" w:lineRule="auto"/>
        <w:rPr>
          <w:rFonts w:ascii="Cambria Math" w:hAnsi="Cambria Math"/>
          <w:sz w:val="20"/>
          <w:szCs w:val="20"/>
        </w:rPr>
      </w:pPr>
      <w:r>
        <w:rPr>
          <w:rFonts w:ascii="Cambria Math" w:hAnsi="Cambria Math"/>
          <w:sz w:val="20"/>
          <w:szCs w:val="20"/>
        </w:rPr>
        <w:t>Progress on SRA simulation</w:t>
      </w:r>
    </w:p>
    <w:p w14:paraId="4BE10805" w14:textId="31C91138" w:rsidR="00493397" w:rsidRPr="002A1155" w:rsidRDefault="003E1C37" w:rsidP="00D04D5E">
      <w:pPr>
        <w:pStyle w:val="ListParagraph"/>
        <w:numPr>
          <w:ilvl w:val="0"/>
          <w:numId w:val="3"/>
        </w:numPr>
        <w:spacing w:line="240" w:lineRule="auto"/>
        <w:rPr>
          <w:rFonts w:ascii="Cambria Math" w:hAnsi="Cambria Math"/>
          <w:sz w:val="20"/>
          <w:szCs w:val="20"/>
        </w:rPr>
      </w:pPr>
      <w:r>
        <w:rPr>
          <w:rFonts w:ascii="Cambria Math" w:hAnsi="Cambria Math"/>
          <w:sz w:val="20"/>
          <w:szCs w:val="20"/>
        </w:rPr>
        <w:t>The symbolic variables stored in struct cannot be directly substituted even in MATLAB, it could be one of the reasons that the Simulink model cannot run.</w:t>
      </w:r>
    </w:p>
    <w:p w14:paraId="4FAD0448" w14:textId="34E1A8CF" w:rsidR="002A1155" w:rsidRDefault="002A1155">
      <w:pPr>
        <w:widowControl/>
        <w:jc w:val="left"/>
        <w:rPr>
          <w:rFonts w:ascii="Cambria Math" w:hAnsi="Cambria Math"/>
          <w:sz w:val="20"/>
          <w:szCs w:val="20"/>
        </w:rPr>
      </w:pPr>
      <w:r>
        <w:rPr>
          <w:rFonts w:ascii="Cambria Math" w:hAnsi="Cambria Math"/>
          <w:sz w:val="20"/>
          <w:szCs w:val="20"/>
        </w:rPr>
        <w:br w:type="page"/>
      </w:r>
    </w:p>
    <w:p w14:paraId="2526FBE4" w14:textId="09A6663E" w:rsidR="00493397" w:rsidRPr="002A1155" w:rsidRDefault="00493397" w:rsidP="002A1155">
      <w:pPr>
        <w:pStyle w:val="Heading2"/>
        <w:rPr>
          <w:rFonts w:ascii="Cambria Math" w:hAnsi="Cambria Math"/>
          <w:b/>
          <w:bCs/>
          <w:sz w:val="20"/>
          <w:szCs w:val="20"/>
          <w:u w:val="single"/>
        </w:rPr>
      </w:pPr>
      <w:r w:rsidRPr="002A1155">
        <w:rPr>
          <w:rFonts w:ascii="Cambria Math" w:hAnsi="Cambria Math"/>
          <w:b/>
          <w:bCs/>
          <w:color w:val="auto"/>
          <w:sz w:val="20"/>
          <w:szCs w:val="20"/>
          <w:u w:val="single"/>
        </w:rPr>
        <w:lastRenderedPageBreak/>
        <w:t>Reference</w:t>
      </w:r>
    </w:p>
    <w:p w14:paraId="20AFB616" w14:textId="77777777" w:rsidR="00493397" w:rsidRPr="00493397" w:rsidRDefault="00493397" w:rsidP="00493397">
      <w:pPr>
        <w:pStyle w:val="NormalWeb"/>
        <w:ind w:left="567" w:hanging="567"/>
        <w:rPr>
          <w:rFonts w:ascii="Cambria Math" w:hAnsi="Cambria Math"/>
          <w:sz w:val="20"/>
          <w:szCs w:val="20"/>
        </w:rPr>
      </w:pPr>
      <w:r w:rsidRPr="00493397">
        <w:rPr>
          <w:rFonts w:ascii="Cambria Math" w:hAnsi="Cambria Math"/>
          <w:sz w:val="20"/>
          <w:szCs w:val="20"/>
        </w:rPr>
        <w:t xml:space="preserve">[1] </w:t>
      </w:r>
      <w:r w:rsidRPr="00493397">
        <w:rPr>
          <w:rFonts w:ascii="Cambria Math" w:hAnsi="Cambria Math"/>
          <w:i/>
          <w:iCs/>
          <w:sz w:val="20"/>
          <w:szCs w:val="20"/>
        </w:rPr>
        <w:t>Discrete-time integrator</w:t>
      </w:r>
      <w:r w:rsidRPr="00493397">
        <w:rPr>
          <w:rFonts w:ascii="Cambria Math" w:hAnsi="Cambria Math"/>
          <w:sz w:val="20"/>
          <w:szCs w:val="20"/>
        </w:rPr>
        <w:t xml:space="preserve"> (no date) </w:t>
      </w:r>
      <w:r w:rsidRPr="00493397">
        <w:rPr>
          <w:rFonts w:ascii="Cambria Math" w:hAnsi="Cambria Math"/>
          <w:i/>
          <w:iCs/>
          <w:sz w:val="20"/>
          <w:szCs w:val="20"/>
        </w:rPr>
        <w:t>Integrate signal - Simulink</w:t>
      </w:r>
      <w:r w:rsidRPr="00493397">
        <w:rPr>
          <w:rFonts w:ascii="Cambria Math" w:hAnsi="Cambria Math"/>
          <w:sz w:val="20"/>
          <w:szCs w:val="20"/>
        </w:rPr>
        <w:t xml:space="preserve">. Available at: https://www.mathworks.com/help/simulink/slref/integrator.html (Accessed: October 24, 2022). </w:t>
      </w:r>
    </w:p>
    <w:p w14:paraId="6FE98024" w14:textId="183D99DC" w:rsidR="00493397" w:rsidRPr="00493397" w:rsidRDefault="00493397" w:rsidP="00493397">
      <w:pPr>
        <w:pStyle w:val="NormalWeb"/>
        <w:ind w:left="567" w:hanging="567"/>
        <w:rPr>
          <w:rFonts w:ascii="Cambria Math" w:hAnsi="Cambria Math"/>
          <w:sz w:val="20"/>
          <w:szCs w:val="20"/>
        </w:rPr>
      </w:pPr>
      <w:r w:rsidRPr="00493397">
        <w:rPr>
          <w:rFonts w:ascii="Cambria Math" w:hAnsi="Cambria Math"/>
          <w:sz w:val="20"/>
          <w:szCs w:val="20"/>
        </w:rPr>
        <w:t xml:space="preserve">[2] </w:t>
      </w:r>
      <w:r w:rsidRPr="00493397">
        <w:rPr>
          <w:rFonts w:ascii="Cambria Math" w:hAnsi="Cambria Math"/>
          <w:i/>
          <w:iCs/>
          <w:sz w:val="20"/>
          <w:szCs w:val="20"/>
        </w:rPr>
        <w:t>How Simulink solver computes the model</w:t>
      </w:r>
      <w:r w:rsidRPr="00493397">
        <w:rPr>
          <w:rFonts w:ascii="Cambria Math" w:hAnsi="Cambria Math"/>
          <w:sz w:val="20"/>
          <w:szCs w:val="20"/>
        </w:rPr>
        <w:t xml:space="preserve">, </w:t>
      </w:r>
      <w:r w:rsidRPr="00493397">
        <w:rPr>
          <w:rFonts w:ascii="Cambria Math" w:hAnsi="Cambria Math"/>
          <w:i/>
          <w:iCs/>
          <w:sz w:val="20"/>
          <w:szCs w:val="20"/>
        </w:rPr>
        <w:t>Zhihu</w:t>
      </w:r>
      <w:r w:rsidRPr="00493397">
        <w:rPr>
          <w:rFonts w:ascii="Cambria Math" w:hAnsi="Cambria Math"/>
          <w:sz w:val="20"/>
          <w:szCs w:val="20"/>
        </w:rPr>
        <w:t xml:space="preserve">. Available at: https://zhuanlan.zhihu.com/p/550096542 (Accessed: October 24, 2022). </w:t>
      </w:r>
    </w:p>
    <w:sectPr w:rsidR="00493397" w:rsidRPr="00493397"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3A1B"/>
    <w:multiLevelType w:val="hybridMultilevel"/>
    <w:tmpl w:val="481CAE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76B179F"/>
    <w:multiLevelType w:val="hybridMultilevel"/>
    <w:tmpl w:val="B8226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61E0643"/>
    <w:multiLevelType w:val="hybridMultilevel"/>
    <w:tmpl w:val="0E8A05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C62550"/>
    <w:multiLevelType w:val="hybridMultilevel"/>
    <w:tmpl w:val="C68C77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840348">
    <w:abstractNumId w:val="2"/>
  </w:num>
  <w:num w:numId="2" w16cid:durableId="1250429883">
    <w:abstractNumId w:val="0"/>
  </w:num>
  <w:num w:numId="3" w16cid:durableId="652411645">
    <w:abstractNumId w:val="1"/>
  </w:num>
  <w:num w:numId="4" w16cid:durableId="902526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C4"/>
    <w:rsid w:val="000718E8"/>
    <w:rsid w:val="00132840"/>
    <w:rsid w:val="00161B1E"/>
    <w:rsid w:val="00247319"/>
    <w:rsid w:val="00275BDE"/>
    <w:rsid w:val="00277A5F"/>
    <w:rsid w:val="002A1155"/>
    <w:rsid w:val="00372F69"/>
    <w:rsid w:val="003E1C37"/>
    <w:rsid w:val="00493397"/>
    <w:rsid w:val="004B542C"/>
    <w:rsid w:val="004C06CE"/>
    <w:rsid w:val="005472C4"/>
    <w:rsid w:val="006155A5"/>
    <w:rsid w:val="006852C6"/>
    <w:rsid w:val="0072767A"/>
    <w:rsid w:val="0073293D"/>
    <w:rsid w:val="00761B74"/>
    <w:rsid w:val="009074B6"/>
    <w:rsid w:val="00922CE2"/>
    <w:rsid w:val="009668FC"/>
    <w:rsid w:val="00981924"/>
    <w:rsid w:val="009E63C2"/>
    <w:rsid w:val="009E6CE9"/>
    <w:rsid w:val="00A70158"/>
    <w:rsid w:val="00AB1870"/>
    <w:rsid w:val="00AE3584"/>
    <w:rsid w:val="00BC496E"/>
    <w:rsid w:val="00CF3193"/>
    <w:rsid w:val="00D04D5E"/>
    <w:rsid w:val="00D120B7"/>
    <w:rsid w:val="00D14417"/>
    <w:rsid w:val="00E818DC"/>
    <w:rsid w:val="00E971D6"/>
    <w:rsid w:val="00F066C4"/>
    <w:rsid w:val="00FA76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E6EFD"/>
  <w14:defaultImageDpi w14:val="32767"/>
  <w15:chartTrackingRefBased/>
  <w15:docId w15:val="{F7CA10EA-A25E-4FF4-A8E4-C3CF107C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81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193"/>
    <w:pPr>
      <w:ind w:left="720"/>
      <w:contextualSpacing/>
    </w:pPr>
  </w:style>
  <w:style w:type="character" w:styleId="PlaceholderText">
    <w:name w:val="Placeholder Text"/>
    <w:basedOn w:val="DefaultParagraphFont"/>
    <w:uiPriority w:val="99"/>
    <w:semiHidden/>
    <w:rsid w:val="00CF3193"/>
    <w:rPr>
      <w:color w:val="808080"/>
    </w:rPr>
  </w:style>
  <w:style w:type="character" w:customStyle="1" w:styleId="Heading1Char">
    <w:name w:val="Heading 1 Char"/>
    <w:basedOn w:val="DefaultParagraphFont"/>
    <w:link w:val="Heading1"/>
    <w:uiPriority w:val="9"/>
    <w:rsid w:val="00E81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818DC"/>
    <w:rPr>
      <w:rFonts w:asciiTheme="majorHAnsi" w:eastAsiaTheme="majorEastAsia" w:hAnsiTheme="majorHAnsi" w:cstheme="majorBidi"/>
      <w:color w:val="2F5496" w:themeColor="accent1" w:themeShade="BF"/>
      <w:sz w:val="26"/>
      <w:szCs w:val="26"/>
    </w:rPr>
  </w:style>
  <w:style w:type="character" w:customStyle="1" w:styleId="block">
    <w:name w:val="block"/>
    <w:basedOn w:val="DefaultParagraphFont"/>
    <w:rsid w:val="006155A5"/>
  </w:style>
  <w:style w:type="paragraph" w:styleId="NormalWeb">
    <w:name w:val="Normal (Web)"/>
    <w:basedOn w:val="Normal"/>
    <w:uiPriority w:val="99"/>
    <w:unhideWhenUsed/>
    <w:rsid w:val="00493397"/>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2706">
      <w:bodyDiv w:val="1"/>
      <w:marLeft w:val="0"/>
      <w:marRight w:val="0"/>
      <w:marTop w:val="0"/>
      <w:marBottom w:val="0"/>
      <w:divBdr>
        <w:top w:val="none" w:sz="0" w:space="0" w:color="auto"/>
        <w:left w:val="none" w:sz="0" w:space="0" w:color="auto"/>
        <w:bottom w:val="none" w:sz="0" w:space="0" w:color="auto"/>
        <w:right w:val="none" w:sz="0" w:space="0" w:color="auto"/>
      </w:divBdr>
    </w:div>
    <w:div w:id="118189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34</cp:revision>
  <dcterms:created xsi:type="dcterms:W3CDTF">2022-10-18T16:19:00Z</dcterms:created>
  <dcterms:modified xsi:type="dcterms:W3CDTF">2022-10-24T00:22:00Z</dcterms:modified>
</cp:coreProperties>
</file>