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AI-powered applications using Amazon Bedrock, AI agents, Retrieval-Augmented Generation (RAG), and cloud-native architectures.</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that automated incident investigations by collecting operational evidence and generating AI-powered incident summaries, remediation recommendations, rollback plans, and validation procedures.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Retrieval-Augmented Generation (RAG) pipeline using Python, FastAPI, AWS Bedrock, LangChain, ChromaDB, and Amazon Titan Embeddings to retrieve relevant resume knowledge for semantic search and AI-powered career workflows</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