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5119744"/>
        <w:docPartObj>
          <w:docPartGallery w:val="Cover Pages"/>
          <w:docPartUnique/>
        </w:docPartObj>
      </w:sdtPr>
      <w:sdtEndPr>
        <w:rPr>
          <w:rFonts w:ascii="Book Antiqua" w:hAnsi="Book Antiqua"/>
          <w:b/>
          <w:sz w:val="28"/>
          <w:szCs w:val="28"/>
        </w:rPr>
      </w:sdtEndPr>
      <w:sdtContent>
        <w:p w14:paraId="78AD05AF" w14:textId="77777777" w:rsidR="00AC72C9" w:rsidRDefault="00AC72C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AC72C9" w14:paraId="00481E9E" w14:textId="77777777">
            <w:sdt>
              <w:sdtPr>
                <w:rPr>
                  <w:rFonts w:ascii="Georgia" w:hAnsi="Georgia"/>
                  <w:sz w:val="24"/>
                  <w:szCs w:val="24"/>
                </w:rPr>
                <w:alias w:val="Company"/>
                <w:id w:val="13406915"/>
                <w:placeholder>
                  <w:docPart w:val="2EFB3C2D518C483990DFCD26A12DE0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BFFC8B" w14:textId="77777777" w:rsidR="00AC72C9" w:rsidRPr="00AC72C9" w:rsidRDefault="00AC72C9">
                    <w:pPr>
                      <w:pStyle w:val="NoSpacing"/>
                      <w:rPr>
                        <w:rFonts w:ascii="Georgia" w:hAnsi="Georgia"/>
                        <w:sz w:val="24"/>
                      </w:rPr>
                    </w:pPr>
                    <w:r w:rsidRPr="00AC72C9">
                      <w:rPr>
                        <w:rFonts w:ascii="Georgia" w:hAnsi="Georgia"/>
                        <w:sz w:val="24"/>
                        <w:szCs w:val="24"/>
                      </w:rPr>
                      <w:t>California Lutheran University</w:t>
                    </w:r>
                  </w:p>
                </w:tc>
              </w:sdtContent>
            </w:sdt>
          </w:tr>
          <w:tr w:rsidR="00AC72C9" w14:paraId="3400CCDB" w14:textId="77777777">
            <w:tc>
              <w:tcPr>
                <w:tcW w:w="7672" w:type="dxa"/>
              </w:tcPr>
              <w:bookmarkStart w:id="0" w:name="_Hlk186454267" w:displacedByCustomXml="next"/>
              <w:sdt>
                <w:sdtPr>
                  <w:rPr>
                    <w:rFonts w:ascii="Georgia" w:eastAsiaTheme="majorEastAsia" w:hAnsi="Georgia" w:cstheme="majorBidi"/>
                    <w:sz w:val="64"/>
                    <w:szCs w:val="64"/>
                  </w:rPr>
                  <w:alias w:val="Title"/>
                  <w:id w:val="13406919"/>
                  <w:placeholder>
                    <w:docPart w:val="7BBF96D588034F7C9B5B1384BF7687E8"/>
                  </w:placeholder>
                  <w:dataBinding w:prefixMappings="xmlns:ns0='http://schemas.openxmlformats.org/package/2006/metadata/core-properties' xmlns:ns1='http://purl.org/dc/elements/1.1/'" w:xpath="/ns0:coreProperties[1]/ns1:title[1]" w:storeItemID="{6C3C8BC8-F283-45AE-878A-BAB7291924A1}"/>
                  <w:text/>
                </w:sdtPr>
                <w:sdtEndPr/>
                <w:sdtContent>
                  <w:bookmarkStart w:id="1" w:name="_Hlk203126544" w:displacedByCustomXml="prev"/>
                  <w:p w14:paraId="69CB36C3" w14:textId="00FA3808" w:rsidR="00AC72C9" w:rsidRPr="00AC72C9" w:rsidRDefault="001A18F8">
                    <w:pPr>
                      <w:pStyle w:val="NoSpacing"/>
                      <w:spacing w:line="216" w:lineRule="auto"/>
                      <w:rPr>
                        <w:rFonts w:ascii="Georgia" w:eastAsiaTheme="majorEastAsia" w:hAnsi="Georgia" w:cstheme="majorBidi"/>
                        <w:sz w:val="64"/>
                        <w:szCs w:val="64"/>
                      </w:rPr>
                    </w:pPr>
                    <w:r>
                      <w:rPr>
                        <w:rFonts w:ascii="Georgia" w:eastAsiaTheme="majorEastAsia" w:hAnsi="Georgia" w:cstheme="majorBidi"/>
                        <w:sz w:val="64"/>
                        <w:szCs w:val="64"/>
                      </w:rPr>
                      <w:t xml:space="preserve">Assessing the Federal Funds </w:t>
                    </w:r>
                    <w:r w:rsidR="003E2848">
                      <w:rPr>
                        <w:rFonts w:ascii="Georgia" w:eastAsiaTheme="majorEastAsia" w:hAnsi="Georgia" w:cstheme="majorBidi"/>
                        <w:sz w:val="64"/>
                        <w:szCs w:val="64"/>
                      </w:rPr>
                      <w:t xml:space="preserve">Rate </w:t>
                    </w:r>
                    <w:r>
                      <w:rPr>
                        <w:rFonts w:ascii="Georgia" w:eastAsiaTheme="majorEastAsia" w:hAnsi="Georgia" w:cstheme="majorBidi"/>
                        <w:sz w:val="64"/>
                        <w:szCs w:val="64"/>
                      </w:rPr>
                      <w:t>Target</w:t>
                    </w:r>
                  </w:p>
                </w:sdtContent>
              </w:sdt>
              <w:bookmarkEnd w:id="1" w:displacedByCustomXml="prev"/>
              <w:bookmarkEnd w:id="0" w:displacedByCustomXml="prev"/>
            </w:tc>
          </w:tr>
          <w:tr w:rsidR="00AC72C9" w14:paraId="5E35298C" w14:textId="77777777">
            <w:tc>
              <w:tcPr>
                <w:tcW w:w="7672" w:type="dxa"/>
                <w:tcMar>
                  <w:top w:w="216" w:type="dxa"/>
                  <w:left w:w="115" w:type="dxa"/>
                  <w:bottom w:w="216" w:type="dxa"/>
                  <w:right w:w="115" w:type="dxa"/>
                </w:tcMar>
              </w:tcPr>
              <w:p w14:paraId="62967AA0" w14:textId="29586EAF" w:rsidR="00AC72C9" w:rsidRDefault="005F45A4">
                <w:pPr>
                  <w:pStyle w:val="NoSpacing"/>
                  <w:rPr>
                    <w:rFonts w:ascii="Georgia" w:hAnsi="Georgia"/>
                    <w:sz w:val="24"/>
                  </w:rPr>
                </w:pPr>
                <w:r>
                  <w:rPr>
                    <w:rFonts w:ascii="Georgia" w:hAnsi="Georgia"/>
                    <w:sz w:val="24"/>
                  </w:rPr>
                  <w:t>ECON 5</w:t>
                </w:r>
                <w:r w:rsidR="001A18F8">
                  <w:rPr>
                    <w:rFonts w:ascii="Georgia" w:hAnsi="Georgia"/>
                    <w:sz w:val="24"/>
                  </w:rPr>
                  <w:t>31</w:t>
                </w:r>
                <w:r>
                  <w:rPr>
                    <w:rFonts w:ascii="Georgia" w:hAnsi="Georgia"/>
                    <w:sz w:val="24"/>
                  </w:rPr>
                  <w:t xml:space="preserve">: </w:t>
                </w:r>
                <w:r w:rsidR="001A18F8">
                  <w:rPr>
                    <w:rFonts w:ascii="Georgia" w:hAnsi="Georgia"/>
                    <w:sz w:val="24"/>
                  </w:rPr>
                  <w:t>Macroeconomic Theory 2</w:t>
                </w:r>
              </w:p>
              <w:p w14:paraId="490F0937" w14:textId="64B760D1" w:rsidR="005F45A4" w:rsidRDefault="00167D6F">
                <w:pPr>
                  <w:pStyle w:val="NoSpacing"/>
                  <w:rPr>
                    <w:rFonts w:ascii="Georgia" w:hAnsi="Georgia"/>
                    <w:sz w:val="24"/>
                  </w:rPr>
                </w:pPr>
                <w:r>
                  <w:rPr>
                    <w:rFonts w:ascii="Georgia" w:hAnsi="Georgia"/>
                    <w:sz w:val="24"/>
                  </w:rPr>
                  <w:t>Matthew Fienup</w:t>
                </w:r>
              </w:p>
              <w:p w14:paraId="1DBFB2A5" w14:textId="439E896E" w:rsidR="005F45A4" w:rsidRPr="00AC72C9" w:rsidRDefault="009B4379">
                <w:pPr>
                  <w:pStyle w:val="NoSpacing"/>
                  <w:rPr>
                    <w:rFonts w:ascii="Georgia" w:hAnsi="Georgia"/>
                    <w:sz w:val="24"/>
                  </w:rPr>
                </w:pPr>
                <w:r>
                  <w:rPr>
                    <w:rFonts w:ascii="Georgia" w:hAnsi="Georgia"/>
                    <w:sz w:val="24"/>
                  </w:rPr>
                  <w:t>Summer</w:t>
                </w:r>
                <w:r w:rsidR="005F45A4">
                  <w:rPr>
                    <w:rFonts w:ascii="Georgia" w:hAnsi="Georgia"/>
                    <w:sz w:val="24"/>
                  </w:rPr>
                  <w:t xml:space="preserve"> 20</w:t>
                </w:r>
                <w:r w:rsidR="00C65696">
                  <w:rPr>
                    <w:rFonts w:ascii="Georgia" w:hAnsi="Georgia"/>
                    <w:sz w:val="24"/>
                  </w:rPr>
                  <w:t>25</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AC72C9" w14:paraId="55041159" w14:textId="77777777">
            <w:tc>
              <w:tcPr>
                <w:tcW w:w="7221" w:type="dxa"/>
                <w:tcMar>
                  <w:top w:w="216" w:type="dxa"/>
                  <w:left w:w="115" w:type="dxa"/>
                  <w:bottom w:w="216" w:type="dxa"/>
                  <w:right w:w="115" w:type="dxa"/>
                </w:tcMar>
              </w:tcPr>
              <w:sdt>
                <w:sdtPr>
                  <w:rPr>
                    <w:rFonts w:ascii="Georgia" w:hAnsi="Georgia"/>
                    <w:sz w:val="28"/>
                    <w:szCs w:val="28"/>
                  </w:rPr>
                  <w:alias w:val="Author"/>
                  <w:id w:val="13406928"/>
                  <w:placeholder>
                    <w:docPart w:val="128995AA6C8E4C00AC5C506E3CB7A8C6"/>
                  </w:placeholder>
                  <w:dataBinding w:prefixMappings="xmlns:ns0='http://schemas.openxmlformats.org/package/2006/metadata/core-properties' xmlns:ns1='http://purl.org/dc/elements/1.1/'" w:xpath="/ns0:coreProperties[1]/ns1:creator[1]" w:storeItemID="{6C3C8BC8-F283-45AE-878A-BAB7291924A1}"/>
                  <w:text/>
                </w:sdtPr>
                <w:sdtEndPr/>
                <w:sdtContent>
                  <w:p w14:paraId="3887D63F" w14:textId="246475D0" w:rsidR="00AC72C9" w:rsidRPr="00AC72C9" w:rsidRDefault="008D6C72">
                    <w:pPr>
                      <w:pStyle w:val="NoSpacing"/>
                      <w:rPr>
                        <w:rFonts w:ascii="Georgia" w:hAnsi="Georgia"/>
                        <w:sz w:val="28"/>
                        <w:szCs w:val="28"/>
                      </w:rPr>
                    </w:pPr>
                    <w:r>
                      <w:rPr>
                        <w:rFonts w:ascii="Georgia" w:hAnsi="Georgia"/>
                        <w:sz w:val="28"/>
                        <w:szCs w:val="28"/>
                      </w:rPr>
                      <w:t>Shaun Levenson</w:t>
                    </w:r>
                  </w:p>
                </w:sdtContent>
              </w:sdt>
              <w:sdt>
                <w:sdtPr>
                  <w:rPr>
                    <w:rFonts w:ascii="Georgia" w:hAnsi="Georgia"/>
                    <w:sz w:val="28"/>
                    <w:szCs w:val="28"/>
                  </w:rPr>
                  <w:alias w:val="Date"/>
                  <w:tag w:val="Date"/>
                  <w:id w:val="13406932"/>
                  <w:placeholder>
                    <w:docPart w:val="2DBA519A5C50494AB7231190AE524EEB"/>
                  </w:placeholder>
                  <w:dataBinding w:prefixMappings="xmlns:ns0='http://schemas.microsoft.com/office/2006/coverPageProps'" w:xpath="/ns0:CoverPageProperties[1]/ns0:PublishDate[1]" w:storeItemID="{55AF091B-3C7A-41E3-B477-F2FDAA23CFDA}"/>
                  <w:date w:fullDate="2025-08-15T00:00:00Z">
                    <w:dateFormat w:val="M-d-yyyy"/>
                    <w:lid w:val="en-US"/>
                    <w:storeMappedDataAs w:val="dateTime"/>
                    <w:calendar w:val="gregorian"/>
                  </w:date>
                </w:sdtPr>
                <w:sdtEndPr/>
                <w:sdtContent>
                  <w:p w14:paraId="16D719C3" w14:textId="32629F18" w:rsidR="005F45A4" w:rsidRPr="005F45A4" w:rsidRDefault="001A18F8">
                    <w:pPr>
                      <w:pStyle w:val="NoSpacing"/>
                      <w:rPr>
                        <w:sz w:val="28"/>
                        <w:szCs w:val="28"/>
                      </w:rPr>
                    </w:pPr>
                    <w:r>
                      <w:rPr>
                        <w:rFonts w:ascii="Georgia" w:hAnsi="Georgia"/>
                        <w:sz w:val="28"/>
                        <w:szCs w:val="28"/>
                      </w:rPr>
                      <w:t>8</w:t>
                    </w:r>
                    <w:r w:rsidR="009B4379">
                      <w:rPr>
                        <w:rFonts w:ascii="Georgia" w:hAnsi="Georgia"/>
                        <w:sz w:val="28"/>
                        <w:szCs w:val="28"/>
                      </w:rPr>
                      <w:t>-</w:t>
                    </w:r>
                    <w:r w:rsidR="00167D6F">
                      <w:rPr>
                        <w:rFonts w:ascii="Georgia" w:hAnsi="Georgia"/>
                        <w:sz w:val="28"/>
                        <w:szCs w:val="28"/>
                      </w:rPr>
                      <w:t>1</w:t>
                    </w:r>
                    <w:r>
                      <w:rPr>
                        <w:rFonts w:ascii="Georgia" w:hAnsi="Georgia"/>
                        <w:sz w:val="28"/>
                        <w:szCs w:val="28"/>
                      </w:rPr>
                      <w:t>5</w:t>
                    </w:r>
                    <w:r w:rsidR="00675E7E">
                      <w:rPr>
                        <w:rFonts w:ascii="Georgia" w:hAnsi="Georgia"/>
                        <w:sz w:val="28"/>
                        <w:szCs w:val="28"/>
                      </w:rPr>
                      <w:t>-2025</w:t>
                    </w:r>
                  </w:p>
                </w:sdtContent>
              </w:sdt>
            </w:tc>
          </w:tr>
        </w:tbl>
        <w:p w14:paraId="577C3611" w14:textId="77777777" w:rsidR="00167D6F" w:rsidRDefault="00AC72C9">
          <w:pPr>
            <w:rPr>
              <w:rFonts w:ascii="Book Antiqua" w:hAnsi="Book Antiqua"/>
              <w:b/>
              <w:sz w:val="28"/>
              <w:szCs w:val="28"/>
            </w:rPr>
          </w:pPr>
          <w:r>
            <w:rPr>
              <w:rFonts w:ascii="Book Antiqua" w:hAnsi="Book Antiqua"/>
              <w:b/>
              <w:sz w:val="28"/>
              <w:szCs w:val="28"/>
            </w:rPr>
            <w:br w:type="page"/>
          </w:r>
        </w:p>
      </w:sdtContent>
    </w:sdt>
    <w:p w14:paraId="333B05AC" w14:textId="77777777" w:rsidR="001A18F8" w:rsidRDefault="001A18F8" w:rsidP="001A18F8">
      <w:pPr>
        <w:spacing w:line="324" w:lineRule="auto"/>
        <w:jc w:val="center"/>
        <w:rPr>
          <w:rFonts w:ascii="Book Antiqua" w:hAnsi="Book Antiqua"/>
          <w:b/>
          <w:sz w:val="24"/>
          <w:szCs w:val="24"/>
        </w:rPr>
      </w:pPr>
      <w:r w:rsidRPr="001A18F8">
        <w:rPr>
          <w:rFonts w:ascii="Book Antiqua" w:hAnsi="Book Antiqua"/>
          <w:b/>
          <w:sz w:val="24"/>
          <w:szCs w:val="24"/>
        </w:rPr>
        <w:lastRenderedPageBreak/>
        <w:t>Assessing the Federal Funds Target Rate</w:t>
      </w:r>
    </w:p>
    <w:p w14:paraId="3BF18532" w14:textId="140F8A58" w:rsidR="00167D6F" w:rsidRDefault="00167D6F" w:rsidP="001A18F8">
      <w:pPr>
        <w:spacing w:line="324" w:lineRule="auto"/>
        <w:rPr>
          <w:rFonts w:ascii="Book Antiqua" w:hAnsi="Book Antiqua"/>
          <w:b/>
          <w:sz w:val="24"/>
          <w:szCs w:val="24"/>
        </w:rPr>
      </w:pPr>
      <w:r>
        <w:rPr>
          <w:rFonts w:ascii="Book Antiqua" w:hAnsi="Book Antiqua"/>
          <w:b/>
          <w:sz w:val="24"/>
          <w:szCs w:val="24"/>
        </w:rPr>
        <w:t>Introduction</w:t>
      </w:r>
    </w:p>
    <w:p w14:paraId="6EB8EDFA" w14:textId="37C3F594" w:rsidR="00E812B5" w:rsidRDefault="00E812B5" w:rsidP="001A18F8">
      <w:pPr>
        <w:spacing w:line="324" w:lineRule="auto"/>
        <w:rPr>
          <w:rFonts w:ascii="Book Antiqua" w:hAnsi="Book Antiqua"/>
          <w:bCs/>
          <w:sz w:val="24"/>
          <w:szCs w:val="24"/>
        </w:rPr>
      </w:pPr>
      <w:r>
        <w:rPr>
          <w:rFonts w:ascii="Book Antiqua" w:hAnsi="Book Antiqua"/>
          <w:b/>
          <w:sz w:val="24"/>
          <w:szCs w:val="24"/>
        </w:rPr>
        <w:tab/>
      </w:r>
      <w:r>
        <w:rPr>
          <w:rFonts w:ascii="Book Antiqua" w:hAnsi="Book Antiqua"/>
          <w:bCs/>
          <w:sz w:val="24"/>
          <w:szCs w:val="24"/>
        </w:rPr>
        <w:t>In 2025, the US Federal Funds Rate Target remains at the center of economic debate.  Following one of the most rapid tightening cycles in decades, the federal funds rate is sitting around 4.33%, even as inflation has declined from its peak in 2022 at over 9%</w:t>
      </w:r>
      <w:r w:rsidR="00133F90">
        <w:rPr>
          <w:rFonts w:ascii="Book Antiqua" w:hAnsi="Book Antiqua"/>
          <w:bCs/>
          <w:sz w:val="24"/>
          <w:szCs w:val="24"/>
        </w:rPr>
        <w:t xml:space="preserve"> headline CPI</w:t>
      </w:r>
      <w:r w:rsidR="00FD5CD4">
        <w:rPr>
          <w:rFonts w:ascii="Book Antiqua" w:hAnsi="Book Antiqua"/>
          <w:bCs/>
          <w:sz w:val="24"/>
          <w:szCs w:val="24"/>
        </w:rPr>
        <w:t xml:space="preserve"> or 7.25% headline PCE</w:t>
      </w:r>
      <w:r>
        <w:rPr>
          <w:rFonts w:ascii="Book Antiqua" w:hAnsi="Book Antiqua"/>
          <w:bCs/>
          <w:sz w:val="24"/>
          <w:szCs w:val="24"/>
        </w:rPr>
        <w:t>.  The goal of this policy report is to assess whether the current federal funds rate is too restrictive, too loose, or just right.  To do so, we will be looking into the current economic climate, explore professional perspectives on the causes of the peak inflation rate</w:t>
      </w:r>
      <w:r w:rsidR="0086628E">
        <w:rPr>
          <w:rFonts w:ascii="Book Antiqua" w:hAnsi="Book Antiqua"/>
          <w:bCs/>
          <w:sz w:val="24"/>
          <w:szCs w:val="24"/>
        </w:rPr>
        <w:t xml:space="preserve"> </w:t>
      </w:r>
      <w:r>
        <w:rPr>
          <w:rFonts w:ascii="Book Antiqua" w:hAnsi="Book Antiqua"/>
          <w:bCs/>
          <w:sz w:val="24"/>
          <w:szCs w:val="24"/>
        </w:rPr>
        <w:t>and then competing arguments for and against</w:t>
      </w:r>
      <w:r w:rsidR="00AF56EF">
        <w:rPr>
          <w:rFonts w:ascii="Book Antiqua" w:hAnsi="Book Antiqua"/>
          <w:bCs/>
          <w:sz w:val="24"/>
          <w:szCs w:val="24"/>
        </w:rPr>
        <w:t xml:space="preserve"> lowering the interest rate target</w:t>
      </w:r>
      <w:r w:rsidR="0086628E">
        <w:rPr>
          <w:rFonts w:ascii="Book Antiqua" w:hAnsi="Book Antiqua"/>
          <w:bCs/>
          <w:sz w:val="24"/>
          <w:szCs w:val="24"/>
        </w:rPr>
        <w:t xml:space="preserve">, then I will base my opinion on theory and </w:t>
      </w:r>
      <w:proofErr w:type="gramStart"/>
      <w:r w:rsidR="0086628E">
        <w:rPr>
          <w:rFonts w:ascii="Book Antiqua" w:hAnsi="Book Antiqua"/>
          <w:bCs/>
          <w:sz w:val="24"/>
          <w:szCs w:val="24"/>
        </w:rPr>
        <w:t>rules based</w:t>
      </w:r>
      <w:proofErr w:type="gramEnd"/>
      <w:r w:rsidR="0086628E">
        <w:rPr>
          <w:rFonts w:ascii="Book Antiqua" w:hAnsi="Book Antiqua"/>
          <w:bCs/>
          <w:sz w:val="24"/>
          <w:szCs w:val="24"/>
        </w:rPr>
        <w:t xml:space="preserve"> policy.</w:t>
      </w:r>
    </w:p>
    <w:p w14:paraId="15ECE51D" w14:textId="64F0A21F" w:rsidR="00AF56EF" w:rsidRDefault="00AF56EF" w:rsidP="001A18F8">
      <w:pPr>
        <w:spacing w:line="324" w:lineRule="auto"/>
        <w:rPr>
          <w:rFonts w:ascii="Book Antiqua" w:hAnsi="Book Antiqua"/>
          <w:bCs/>
          <w:sz w:val="24"/>
          <w:szCs w:val="24"/>
        </w:rPr>
      </w:pPr>
    </w:p>
    <w:p w14:paraId="3A33E63B" w14:textId="77777777" w:rsidR="002F5B2F" w:rsidRDefault="002F5B2F" w:rsidP="002F5B2F">
      <w:pPr>
        <w:spacing w:line="324" w:lineRule="auto"/>
        <w:rPr>
          <w:rFonts w:ascii="Book Antiqua" w:hAnsi="Book Antiqua"/>
          <w:b/>
          <w:sz w:val="24"/>
          <w:szCs w:val="24"/>
        </w:rPr>
      </w:pPr>
      <w:r>
        <w:rPr>
          <w:rFonts w:ascii="Book Antiqua" w:hAnsi="Book Antiqua"/>
          <w:b/>
          <w:sz w:val="24"/>
          <w:szCs w:val="24"/>
        </w:rPr>
        <w:t>Motivation</w:t>
      </w:r>
    </w:p>
    <w:p w14:paraId="72D1C656" w14:textId="39763C4B" w:rsidR="002F5B2F" w:rsidRDefault="002F5B2F" w:rsidP="001A18F8">
      <w:pPr>
        <w:spacing w:line="324" w:lineRule="auto"/>
        <w:rPr>
          <w:rFonts w:ascii="Book Antiqua" w:hAnsi="Book Antiqua"/>
          <w:b/>
          <w:sz w:val="24"/>
          <w:szCs w:val="24"/>
        </w:rPr>
      </w:pPr>
      <w:r>
        <w:rPr>
          <w:rFonts w:ascii="Book Antiqua" w:hAnsi="Book Antiqua"/>
          <w:b/>
          <w:sz w:val="24"/>
          <w:szCs w:val="24"/>
        </w:rPr>
        <w:tab/>
      </w:r>
      <w:r w:rsidRPr="006E5596">
        <w:rPr>
          <w:rFonts w:ascii="Book Antiqua" w:hAnsi="Book Antiqua"/>
          <w:bCs/>
          <w:sz w:val="24"/>
          <w:szCs w:val="24"/>
        </w:rPr>
        <w:t>The federal funds rate matters because it reaches far beyond banks and Wall Street—it shapes the cost of borrowing for just about everyone. A change in this rate can nudge up or pull down the interest on mortgages, car loans, credit cards, and even the modest yield on a savings account. In doing so, it influences whether people decide to spend freely, tighten their belts, or stash money away, and whether businesses push ahead with new projects or hold back. It’s one of the Fed’s most direct levers for steering the broader economy.</w:t>
      </w:r>
      <w:r>
        <w:rPr>
          <w:rFonts w:ascii="Book Antiqua" w:hAnsi="Book Antiqua"/>
          <w:bCs/>
          <w:sz w:val="24"/>
          <w:szCs w:val="24"/>
        </w:rPr>
        <w:t xml:space="preserve">  </w:t>
      </w:r>
      <w:r w:rsidRPr="006E5596">
        <w:rPr>
          <w:rFonts w:ascii="Book Antiqua" w:hAnsi="Book Antiqua"/>
          <w:bCs/>
          <w:sz w:val="24"/>
          <w:szCs w:val="24"/>
        </w:rPr>
        <w:t>When the Fed cuts rates, borrowing suddenly looks more attractive. Families are more likely to buy homes or cars, and companies may take on new investments they’d otherwise skip. This extra activity fuels demand, supports hiring, and pushes inflation toward the Fed’s goal—just what’s needed in a slump. Raising rates works in reverse: it makes credit more expensive, cools spending, and reins in inflation before it runs too hot. The tricky part is timing. Monetary policy doesn’t snap into place overnight; it seeps into the economy over months, sometimes years. That means the Fed is always aiming at a moving target, acting on where it believes the economy is headed rather than simply reacting to the moment.</w:t>
      </w:r>
      <w:r w:rsidR="00443820">
        <w:rPr>
          <w:rFonts w:ascii="Book Antiqua" w:hAnsi="Book Antiqua"/>
          <w:bCs/>
          <w:sz w:val="24"/>
          <w:szCs w:val="24"/>
        </w:rPr>
        <w:t xml:space="preserve"> </w:t>
      </w:r>
      <w:r w:rsidR="00443820" w:rsidRPr="00443820">
        <w:rPr>
          <w:rFonts w:ascii="Book Antiqua" w:hAnsi="Book Antiqua"/>
          <w:bCs/>
          <w:sz w:val="24"/>
          <w:szCs w:val="24"/>
        </w:rPr>
        <w:t>Right now, with inflation stubbornly high and the Fed raising rates to cool things down, the federal funds rate has become a key factor shaping how people and businesses navigate the challenges ahead.</w:t>
      </w:r>
    </w:p>
    <w:p w14:paraId="06A78761" w14:textId="77777777" w:rsidR="002F5B2F" w:rsidRDefault="002F5B2F" w:rsidP="001A18F8">
      <w:pPr>
        <w:spacing w:line="324" w:lineRule="auto"/>
        <w:rPr>
          <w:rFonts w:ascii="Book Antiqua" w:hAnsi="Book Antiqua"/>
          <w:b/>
          <w:sz w:val="24"/>
          <w:szCs w:val="24"/>
        </w:rPr>
      </w:pPr>
    </w:p>
    <w:p w14:paraId="3BDD0E99" w14:textId="74B2B3C5" w:rsidR="00AF56EF" w:rsidRDefault="00AF56EF" w:rsidP="001A18F8">
      <w:pPr>
        <w:spacing w:line="324" w:lineRule="auto"/>
        <w:rPr>
          <w:rFonts w:ascii="Book Antiqua" w:hAnsi="Book Antiqua"/>
          <w:b/>
          <w:sz w:val="24"/>
          <w:szCs w:val="24"/>
        </w:rPr>
      </w:pPr>
      <w:r>
        <w:rPr>
          <w:rFonts w:ascii="Book Antiqua" w:hAnsi="Book Antiqua"/>
          <w:b/>
          <w:sz w:val="24"/>
          <w:szCs w:val="24"/>
        </w:rPr>
        <w:lastRenderedPageBreak/>
        <w:t>Economic Climate</w:t>
      </w:r>
    </w:p>
    <w:p w14:paraId="6FEC8C5D" w14:textId="1A40778B" w:rsidR="00023ABB" w:rsidRDefault="00B90EA6" w:rsidP="00B33CA3">
      <w:pPr>
        <w:spacing w:line="324" w:lineRule="auto"/>
        <w:rPr>
          <w:rFonts w:ascii="Book Antiqua" w:hAnsi="Book Antiqua"/>
          <w:bCs/>
          <w:sz w:val="24"/>
          <w:szCs w:val="24"/>
        </w:rPr>
      </w:pPr>
      <w:r>
        <w:rPr>
          <w:rFonts w:ascii="Book Antiqua" w:hAnsi="Book Antiqua"/>
          <w:bCs/>
          <w:noProof/>
          <w:sz w:val="24"/>
          <w:szCs w:val="24"/>
        </w:rPr>
        <w:drawing>
          <wp:anchor distT="0" distB="0" distL="114300" distR="114300" simplePos="0" relativeHeight="251658240" behindDoc="1" locked="0" layoutInCell="1" allowOverlap="1" wp14:anchorId="5A13EEA0" wp14:editId="57CFA2D2">
            <wp:simplePos x="0" y="0"/>
            <wp:positionH relativeFrom="margin">
              <wp:align>right</wp:align>
            </wp:positionH>
            <wp:positionV relativeFrom="paragraph">
              <wp:posOffset>2534569</wp:posOffset>
            </wp:positionV>
            <wp:extent cx="4416552" cy="3209544"/>
            <wp:effectExtent l="0" t="0" r="3175" b="0"/>
            <wp:wrapTight wrapText="bothSides">
              <wp:wrapPolygon edited="0">
                <wp:start x="0" y="0"/>
                <wp:lineTo x="0" y="21412"/>
                <wp:lineTo x="21522" y="21412"/>
                <wp:lineTo x="21522" y="0"/>
                <wp:lineTo x="0" y="0"/>
              </wp:wrapPolygon>
            </wp:wrapTight>
            <wp:docPr id="41724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6552" cy="3209544"/>
                    </a:xfrm>
                    <a:prstGeom prst="rect">
                      <a:avLst/>
                    </a:prstGeom>
                    <a:noFill/>
                  </pic:spPr>
                </pic:pic>
              </a:graphicData>
            </a:graphic>
            <wp14:sizeRelH relativeFrom="margin">
              <wp14:pctWidth>0</wp14:pctWidth>
            </wp14:sizeRelH>
            <wp14:sizeRelV relativeFrom="margin">
              <wp14:pctHeight>0</wp14:pctHeight>
            </wp14:sizeRelV>
          </wp:anchor>
        </w:drawing>
      </w:r>
      <w:r w:rsidR="00AF56EF">
        <w:rPr>
          <w:rFonts w:ascii="Book Antiqua" w:hAnsi="Book Antiqua"/>
          <w:bCs/>
          <w:sz w:val="24"/>
          <w:szCs w:val="24"/>
        </w:rPr>
        <w:tab/>
      </w:r>
      <w:r w:rsidR="00B33CA3" w:rsidRPr="00B33CA3">
        <w:rPr>
          <w:rFonts w:ascii="Book Antiqua" w:hAnsi="Book Antiqua"/>
          <w:bCs/>
          <w:sz w:val="24"/>
          <w:szCs w:val="24"/>
        </w:rPr>
        <w:t>The U.S. economy in 2025 looks steady on the surface, but there’s more going on underneath. The Fed’s target rate is holding between 4.25% and 4.50%—not as high as last year, but definitely tighter than before COVID. There’s still a ton of money sloshing around: M2 came in at $21.9</w:t>
      </w:r>
      <w:r>
        <w:rPr>
          <w:rFonts w:ascii="Book Antiqua" w:hAnsi="Book Antiqua"/>
          <w:bCs/>
          <w:sz w:val="24"/>
          <w:szCs w:val="24"/>
        </w:rPr>
        <w:t>60</w:t>
      </w:r>
      <w:r w:rsidR="00B33CA3" w:rsidRPr="00B33CA3">
        <w:rPr>
          <w:rFonts w:ascii="Book Antiqua" w:hAnsi="Book Antiqua"/>
          <w:bCs/>
          <w:sz w:val="24"/>
          <w:szCs w:val="24"/>
        </w:rPr>
        <w:t xml:space="preserve"> trillion this </w:t>
      </w:r>
      <w:r>
        <w:rPr>
          <w:rFonts w:ascii="Book Antiqua" w:hAnsi="Book Antiqua"/>
          <w:bCs/>
          <w:sz w:val="24"/>
          <w:szCs w:val="24"/>
        </w:rPr>
        <w:t>June</w:t>
      </w:r>
      <w:r w:rsidR="00B33CA3" w:rsidRPr="00B33CA3">
        <w:rPr>
          <w:rFonts w:ascii="Book Antiqua" w:hAnsi="Book Antiqua"/>
          <w:bCs/>
          <w:sz w:val="24"/>
          <w:szCs w:val="24"/>
        </w:rPr>
        <w:t>, way higher than what we were used to pre-pandemic</w:t>
      </w:r>
      <w:r>
        <w:rPr>
          <w:rFonts w:ascii="Book Antiqua" w:hAnsi="Book Antiqua"/>
          <w:bCs/>
          <w:sz w:val="24"/>
          <w:szCs w:val="24"/>
        </w:rPr>
        <w:t>, and has actually just reached levels higher than the peak of the pandemic, which was $21.864 trillion in March of 2022</w:t>
      </w:r>
      <w:r w:rsidR="00B33CA3" w:rsidRPr="00B33CA3">
        <w:rPr>
          <w:rFonts w:ascii="Book Antiqua" w:hAnsi="Book Antiqua"/>
          <w:bCs/>
          <w:sz w:val="24"/>
          <w:szCs w:val="24"/>
        </w:rPr>
        <w:t>. Inflation has cooled off a lot</w:t>
      </w:r>
      <w:r w:rsidR="00023ABB">
        <w:rPr>
          <w:rFonts w:ascii="Book Antiqua" w:hAnsi="Book Antiqua"/>
          <w:bCs/>
          <w:sz w:val="24"/>
          <w:szCs w:val="24"/>
        </w:rPr>
        <w:t xml:space="preserve"> since </w:t>
      </w:r>
      <w:proofErr w:type="gramStart"/>
      <w:r w:rsidR="00023ABB">
        <w:rPr>
          <w:rFonts w:ascii="Book Antiqua" w:hAnsi="Book Antiqua"/>
          <w:bCs/>
          <w:sz w:val="24"/>
          <w:szCs w:val="24"/>
        </w:rPr>
        <w:t>2022, but</w:t>
      </w:r>
      <w:proofErr w:type="gramEnd"/>
      <w:r w:rsidR="00023ABB">
        <w:rPr>
          <w:rFonts w:ascii="Book Antiqua" w:hAnsi="Book Antiqua"/>
          <w:bCs/>
          <w:sz w:val="24"/>
          <w:szCs w:val="24"/>
        </w:rPr>
        <w:t xml:space="preserve"> seems to be rising </w:t>
      </w:r>
      <w:proofErr w:type="gramStart"/>
      <w:r w:rsidR="00023ABB">
        <w:rPr>
          <w:rFonts w:ascii="Book Antiqua" w:hAnsi="Book Antiqua"/>
          <w:bCs/>
          <w:sz w:val="24"/>
          <w:szCs w:val="24"/>
        </w:rPr>
        <w:t>again</w:t>
      </w:r>
      <w:r w:rsidR="00B33CA3" w:rsidRPr="00B33CA3">
        <w:rPr>
          <w:rFonts w:ascii="Book Antiqua" w:hAnsi="Book Antiqua"/>
          <w:bCs/>
          <w:sz w:val="24"/>
          <w:szCs w:val="24"/>
        </w:rPr>
        <w:t>—core sits</w:t>
      </w:r>
      <w:proofErr w:type="gramEnd"/>
      <w:r w:rsidR="00B33CA3" w:rsidRPr="00B33CA3">
        <w:rPr>
          <w:rFonts w:ascii="Book Antiqua" w:hAnsi="Book Antiqua"/>
          <w:bCs/>
          <w:sz w:val="24"/>
          <w:szCs w:val="24"/>
        </w:rPr>
        <w:t xml:space="preserve"> at 2.</w:t>
      </w:r>
      <w:r w:rsidR="00023ABB">
        <w:rPr>
          <w:rFonts w:ascii="Book Antiqua" w:hAnsi="Book Antiqua"/>
          <w:bCs/>
          <w:sz w:val="24"/>
          <w:szCs w:val="24"/>
        </w:rPr>
        <w:t>79</w:t>
      </w:r>
      <w:r w:rsidR="00B33CA3" w:rsidRPr="00B33CA3">
        <w:rPr>
          <w:rFonts w:ascii="Book Antiqua" w:hAnsi="Book Antiqua"/>
          <w:bCs/>
          <w:sz w:val="24"/>
          <w:szCs w:val="24"/>
        </w:rPr>
        <w:t>%</w:t>
      </w:r>
      <w:r w:rsidR="00023ABB">
        <w:rPr>
          <w:rFonts w:ascii="Book Antiqua" w:hAnsi="Book Antiqua"/>
          <w:bCs/>
          <w:sz w:val="24"/>
          <w:szCs w:val="24"/>
        </w:rPr>
        <w:t xml:space="preserve"> up from 2.75%</w:t>
      </w:r>
      <w:r w:rsidR="00B33CA3" w:rsidRPr="00B33CA3">
        <w:rPr>
          <w:rFonts w:ascii="Book Antiqua" w:hAnsi="Book Antiqua"/>
          <w:bCs/>
          <w:sz w:val="24"/>
          <w:szCs w:val="24"/>
        </w:rPr>
        <w:t>, headline at 2.</w:t>
      </w:r>
      <w:r w:rsidR="00023ABB">
        <w:rPr>
          <w:rFonts w:ascii="Book Antiqua" w:hAnsi="Book Antiqua"/>
          <w:bCs/>
          <w:sz w:val="24"/>
          <w:szCs w:val="24"/>
        </w:rPr>
        <w:t>58</w:t>
      </w:r>
      <w:r w:rsidR="00B33CA3" w:rsidRPr="00B33CA3">
        <w:rPr>
          <w:rFonts w:ascii="Book Antiqua" w:hAnsi="Book Antiqua"/>
          <w:bCs/>
          <w:sz w:val="24"/>
          <w:szCs w:val="24"/>
        </w:rPr>
        <w:t>%</w:t>
      </w:r>
      <w:r w:rsidR="00023ABB">
        <w:rPr>
          <w:rFonts w:ascii="Book Antiqua" w:hAnsi="Book Antiqua"/>
          <w:bCs/>
          <w:sz w:val="24"/>
          <w:szCs w:val="24"/>
        </w:rPr>
        <w:t xml:space="preserve">, up from </w:t>
      </w:r>
      <w:proofErr w:type="gramStart"/>
      <w:r w:rsidR="00023ABB">
        <w:rPr>
          <w:rFonts w:ascii="Book Antiqua" w:hAnsi="Book Antiqua"/>
          <w:bCs/>
          <w:sz w:val="24"/>
          <w:szCs w:val="24"/>
        </w:rPr>
        <w:t>2.42%</w:t>
      </w:r>
      <w:r w:rsidR="00B33CA3" w:rsidRPr="00B33CA3">
        <w:rPr>
          <w:rFonts w:ascii="Book Antiqua" w:hAnsi="Book Antiqua"/>
          <w:bCs/>
          <w:sz w:val="24"/>
          <w:szCs w:val="24"/>
        </w:rPr>
        <w:t>—</w:t>
      </w:r>
      <w:proofErr w:type="gramEnd"/>
      <w:r w:rsidR="00B33CA3" w:rsidRPr="00B33CA3">
        <w:rPr>
          <w:rFonts w:ascii="Book Antiqua" w:hAnsi="Book Antiqua"/>
          <w:bCs/>
          <w:sz w:val="24"/>
          <w:szCs w:val="24"/>
        </w:rPr>
        <w:t>so we’re getting close to the Fed’s long-run 2% goal, but we’re not quite there yet</w:t>
      </w:r>
      <w:r w:rsidR="00023ABB">
        <w:rPr>
          <w:rFonts w:ascii="Book Antiqua" w:hAnsi="Book Antiqua"/>
          <w:bCs/>
          <w:sz w:val="24"/>
          <w:szCs w:val="24"/>
        </w:rPr>
        <w:t>, and losing downward momentum</w:t>
      </w:r>
      <w:r w:rsidR="00B33CA3" w:rsidRPr="00B33CA3">
        <w:rPr>
          <w:rFonts w:ascii="Book Antiqua" w:hAnsi="Book Antiqua"/>
          <w:bCs/>
          <w:sz w:val="24"/>
          <w:szCs w:val="24"/>
        </w:rPr>
        <w:t xml:space="preserve">. Unemployment ticked </w:t>
      </w:r>
      <w:r>
        <w:rPr>
          <w:rFonts w:ascii="Book Antiqua" w:hAnsi="Book Antiqua"/>
          <w:bCs/>
          <w:sz w:val="24"/>
          <w:szCs w:val="24"/>
        </w:rPr>
        <w:t>down</w:t>
      </w:r>
      <w:r w:rsidR="00B33CA3" w:rsidRPr="00B33CA3">
        <w:rPr>
          <w:rFonts w:ascii="Book Antiqua" w:hAnsi="Book Antiqua"/>
          <w:bCs/>
          <w:sz w:val="24"/>
          <w:szCs w:val="24"/>
        </w:rPr>
        <w:t xml:space="preserve"> to 4.</w:t>
      </w:r>
      <w:r>
        <w:rPr>
          <w:rFonts w:ascii="Book Antiqua" w:hAnsi="Book Antiqua"/>
          <w:bCs/>
          <w:sz w:val="24"/>
          <w:szCs w:val="24"/>
        </w:rPr>
        <w:t>1</w:t>
      </w:r>
      <w:r w:rsidR="00B33CA3" w:rsidRPr="00B33CA3">
        <w:rPr>
          <w:rFonts w:ascii="Book Antiqua" w:hAnsi="Book Antiqua"/>
          <w:bCs/>
          <w:sz w:val="24"/>
          <w:szCs w:val="24"/>
        </w:rPr>
        <w:t>%</w:t>
      </w:r>
      <w:r>
        <w:rPr>
          <w:rFonts w:ascii="Book Antiqua" w:hAnsi="Book Antiqua"/>
          <w:bCs/>
          <w:sz w:val="24"/>
          <w:szCs w:val="24"/>
        </w:rPr>
        <w:t>, down from 4.2% in May</w:t>
      </w:r>
      <w:r w:rsidR="00B33CA3" w:rsidRPr="00B33CA3">
        <w:rPr>
          <w:rFonts w:ascii="Book Antiqua" w:hAnsi="Book Antiqua"/>
          <w:bCs/>
          <w:sz w:val="24"/>
          <w:szCs w:val="24"/>
        </w:rPr>
        <w:t xml:space="preserve">, so the labor market’s starting to </w:t>
      </w:r>
      <w:r>
        <w:rPr>
          <w:rFonts w:ascii="Book Antiqua" w:hAnsi="Book Antiqua"/>
          <w:bCs/>
          <w:sz w:val="24"/>
          <w:szCs w:val="24"/>
        </w:rPr>
        <w:t>tighten</w:t>
      </w:r>
      <w:r w:rsidR="00B33CA3" w:rsidRPr="00B33CA3">
        <w:rPr>
          <w:rFonts w:ascii="Book Antiqua" w:hAnsi="Book Antiqua"/>
          <w:bCs/>
          <w:sz w:val="24"/>
          <w:szCs w:val="24"/>
        </w:rPr>
        <w:t xml:space="preserve"> a little. As for growth, </w:t>
      </w:r>
      <w:r>
        <w:rPr>
          <w:rFonts w:ascii="Book Antiqua" w:hAnsi="Book Antiqua"/>
          <w:bCs/>
          <w:sz w:val="24"/>
          <w:szCs w:val="24"/>
        </w:rPr>
        <w:t xml:space="preserve">the first </w:t>
      </w:r>
      <w:r w:rsidR="00B33CA3" w:rsidRPr="00B33CA3">
        <w:rPr>
          <w:rFonts w:ascii="Book Antiqua" w:hAnsi="Book Antiqua"/>
          <w:bCs/>
          <w:sz w:val="24"/>
          <w:szCs w:val="24"/>
        </w:rPr>
        <w:t xml:space="preserve">quarter of 2025 went </w:t>
      </w:r>
      <w:proofErr w:type="gramStart"/>
      <w:r w:rsidR="00B33CA3" w:rsidRPr="00B33CA3">
        <w:rPr>
          <w:rFonts w:ascii="Book Antiqua" w:hAnsi="Book Antiqua"/>
          <w:bCs/>
          <w:sz w:val="24"/>
          <w:szCs w:val="24"/>
        </w:rPr>
        <w:t>negative</w:t>
      </w:r>
      <w:proofErr w:type="gramEnd"/>
      <w:r w:rsidR="00B33CA3" w:rsidRPr="00B33CA3">
        <w:rPr>
          <w:rFonts w:ascii="Book Antiqua" w:hAnsi="Book Antiqua"/>
          <w:bCs/>
          <w:sz w:val="24"/>
          <w:szCs w:val="24"/>
        </w:rPr>
        <w:t>, with</w:t>
      </w:r>
      <w:r w:rsidR="00023ABB">
        <w:rPr>
          <w:rFonts w:ascii="Book Antiqua" w:hAnsi="Book Antiqua"/>
          <w:bCs/>
          <w:sz w:val="24"/>
          <w:szCs w:val="24"/>
        </w:rPr>
        <w:t xml:space="preserve"> annualized</w:t>
      </w:r>
      <w:r w:rsidR="00B33CA3" w:rsidRPr="00B33CA3">
        <w:rPr>
          <w:rFonts w:ascii="Book Antiqua" w:hAnsi="Book Antiqua"/>
          <w:bCs/>
          <w:sz w:val="24"/>
          <w:szCs w:val="24"/>
        </w:rPr>
        <w:t xml:space="preserve"> GDP down 0.5%</w:t>
      </w:r>
      <w:r>
        <w:rPr>
          <w:rFonts w:ascii="Book Antiqua" w:hAnsi="Book Antiqua"/>
          <w:bCs/>
          <w:sz w:val="24"/>
          <w:szCs w:val="24"/>
        </w:rPr>
        <w:t>, mostly due to tariff scares</w:t>
      </w:r>
      <w:r w:rsidR="00B33CA3" w:rsidRPr="00B33CA3">
        <w:rPr>
          <w:rFonts w:ascii="Book Antiqua" w:hAnsi="Book Antiqua"/>
          <w:bCs/>
          <w:sz w:val="24"/>
          <w:szCs w:val="24"/>
        </w:rPr>
        <w:t xml:space="preserve">. </w:t>
      </w:r>
      <w:r>
        <w:rPr>
          <w:rFonts w:ascii="Book Antiqua" w:hAnsi="Book Antiqua"/>
          <w:bCs/>
          <w:sz w:val="24"/>
          <w:szCs w:val="24"/>
        </w:rPr>
        <w:t xml:space="preserve">Quarter 2 brought it back to 3%, so averaging it out, </w:t>
      </w:r>
      <w:r w:rsidR="00F56E5A">
        <w:rPr>
          <w:rFonts w:ascii="Book Antiqua" w:hAnsi="Book Antiqua"/>
          <w:bCs/>
          <w:sz w:val="24"/>
          <w:szCs w:val="24"/>
        </w:rPr>
        <w:t xml:space="preserve">we </w:t>
      </w:r>
      <w:proofErr w:type="gramStart"/>
      <w:r w:rsidR="00F56E5A">
        <w:rPr>
          <w:rFonts w:ascii="Book Antiqua" w:hAnsi="Book Antiqua"/>
          <w:bCs/>
          <w:sz w:val="24"/>
          <w:szCs w:val="24"/>
        </w:rPr>
        <w:t>get</w:t>
      </w:r>
      <w:proofErr w:type="gramEnd"/>
      <w:r w:rsidR="00F56E5A">
        <w:rPr>
          <w:rFonts w:ascii="Book Antiqua" w:hAnsi="Book Antiqua"/>
          <w:bCs/>
          <w:sz w:val="24"/>
          <w:szCs w:val="24"/>
        </w:rPr>
        <w:t xml:space="preserve"> 1.2% growth over the</w:t>
      </w:r>
      <w:r>
        <w:rPr>
          <w:rFonts w:ascii="Book Antiqua" w:hAnsi="Book Antiqua"/>
          <w:bCs/>
          <w:sz w:val="24"/>
          <w:szCs w:val="24"/>
        </w:rPr>
        <w:t xml:space="preserve"> two </w:t>
      </w:r>
      <w:proofErr w:type="gramStart"/>
      <w:r>
        <w:rPr>
          <w:rFonts w:ascii="Book Antiqua" w:hAnsi="Book Antiqua"/>
          <w:bCs/>
          <w:sz w:val="24"/>
          <w:szCs w:val="24"/>
        </w:rPr>
        <w:t>quarters</w:t>
      </w:r>
      <w:r w:rsidR="00F56E5A">
        <w:rPr>
          <w:rFonts w:ascii="Book Antiqua" w:hAnsi="Book Antiqua"/>
          <w:bCs/>
          <w:sz w:val="24"/>
          <w:szCs w:val="24"/>
        </w:rPr>
        <w:t>;</w:t>
      </w:r>
      <w:proofErr w:type="gramEnd"/>
      <w:r w:rsidR="00F56E5A">
        <w:rPr>
          <w:rFonts w:ascii="Book Antiqua" w:hAnsi="Book Antiqua"/>
          <w:bCs/>
          <w:sz w:val="24"/>
          <w:szCs w:val="24"/>
        </w:rPr>
        <w:t xml:space="preserve"> pretty slow</w:t>
      </w:r>
      <w:r w:rsidR="00023ABB">
        <w:rPr>
          <w:rFonts w:ascii="Book Antiqua" w:hAnsi="Book Antiqua"/>
          <w:bCs/>
          <w:sz w:val="24"/>
          <w:szCs w:val="24"/>
        </w:rPr>
        <w:t xml:space="preserve">.  </w:t>
      </w:r>
    </w:p>
    <w:p w14:paraId="75C31746" w14:textId="29830721" w:rsidR="00F56E5A" w:rsidRPr="00F56E5A" w:rsidRDefault="00F56E5A" w:rsidP="006E5596">
      <w:pPr>
        <w:spacing w:line="324" w:lineRule="auto"/>
        <w:rPr>
          <w:rFonts w:ascii="Book Antiqua" w:hAnsi="Book Antiqua"/>
          <w:bCs/>
          <w:sz w:val="24"/>
          <w:szCs w:val="24"/>
        </w:rPr>
      </w:pPr>
    </w:p>
    <w:p w14:paraId="79E72455" w14:textId="25A401FD" w:rsidR="00167D6F" w:rsidRDefault="00842799" w:rsidP="00167D6F">
      <w:pPr>
        <w:spacing w:line="324" w:lineRule="auto"/>
        <w:rPr>
          <w:rFonts w:ascii="Book Antiqua" w:hAnsi="Book Antiqua"/>
          <w:b/>
          <w:sz w:val="24"/>
          <w:szCs w:val="24"/>
        </w:rPr>
      </w:pPr>
      <w:r>
        <w:rPr>
          <w:rFonts w:ascii="Book Antiqua" w:hAnsi="Book Antiqua"/>
          <w:b/>
          <w:sz w:val="24"/>
          <w:szCs w:val="24"/>
        </w:rPr>
        <w:t>Fed Tools</w:t>
      </w:r>
    </w:p>
    <w:p w14:paraId="16131439" w14:textId="2A575567" w:rsidR="00F56E5A" w:rsidRDefault="00F539B4" w:rsidP="00167D6F">
      <w:pPr>
        <w:spacing w:line="324" w:lineRule="auto"/>
        <w:rPr>
          <w:rFonts w:ascii="Book Antiqua" w:hAnsi="Book Antiqua"/>
          <w:bCs/>
          <w:sz w:val="24"/>
          <w:szCs w:val="24"/>
          <w:u w:val="single"/>
        </w:rPr>
      </w:pPr>
      <w:r>
        <w:rPr>
          <w:rFonts w:ascii="Book Antiqua" w:hAnsi="Book Antiqua"/>
          <w:bCs/>
          <w:sz w:val="24"/>
          <w:szCs w:val="24"/>
          <w:u w:val="single"/>
        </w:rPr>
        <w:t>Pre-2008 Tools</w:t>
      </w:r>
    </w:p>
    <w:p w14:paraId="2FAFDBA4" w14:textId="77777777" w:rsidR="00AA3F63" w:rsidRPr="00AA3F63" w:rsidRDefault="00AA3F63" w:rsidP="00AA3F63">
      <w:pPr>
        <w:spacing w:line="324" w:lineRule="auto"/>
        <w:ind w:firstLine="720"/>
        <w:rPr>
          <w:rFonts w:ascii="Book Antiqua" w:hAnsi="Book Antiqua"/>
          <w:bCs/>
          <w:sz w:val="24"/>
          <w:szCs w:val="24"/>
        </w:rPr>
      </w:pPr>
      <w:r w:rsidRPr="00AA3F63">
        <w:rPr>
          <w:rFonts w:ascii="Book Antiqua" w:hAnsi="Book Antiqua"/>
          <w:bCs/>
          <w:sz w:val="24"/>
          <w:szCs w:val="24"/>
        </w:rPr>
        <w:t xml:space="preserve">Before 2008, the Federal Reserve’s control over the federal funds rate rested on a relatively lean set of tools, chief among them open market operations. By buying or selling short-term Treasury securities, the Fed could add or drain reserves from the banking system, nudging the funds rate in its desired direction. Reserve requirements—generally set around ten percent of deposits—were meant to ensure that banks kept a </w:t>
      </w:r>
      <w:r w:rsidRPr="00AA3F63">
        <w:rPr>
          <w:rFonts w:ascii="Book Antiqua" w:hAnsi="Book Antiqua"/>
          <w:bCs/>
          <w:sz w:val="24"/>
          <w:szCs w:val="24"/>
        </w:rPr>
        <w:lastRenderedPageBreak/>
        <w:t>buffer of liquidity. These reserves earned no interest, which meant banks had little incentive to hold more than they were obliged to, keeping the system finely balanced. The discount rate, meanwhile, served as a kind of safety valve: it was the rate banks paid to borrow directly from the Fed, a source of emergency funding that also set a de facto ceiling on the federal funds rate. In this era, open market operations did the heavy lifting, while reserve requirements and the discount rate stood as quiet but essential supporting pillars of the Fed’s monetary framework.</w:t>
      </w:r>
    </w:p>
    <w:p w14:paraId="036479E5" w14:textId="77777777" w:rsidR="00F539B4" w:rsidRDefault="00F539B4" w:rsidP="00F539B4">
      <w:pPr>
        <w:spacing w:line="324" w:lineRule="auto"/>
        <w:ind w:firstLine="720"/>
        <w:rPr>
          <w:rFonts w:ascii="Book Antiqua" w:hAnsi="Book Antiqua"/>
          <w:bCs/>
          <w:sz w:val="24"/>
          <w:szCs w:val="24"/>
        </w:rPr>
      </w:pPr>
    </w:p>
    <w:p w14:paraId="11D1C067" w14:textId="61A5FE2D" w:rsidR="00F539B4" w:rsidRPr="00F539B4" w:rsidRDefault="00F539B4" w:rsidP="00F539B4">
      <w:pPr>
        <w:spacing w:line="324" w:lineRule="auto"/>
        <w:rPr>
          <w:rFonts w:ascii="Book Antiqua" w:hAnsi="Book Antiqua"/>
          <w:bCs/>
          <w:sz w:val="24"/>
          <w:szCs w:val="24"/>
          <w:u w:val="single"/>
        </w:rPr>
      </w:pPr>
      <w:r>
        <w:rPr>
          <w:rFonts w:ascii="Book Antiqua" w:hAnsi="Book Antiqua"/>
          <w:bCs/>
          <w:sz w:val="24"/>
          <w:szCs w:val="24"/>
          <w:u w:val="single"/>
        </w:rPr>
        <w:t>Post-2008 Tools</w:t>
      </w:r>
    </w:p>
    <w:p w14:paraId="4D35F408" w14:textId="3B6D78F2" w:rsidR="00F539B4" w:rsidRDefault="00F539B4" w:rsidP="00F539B4">
      <w:pPr>
        <w:spacing w:line="324" w:lineRule="auto"/>
        <w:ind w:firstLine="720"/>
        <w:rPr>
          <w:rFonts w:ascii="Book Antiqua" w:hAnsi="Book Antiqua"/>
          <w:bCs/>
          <w:sz w:val="24"/>
          <w:szCs w:val="24"/>
        </w:rPr>
      </w:pPr>
      <w:r w:rsidRPr="00F539B4">
        <w:rPr>
          <w:rFonts w:ascii="Book Antiqua" w:hAnsi="Book Antiqua"/>
          <w:bCs/>
          <w:sz w:val="24"/>
          <w:szCs w:val="24"/>
        </w:rPr>
        <w:t xml:space="preserve">After 2008, the Federal Reserve shifted from relying on small-scale open market operations to a strategy centered on Quantitative Easing (QE) and Interest on Reserves (IOR). Through QE, the Fed purchased massive amounts of long-term securities, injecting trillions into the banking system and creating abundant reserves. Unlike traditional OMOs, these assets were not actively sold to drain reserves but </w:t>
      </w:r>
      <w:r w:rsidR="002F5B2F" w:rsidRPr="00F539B4">
        <w:rPr>
          <w:rFonts w:ascii="Book Antiqua" w:hAnsi="Book Antiqua"/>
          <w:bCs/>
          <w:sz w:val="24"/>
          <w:szCs w:val="24"/>
        </w:rPr>
        <w:t>allowed them</w:t>
      </w:r>
      <w:r w:rsidRPr="00F539B4">
        <w:rPr>
          <w:rFonts w:ascii="Book Antiqua" w:hAnsi="Book Antiqua"/>
          <w:bCs/>
          <w:sz w:val="24"/>
          <w:szCs w:val="24"/>
        </w:rPr>
        <w:t xml:space="preserve"> to mature and roll off the balance sheet over time. </w:t>
      </w:r>
      <w:r>
        <w:rPr>
          <w:rFonts w:ascii="Book Antiqua" w:hAnsi="Book Antiqua"/>
          <w:bCs/>
          <w:sz w:val="24"/>
          <w:szCs w:val="24"/>
        </w:rPr>
        <w:t xml:space="preserve">As reserves roll off the balance sheet, a portion is reinvested into short-term maturities to decrease the average yield to maturity in the balance sheet. </w:t>
      </w:r>
      <w:r w:rsidRPr="00F539B4">
        <w:rPr>
          <w:rFonts w:ascii="Book Antiqua" w:hAnsi="Book Antiqua"/>
          <w:bCs/>
          <w:sz w:val="24"/>
          <w:szCs w:val="24"/>
        </w:rPr>
        <w:t>With reserves no longer scarce, small adjustments in supply lost their influence over rates, rendering the old framework ineffective. To maintain control, the Fed began paying interest on reserves, setting a floor under the federal funds rate since banks would not lend at rates below the risk-free return offered by the Fed.</w:t>
      </w:r>
    </w:p>
    <w:p w14:paraId="41615588" w14:textId="77777777" w:rsidR="00F539B4" w:rsidRDefault="00F539B4" w:rsidP="003B6151">
      <w:pPr>
        <w:spacing w:line="324" w:lineRule="auto"/>
        <w:rPr>
          <w:rFonts w:ascii="Book Antiqua" w:hAnsi="Book Antiqua"/>
          <w:bCs/>
          <w:sz w:val="24"/>
          <w:szCs w:val="24"/>
        </w:rPr>
      </w:pPr>
    </w:p>
    <w:p w14:paraId="5AB5002B" w14:textId="5A50AE93" w:rsidR="003B6151" w:rsidRDefault="003B6151" w:rsidP="003B6151">
      <w:pPr>
        <w:spacing w:line="324" w:lineRule="auto"/>
        <w:rPr>
          <w:rFonts w:ascii="Book Antiqua" w:hAnsi="Book Antiqua"/>
          <w:b/>
          <w:sz w:val="24"/>
          <w:szCs w:val="24"/>
        </w:rPr>
      </w:pPr>
      <w:r w:rsidRPr="00842799">
        <w:rPr>
          <w:rFonts w:ascii="Book Antiqua" w:hAnsi="Book Antiqua"/>
          <w:b/>
          <w:sz w:val="24"/>
          <w:szCs w:val="24"/>
        </w:rPr>
        <w:t>Causes of Current Inflation Rate</w:t>
      </w:r>
    </w:p>
    <w:p w14:paraId="65E624BE" w14:textId="714B5B63" w:rsidR="00842799" w:rsidRPr="00842799" w:rsidRDefault="00842799" w:rsidP="003B6151">
      <w:pPr>
        <w:spacing w:line="324" w:lineRule="auto"/>
        <w:rPr>
          <w:rFonts w:ascii="Book Antiqua" w:hAnsi="Book Antiqua"/>
          <w:bCs/>
          <w:sz w:val="24"/>
          <w:szCs w:val="24"/>
          <w:u w:val="single"/>
        </w:rPr>
      </w:pPr>
      <w:r>
        <w:rPr>
          <w:rFonts w:ascii="Book Antiqua" w:hAnsi="Book Antiqua"/>
          <w:bCs/>
          <w:sz w:val="24"/>
          <w:szCs w:val="24"/>
          <w:u w:val="single"/>
        </w:rPr>
        <w:t>ZIRP</w:t>
      </w:r>
    </w:p>
    <w:p w14:paraId="4A23F674" w14:textId="77777777" w:rsidR="00AA3F63" w:rsidRDefault="00AA3F63" w:rsidP="00AA3F63">
      <w:pPr>
        <w:spacing w:line="324" w:lineRule="auto"/>
        <w:ind w:firstLine="720"/>
        <w:rPr>
          <w:rFonts w:ascii="Book Antiqua" w:hAnsi="Book Antiqua"/>
          <w:bCs/>
          <w:sz w:val="24"/>
          <w:szCs w:val="24"/>
        </w:rPr>
      </w:pPr>
      <w:r w:rsidRPr="00AA3F63">
        <w:rPr>
          <w:rFonts w:ascii="Book Antiqua" w:hAnsi="Book Antiqua"/>
          <w:bCs/>
          <w:sz w:val="24"/>
          <w:szCs w:val="24"/>
        </w:rPr>
        <w:t xml:space="preserve">One of the central drivers behind the post-pandemic surge in inflation—and the elevated interest rates that have followed—was the Federal Reserve’s extraordinary policy response to the crisis. In the face of deep uncertainty, the Fed moved swiftly to adopt a Zero Interest Rate Policy (ZIRP), pushing its target rate to near zero in an effort to make borrowing exceptionally cheap and to prod households and businesses into spending and investing. This was meant to keep the economy afloat through the worst of the disruption. The expectation at the time was that inflation would remain well-behaved, but the Fed misjudged how quickly the money supply would swell and how </w:t>
      </w:r>
      <w:r w:rsidRPr="00AA3F63">
        <w:rPr>
          <w:rFonts w:ascii="Book Antiqua" w:hAnsi="Book Antiqua"/>
          <w:bCs/>
          <w:sz w:val="24"/>
          <w:szCs w:val="24"/>
        </w:rPr>
        <w:lastRenderedPageBreak/>
        <w:t>much additional pressure would come from snarled global supply chains and unprecedented fiscal stimulus.</w:t>
      </w:r>
    </w:p>
    <w:p w14:paraId="0A00BF39" w14:textId="77777777" w:rsidR="00842799" w:rsidRDefault="00842799" w:rsidP="00842799">
      <w:pPr>
        <w:spacing w:line="324" w:lineRule="auto"/>
        <w:rPr>
          <w:rFonts w:ascii="Book Antiqua" w:hAnsi="Book Antiqua"/>
          <w:bCs/>
          <w:sz w:val="24"/>
          <w:szCs w:val="24"/>
        </w:rPr>
      </w:pPr>
    </w:p>
    <w:p w14:paraId="044A3AB6" w14:textId="77777777" w:rsidR="00842799" w:rsidRDefault="00842799" w:rsidP="00842799">
      <w:pPr>
        <w:spacing w:line="324" w:lineRule="auto"/>
        <w:rPr>
          <w:rFonts w:ascii="Book Antiqua" w:hAnsi="Book Antiqua"/>
          <w:bCs/>
          <w:sz w:val="24"/>
          <w:szCs w:val="24"/>
        </w:rPr>
      </w:pPr>
    </w:p>
    <w:p w14:paraId="59E94A2E" w14:textId="34BD7CA6" w:rsidR="00842799" w:rsidRPr="00842799" w:rsidRDefault="00842799" w:rsidP="00842799">
      <w:pPr>
        <w:spacing w:line="324" w:lineRule="auto"/>
        <w:rPr>
          <w:rFonts w:ascii="Book Antiqua" w:hAnsi="Book Antiqua"/>
          <w:bCs/>
          <w:sz w:val="24"/>
          <w:szCs w:val="24"/>
          <w:u w:val="single"/>
        </w:rPr>
      </w:pPr>
      <w:r>
        <w:rPr>
          <w:rFonts w:ascii="Book Antiqua" w:hAnsi="Book Antiqua"/>
          <w:bCs/>
          <w:sz w:val="24"/>
          <w:szCs w:val="24"/>
          <w:u w:val="single"/>
        </w:rPr>
        <w:t>Quantitative Easing and Money Supply Growth</w:t>
      </w:r>
    </w:p>
    <w:p w14:paraId="60B297A8" w14:textId="5BFE5B1B" w:rsidR="00AA3F63" w:rsidRPr="00AA3F63" w:rsidRDefault="00842799" w:rsidP="00AA3F63">
      <w:pPr>
        <w:spacing w:line="324" w:lineRule="auto"/>
        <w:ind w:firstLine="720"/>
        <w:rPr>
          <w:rFonts w:ascii="Book Antiqua" w:hAnsi="Book Antiqua"/>
          <w:bCs/>
          <w:sz w:val="24"/>
          <w:szCs w:val="24"/>
        </w:rPr>
      </w:pPr>
      <w:r>
        <w:rPr>
          <w:rFonts w:ascii="Book Antiqua" w:hAnsi="Book Antiqua"/>
          <w:bCs/>
          <w:noProof/>
          <w:sz w:val="24"/>
          <w:szCs w:val="24"/>
        </w:rPr>
        <w:drawing>
          <wp:anchor distT="0" distB="0" distL="114300" distR="114300" simplePos="0" relativeHeight="251659264" behindDoc="1" locked="0" layoutInCell="1" allowOverlap="1" wp14:anchorId="443010A5" wp14:editId="4819E743">
            <wp:simplePos x="0" y="0"/>
            <wp:positionH relativeFrom="margin">
              <wp:align>right</wp:align>
            </wp:positionH>
            <wp:positionV relativeFrom="paragraph">
              <wp:posOffset>1280160</wp:posOffset>
            </wp:positionV>
            <wp:extent cx="4370832" cy="3172968"/>
            <wp:effectExtent l="0" t="0" r="0" b="8890"/>
            <wp:wrapTight wrapText="bothSides">
              <wp:wrapPolygon edited="0">
                <wp:start x="0" y="0"/>
                <wp:lineTo x="0" y="21531"/>
                <wp:lineTo x="21465" y="21531"/>
                <wp:lineTo x="21465" y="0"/>
                <wp:lineTo x="0" y="0"/>
              </wp:wrapPolygon>
            </wp:wrapTight>
            <wp:docPr id="93352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0832" cy="3172968"/>
                    </a:xfrm>
                    <a:prstGeom prst="rect">
                      <a:avLst/>
                    </a:prstGeom>
                    <a:noFill/>
                  </pic:spPr>
                </pic:pic>
              </a:graphicData>
            </a:graphic>
            <wp14:sizeRelH relativeFrom="margin">
              <wp14:pctWidth>0</wp14:pctWidth>
            </wp14:sizeRelH>
            <wp14:sizeRelV relativeFrom="margin">
              <wp14:pctHeight>0</wp14:pctHeight>
            </wp14:sizeRelV>
          </wp:anchor>
        </w:drawing>
      </w:r>
      <w:r w:rsidR="00661103" w:rsidRPr="00661103">
        <w:rPr>
          <w:rFonts w:ascii="Book Antiqua" w:hAnsi="Book Antiqua"/>
          <w:bCs/>
          <w:sz w:val="24"/>
          <w:szCs w:val="24"/>
        </w:rPr>
        <w:t>Aggressive quantitative easing after ZIRP fueled a sharp increase in money supply, directly contributing to post-pandemic inflation.</w:t>
      </w:r>
      <w:r w:rsidR="00AA3F63" w:rsidRPr="00AA3F63">
        <w:rPr>
          <w:rFonts w:ascii="Book Antiqua" w:hAnsi="Book Antiqua"/>
          <w:bCs/>
          <w:sz w:val="24"/>
          <w:szCs w:val="24"/>
        </w:rPr>
        <w:t xml:space="preserve"> These purchases supercharged the growth of the M2 money supply—cash, checking deposits, and other easily spendable assets—adding roughly $7 trillion since the onset of the pandemic, a staggering increase of about 47%. This flood of liquidity stoked higher spending and investment, which in turn added fuel to inflation. Notably, the apex of the money supply boom coincided with inflation’s peak at about 9% in mid-2022. As the Fed began to wind down its asset purchases, money supply growth slowed, easing some inflationary heat—but inflation has yet to fully retreat to the Fed’s target.</w:t>
      </w:r>
    </w:p>
    <w:p w14:paraId="7FDF30BC" w14:textId="4F32694C" w:rsidR="00C75E3E" w:rsidRDefault="00C75E3E" w:rsidP="00842799">
      <w:pPr>
        <w:spacing w:line="324" w:lineRule="auto"/>
        <w:rPr>
          <w:rFonts w:ascii="Book Antiqua" w:hAnsi="Book Antiqua"/>
          <w:bCs/>
          <w:sz w:val="24"/>
          <w:szCs w:val="24"/>
        </w:rPr>
      </w:pPr>
    </w:p>
    <w:p w14:paraId="15D5683E" w14:textId="627CEF86" w:rsidR="00842799" w:rsidRDefault="00842799" w:rsidP="00842799">
      <w:pPr>
        <w:spacing w:line="324" w:lineRule="auto"/>
        <w:rPr>
          <w:rFonts w:ascii="Book Antiqua" w:hAnsi="Book Antiqua"/>
          <w:bCs/>
          <w:sz w:val="24"/>
          <w:szCs w:val="24"/>
          <w:u w:val="single"/>
        </w:rPr>
      </w:pPr>
      <w:r>
        <w:rPr>
          <w:rFonts w:ascii="Book Antiqua" w:hAnsi="Book Antiqua"/>
          <w:bCs/>
          <w:sz w:val="24"/>
          <w:szCs w:val="24"/>
          <w:u w:val="single"/>
        </w:rPr>
        <w:t>Delayed Response to Inflation</w:t>
      </w:r>
    </w:p>
    <w:p w14:paraId="1CBB7C18" w14:textId="37F8DB1F" w:rsidR="00842799" w:rsidRDefault="00842799" w:rsidP="00842799">
      <w:pPr>
        <w:spacing w:line="324" w:lineRule="auto"/>
        <w:ind w:firstLine="720"/>
        <w:rPr>
          <w:rFonts w:ascii="Book Antiqua" w:hAnsi="Book Antiqua"/>
          <w:bCs/>
          <w:sz w:val="24"/>
          <w:szCs w:val="24"/>
        </w:rPr>
      </w:pPr>
      <w:r w:rsidRPr="00842799">
        <w:rPr>
          <w:rFonts w:ascii="Book Antiqua" w:hAnsi="Book Antiqua"/>
          <w:bCs/>
          <w:sz w:val="24"/>
          <w:szCs w:val="24"/>
        </w:rPr>
        <w:t xml:space="preserve">A big part of the recent inflation story comes down to the Fed’s slow reaction as prices started climbing. In the early stages of the recovery, policymakers believed the spike in inflation would be short-lived—mostly the result of tangled supply chains and other pandemic hangovers—and their forecasts reflected that optimism. Banking on the idea that these pressures would ease on their own, they kept interest rates low for longer than, in hindsight, was wise. That extra time gave inflation more room to take </w:t>
      </w:r>
      <w:r w:rsidRPr="00842799">
        <w:rPr>
          <w:rFonts w:ascii="Book Antiqua" w:hAnsi="Book Antiqua"/>
          <w:bCs/>
          <w:sz w:val="24"/>
          <w:szCs w:val="24"/>
        </w:rPr>
        <w:lastRenderedPageBreak/>
        <w:t>root, making it harder to rein in once they did start tightening. It’s a reminder of how tricky it is for the Fed to move quickly when the economy is sending mixed signals.</w:t>
      </w:r>
    </w:p>
    <w:p w14:paraId="5B613893" w14:textId="77777777" w:rsidR="00842799" w:rsidRPr="00842799" w:rsidRDefault="00842799" w:rsidP="00842799">
      <w:pPr>
        <w:spacing w:line="324" w:lineRule="auto"/>
        <w:ind w:firstLine="720"/>
        <w:rPr>
          <w:rFonts w:ascii="Book Antiqua" w:hAnsi="Book Antiqua"/>
          <w:bCs/>
          <w:sz w:val="24"/>
          <w:szCs w:val="24"/>
        </w:rPr>
      </w:pPr>
    </w:p>
    <w:p w14:paraId="28200CAD" w14:textId="6365648C" w:rsidR="00167D6F" w:rsidRDefault="00167D6F" w:rsidP="00167D6F">
      <w:pPr>
        <w:spacing w:line="324" w:lineRule="auto"/>
        <w:rPr>
          <w:rFonts w:ascii="Book Antiqua" w:hAnsi="Book Antiqua"/>
          <w:b/>
          <w:sz w:val="24"/>
          <w:szCs w:val="24"/>
        </w:rPr>
      </w:pPr>
      <w:r>
        <w:rPr>
          <w:rFonts w:ascii="Book Antiqua" w:hAnsi="Book Antiqua"/>
          <w:b/>
          <w:sz w:val="24"/>
          <w:szCs w:val="24"/>
        </w:rPr>
        <w:t>Literature Review</w:t>
      </w:r>
    </w:p>
    <w:p w14:paraId="19B8D0B9" w14:textId="53149131" w:rsidR="00C75E3E" w:rsidRDefault="006A1583" w:rsidP="006A1583">
      <w:pPr>
        <w:spacing w:line="324" w:lineRule="auto"/>
        <w:ind w:firstLine="720"/>
        <w:rPr>
          <w:rFonts w:ascii="Book Antiqua" w:hAnsi="Book Antiqua"/>
          <w:bCs/>
          <w:sz w:val="24"/>
          <w:szCs w:val="24"/>
        </w:rPr>
      </w:pPr>
      <w:r w:rsidRPr="006A1583">
        <w:rPr>
          <w:rFonts w:ascii="Book Antiqua" w:hAnsi="Book Antiqua"/>
          <w:bCs/>
          <w:sz w:val="24"/>
          <w:szCs w:val="24"/>
        </w:rPr>
        <w:t xml:space="preserve">With the backdrop of today’s economic climate, the Fed’s policy tools, and the factors that set the stage for our current situation in mind, we can now turn to what economists and market watchers are saying—both </w:t>
      </w:r>
      <w:r w:rsidR="000B6351" w:rsidRPr="006A1583">
        <w:rPr>
          <w:rFonts w:ascii="Book Antiqua" w:hAnsi="Book Antiqua"/>
          <w:bCs/>
          <w:sz w:val="24"/>
          <w:szCs w:val="24"/>
        </w:rPr>
        <w:t>about</w:t>
      </w:r>
      <w:r w:rsidRPr="006A1583">
        <w:rPr>
          <w:rFonts w:ascii="Book Antiqua" w:hAnsi="Book Antiqua"/>
          <w:bCs/>
          <w:sz w:val="24"/>
          <w:szCs w:val="24"/>
        </w:rPr>
        <w:t xml:space="preserve"> driving inflation and about the case for and against bringing interest rates down.</w:t>
      </w:r>
    </w:p>
    <w:p w14:paraId="182CA457" w14:textId="77777777" w:rsidR="000B6351" w:rsidRDefault="000B6351" w:rsidP="000B6351">
      <w:pPr>
        <w:spacing w:line="324" w:lineRule="auto"/>
        <w:rPr>
          <w:rFonts w:ascii="Book Antiqua" w:hAnsi="Book Antiqua"/>
          <w:bCs/>
          <w:sz w:val="24"/>
          <w:szCs w:val="24"/>
        </w:rPr>
      </w:pPr>
    </w:p>
    <w:p w14:paraId="5723CE19" w14:textId="1983858B" w:rsidR="000B6351" w:rsidRDefault="000B6351" w:rsidP="000B6351">
      <w:pPr>
        <w:spacing w:line="324" w:lineRule="auto"/>
        <w:rPr>
          <w:rFonts w:ascii="Book Antiqua" w:hAnsi="Book Antiqua"/>
          <w:bCs/>
          <w:sz w:val="24"/>
          <w:szCs w:val="24"/>
          <w:u w:val="single"/>
        </w:rPr>
      </w:pPr>
      <w:r>
        <w:rPr>
          <w:rFonts w:ascii="Book Antiqua" w:hAnsi="Book Antiqua"/>
          <w:bCs/>
          <w:sz w:val="24"/>
          <w:szCs w:val="24"/>
          <w:u w:val="single"/>
        </w:rPr>
        <w:t>Opinions on 2022 Inflation</w:t>
      </w:r>
    </w:p>
    <w:p w14:paraId="4D1DD749" w14:textId="7F381F5E" w:rsidR="000B6351" w:rsidRDefault="00321DFB" w:rsidP="00321DFB">
      <w:pPr>
        <w:spacing w:line="324" w:lineRule="auto"/>
        <w:ind w:firstLine="720"/>
        <w:rPr>
          <w:rFonts w:ascii="Book Antiqua" w:hAnsi="Book Antiqua"/>
          <w:bCs/>
          <w:sz w:val="24"/>
          <w:szCs w:val="24"/>
        </w:rPr>
      </w:pPr>
      <w:r w:rsidRPr="00321DFB">
        <w:rPr>
          <w:rFonts w:ascii="Book Antiqua" w:hAnsi="Book Antiqua"/>
          <w:bCs/>
          <w:sz w:val="24"/>
          <w:szCs w:val="24"/>
        </w:rPr>
        <w:t>Economists have plenty of theories about what drove inflation to its 9% peak in 2022, but a lot of them start with the same point: demand was running too hot. John Cochrane, Betsy Vereckey, John Greenwood, and Steve Hanke argue that big government spending packages, combined with easy money from the Fed, pumped far more cash into the economy than it could handle, pushing prices higher. Scott Sumner makes a similar case, pointing to consumers flush with stimulus checks and enjoying years of rock-bottom interest rates who kept spending at a pace the economy couldn’t match. From a Quantity Theory of Money perspective, Greenwood, Hanke, and Cochrane say it was simple math—when the money supply races ahead of what the economy produces, inflation is inevitable. Most don’t dismiss the role of supply problems like jammed ports and worker shortages, but Cochrane and Sumner insist those would’ve caused only a short-lived bump in prices without the Fed’s loose stance. Cameron Maddock takes the opposite</w:t>
      </w:r>
      <w:r>
        <w:rPr>
          <w:rFonts w:ascii="Book Antiqua" w:hAnsi="Book Antiqua"/>
          <w:bCs/>
          <w:sz w:val="24"/>
          <w:szCs w:val="24"/>
        </w:rPr>
        <w:t xml:space="preserve"> POV</w:t>
      </w:r>
      <w:r w:rsidRPr="00321DFB">
        <w:rPr>
          <w:rFonts w:ascii="Book Antiqua" w:hAnsi="Book Antiqua"/>
          <w:bCs/>
          <w:sz w:val="24"/>
          <w:szCs w:val="24"/>
        </w:rPr>
        <w:t>, seeing those supply chain breakdowns and logistical snarls as the spark that really set things off.</w:t>
      </w:r>
      <w:r w:rsidR="00586E69">
        <w:rPr>
          <w:rFonts w:ascii="Book Antiqua" w:hAnsi="Book Antiqua"/>
          <w:bCs/>
          <w:sz w:val="24"/>
          <w:szCs w:val="24"/>
        </w:rPr>
        <w:t xml:space="preserve"> </w:t>
      </w:r>
    </w:p>
    <w:p w14:paraId="2B7FA677" w14:textId="77777777" w:rsidR="00321DFB" w:rsidRDefault="00321DFB" w:rsidP="000B6351">
      <w:pPr>
        <w:spacing w:line="324" w:lineRule="auto"/>
        <w:rPr>
          <w:rFonts w:ascii="Book Antiqua" w:hAnsi="Book Antiqua"/>
          <w:bCs/>
          <w:sz w:val="24"/>
          <w:szCs w:val="24"/>
        </w:rPr>
      </w:pPr>
    </w:p>
    <w:p w14:paraId="294BEBE3" w14:textId="77777777" w:rsidR="00FE0185" w:rsidRPr="000B6351" w:rsidRDefault="00FE0185" w:rsidP="00FE0185">
      <w:pPr>
        <w:spacing w:line="324" w:lineRule="auto"/>
        <w:rPr>
          <w:rFonts w:ascii="Book Antiqua" w:hAnsi="Book Antiqua"/>
          <w:bCs/>
          <w:sz w:val="24"/>
          <w:szCs w:val="24"/>
          <w:u w:val="single"/>
        </w:rPr>
      </w:pPr>
      <w:r>
        <w:rPr>
          <w:rFonts w:ascii="Book Antiqua" w:hAnsi="Book Antiqua"/>
          <w:bCs/>
          <w:sz w:val="24"/>
          <w:szCs w:val="24"/>
          <w:u w:val="single"/>
        </w:rPr>
        <w:t>Arguments for Holding Steady</w:t>
      </w:r>
    </w:p>
    <w:p w14:paraId="59AC17BC" w14:textId="03576576" w:rsidR="00FE0185" w:rsidRDefault="00FE0185" w:rsidP="00FE0185">
      <w:pPr>
        <w:spacing w:line="324" w:lineRule="auto"/>
        <w:ind w:firstLine="720"/>
        <w:rPr>
          <w:rFonts w:ascii="Book Antiqua" w:hAnsi="Book Antiqua"/>
          <w:bCs/>
          <w:sz w:val="24"/>
          <w:szCs w:val="24"/>
        </w:rPr>
      </w:pPr>
      <w:r w:rsidRPr="00FE0185">
        <w:rPr>
          <w:rFonts w:ascii="Book Antiqua" w:hAnsi="Book Antiqua"/>
          <w:bCs/>
          <w:sz w:val="24"/>
          <w:szCs w:val="24"/>
        </w:rPr>
        <w:t xml:space="preserve">Michael Wolf makes the case for holding interest rates steady to keep inflation under control, keep inflation expectations in check, and support financial markets and the dollar. He warns that cutting rates too soon could cause inflation to flare up again and damage the Fed’s hard-earned </w:t>
      </w:r>
      <w:proofErr w:type="gramStart"/>
      <w:r w:rsidRPr="00FE0185">
        <w:rPr>
          <w:rFonts w:ascii="Book Antiqua" w:hAnsi="Book Antiqua"/>
          <w:bCs/>
          <w:sz w:val="24"/>
          <w:szCs w:val="24"/>
        </w:rPr>
        <w:t>credibility—</w:t>
      </w:r>
      <w:proofErr w:type="gramEnd"/>
      <w:r w:rsidRPr="00FE0185">
        <w:rPr>
          <w:rFonts w:ascii="Book Antiqua" w:hAnsi="Book Antiqua"/>
          <w:bCs/>
          <w:sz w:val="24"/>
          <w:szCs w:val="24"/>
        </w:rPr>
        <w:t xml:space="preserve">especially with all the uncertainty around trade and government spending. Diccon Hyatt’s take on Fed Chair Jerome Powell’s approach lines up with that. Despite political pressure and easing inflation, </w:t>
      </w:r>
      <w:r w:rsidRPr="00FE0185">
        <w:rPr>
          <w:rFonts w:ascii="Book Antiqua" w:hAnsi="Book Antiqua"/>
          <w:bCs/>
          <w:sz w:val="24"/>
          <w:szCs w:val="24"/>
        </w:rPr>
        <w:lastRenderedPageBreak/>
        <w:t xml:space="preserve">Powell is holding off on rate cuts because tariffs on goods like steel, cars, and possibly pharmaceuticals and chips are still rolling out, and their full impact on prices hasn’t hit yet. Businesses have been slow to pass those costs to consumers, so it’s unclear when inflation might pick up again. Plus, with unemployment </w:t>
      </w:r>
      <w:proofErr w:type="gramStart"/>
      <w:r w:rsidRPr="00FE0185">
        <w:rPr>
          <w:rFonts w:ascii="Book Antiqua" w:hAnsi="Book Antiqua"/>
          <w:bCs/>
          <w:sz w:val="24"/>
          <w:szCs w:val="24"/>
        </w:rPr>
        <w:t>low</w:t>
      </w:r>
      <w:proofErr w:type="gramEnd"/>
      <w:r w:rsidRPr="00FE0185">
        <w:rPr>
          <w:rFonts w:ascii="Book Antiqua" w:hAnsi="Book Antiqua"/>
          <w:bCs/>
          <w:sz w:val="24"/>
          <w:szCs w:val="24"/>
        </w:rPr>
        <w:t xml:space="preserve"> and the job market still strong, the Fed doesn’t feel rushed to ease. Both Wolf and Hyatt stress that the Fed is playing the long game here, watching how tariffs and inflation unfold before making any moves, trying not to repeat the mistakes from earlier in the pandemic when acting too quickly caused problems.</w:t>
      </w:r>
    </w:p>
    <w:p w14:paraId="39DFB436" w14:textId="77777777" w:rsidR="00FE0185" w:rsidRPr="00FE0185" w:rsidRDefault="00FE0185" w:rsidP="00FE0185">
      <w:pPr>
        <w:spacing w:line="324" w:lineRule="auto"/>
        <w:ind w:firstLine="720"/>
        <w:rPr>
          <w:rFonts w:ascii="Book Antiqua" w:hAnsi="Book Antiqua"/>
          <w:bCs/>
          <w:sz w:val="24"/>
          <w:szCs w:val="24"/>
        </w:rPr>
      </w:pPr>
    </w:p>
    <w:p w14:paraId="75BBE4EC" w14:textId="09B2F638" w:rsidR="000B6351" w:rsidRDefault="000B6351" w:rsidP="000B6351">
      <w:pPr>
        <w:spacing w:line="324" w:lineRule="auto"/>
        <w:rPr>
          <w:rFonts w:ascii="Book Antiqua" w:hAnsi="Book Antiqua"/>
          <w:bCs/>
          <w:sz w:val="24"/>
          <w:szCs w:val="24"/>
          <w:u w:val="single"/>
        </w:rPr>
      </w:pPr>
      <w:r>
        <w:rPr>
          <w:rFonts w:ascii="Book Antiqua" w:hAnsi="Book Antiqua"/>
          <w:bCs/>
          <w:sz w:val="24"/>
          <w:szCs w:val="24"/>
          <w:u w:val="single"/>
        </w:rPr>
        <w:t>Arguments for Rate Cuts</w:t>
      </w:r>
    </w:p>
    <w:p w14:paraId="00A6E80E" w14:textId="019275DB" w:rsidR="000B6351" w:rsidRDefault="00E107A2" w:rsidP="00E107A2">
      <w:pPr>
        <w:spacing w:line="324" w:lineRule="auto"/>
        <w:ind w:firstLine="720"/>
        <w:rPr>
          <w:rFonts w:ascii="Book Antiqua" w:hAnsi="Book Antiqua"/>
          <w:bCs/>
          <w:sz w:val="24"/>
          <w:szCs w:val="24"/>
        </w:rPr>
      </w:pPr>
      <w:r w:rsidRPr="00E107A2">
        <w:rPr>
          <w:rFonts w:ascii="Book Antiqua" w:hAnsi="Book Antiqua"/>
          <w:bCs/>
          <w:sz w:val="24"/>
          <w:szCs w:val="24"/>
        </w:rPr>
        <w:t xml:space="preserve">Both Goldman Sachs and </w:t>
      </w:r>
      <w:proofErr w:type="spellStart"/>
      <w:r w:rsidRPr="00E107A2">
        <w:rPr>
          <w:rFonts w:ascii="Book Antiqua" w:hAnsi="Book Antiqua"/>
          <w:bCs/>
          <w:sz w:val="24"/>
          <w:szCs w:val="24"/>
        </w:rPr>
        <w:t>Stoykov</w:t>
      </w:r>
      <w:proofErr w:type="spellEnd"/>
      <w:r w:rsidRPr="00E107A2">
        <w:rPr>
          <w:rFonts w:ascii="Book Antiqua" w:hAnsi="Book Antiqua"/>
          <w:bCs/>
          <w:sz w:val="24"/>
          <w:szCs w:val="24"/>
        </w:rPr>
        <w:t xml:space="preserve"> argue that there are growing reasons to consider cutting rates. Goldman Sachs points to signs of a softening labor market—with job openings becoming harder to fill and factors like seasonal data shifts and changes in immigration policy </w:t>
      </w:r>
      <w:proofErr w:type="gramStart"/>
      <w:r w:rsidRPr="00E107A2">
        <w:rPr>
          <w:rFonts w:ascii="Book Antiqua" w:hAnsi="Book Antiqua"/>
          <w:bCs/>
          <w:sz w:val="24"/>
          <w:szCs w:val="24"/>
        </w:rPr>
        <w:t>likely</w:t>
      </w:r>
      <w:proofErr w:type="gramEnd"/>
      <w:r w:rsidRPr="00E107A2">
        <w:rPr>
          <w:rFonts w:ascii="Book Antiqua" w:hAnsi="Book Antiqua"/>
          <w:bCs/>
          <w:sz w:val="24"/>
          <w:szCs w:val="24"/>
        </w:rPr>
        <w:t xml:space="preserve"> to slow payroll growth further. Meanwhile, </w:t>
      </w:r>
      <w:proofErr w:type="spellStart"/>
      <w:r w:rsidRPr="00E107A2">
        <w:rPr>
          <w:rFonts w:ascii="Book Antiqua" w:hAnsi="Book Antiqua"/>
          <w:bCs/>
          <w:sz w:val="24"/>
          <w:szCs w:val="24"/>
        </w:rPr>
        <w:t>Stoykov</w:t>
      </w:r>
      <w:proofErr w:type="spellEnd"/>
      <w:r w:rsidRPr="00E107A2">
        <w:rPr>
          <w:rFonts w:ascii="Book Antiqua" w:hAnsi="Book Antiqua"/>
          <w:bCs/>
          <w:sz w:val="24"/>
          <w:szCs w:val="24"/>
        </w:rPr>
        <w:t xml:space="preserve"> highlights that inflation has dropped sharply and is now near the Fed’s target, suggesting that the historically high federal funds rate may be more restrictive than necessary to keep growth in check. Both also note that the effects of past rate </w:t>
      </w:r>
      <w:proofErr w:type="gramStart"/>
      <w:r w:rsidRPr="00E107A2">
        <w:rPr>
          <w:rFonts w:ascii="Book Antiqua" w:hAnsi="Book Antiqua"/>
          <w:bCs/>
          <w:sz w:val="24"/>
          <w:szCs w:val="24"/>
        </w:rPr>
        <w:t>hikes</w:t>
      </w:r>
      <w:proofErr w:type="gramEnd"/>
      <w:r w:rsidRPr="00E107A2">
        <w:rPr>
          <w:rFonts w:ascii="Book Antiqua" w:hAnsi="Book Antiqua"/>
          <w:bCs/>
          <w:sz w:val="24"/>
          <w:szCs w:val="24"/>
        </w:rPr>
        <w:t xml:space="preserve"> are still working their way through the economy, while inflation expectations remain well-anchored, reflecting the Fed’s credibility. Goldman Sachs emphasizes that the monetary environment remains tight, especially with ongoing balance sheet reductions, increasing the risk that holding rates too long could lead to an unnecessary economic slowdown. Together, they make the case that the Fed should be ready to ease policy soon—though the central bank remains cautious, waiting for clearer signals amid uncertainty over the June dot plot and possible new leadership shaping the future rate outlook.</w:t>
      </w:r>
    </w:p>
    <w:p w14:paraId="639A7A1B" w14:textId="77777777" w:rsidR="00E107A2" w:rsidRPr="00E107A2" w:rsidRDefault="00E107A2" w:rsidP="009448E6">
      <w:pPr>
        <w:spacing w:line="324" w:lineRule="auto"/>
        <w:rPr>
          <w:rFonts w:ascii="Book Antiqua" w:hAnsi="Book Antiqua"/>
          <w:bCs/>
          <w:sz w:val="24"/>
          <w:szCs w:val="24"/>
        </w:rPr>
      </w:pPr>
    </w:p>
    <w:p w14:paraId="3D33238E" w14:textId="77777777" w:rsidR="00BD7C5D" w:rsidRDefault="00BD7C5D" w:rsidP="00167D6F">
      <w:pPr>
        <w:spacing w:line="324" w:lineRule="auto"/>
        <w:rPr>
          <w:rFonts w:ascii="Book Antiqua" w:hAnsi="Book Antiqua"/>
          <w:b/>
          <w:sz w:val="24"/>
          <w:szCs w:val="24"/>
        </w:rPr>
      </w:pPr>
    </w:p>
    <w:p w14:paraId="6F61620E" w14:textId="77777777" w:rsidR="00BD7C5D" w:rsidRDefault="00BD7C5D" w:rsidP="00167D6F">
      <w:pPr>
        <w:spacing w:line="324" w:lineRule="auto"/>
        <w:rPr>
          <w:rFonts w:ascii="Book Antiqua" w:hAnsi="Book Antiqua"/>
          <w:b/>
          <w:sz w:val="24"/>
          <w:szCs w:val="24"/>
        </w:rPr>
      </w:pPr>
    </w:p>
    <w:p w14:paraId="23733722" w14:textId="77777777" w:rsidR="00BD7C5D" w:rsidRDefault="00BD7C5D" w:rsidP="00167D6F">
      <w:pPr>
        <w:spacing w:line="324" w:lineRule="auto"/>
        <w:rPr>
          <w:rFonts w:ascii="Book Antiqua" w:hAnsi="Book Antiqua"/>
          <w:b/>
          <w:sz w:val="24"/>
          <w:szCs w:val="24"/>
        </w:rPr>
      </w:pPr>
    </w:p>
    <w:p w14:paraId="0523CA2E" w14:textId="77777777" w:rsidR="00BD7C5D" w:rsidRDefault="00BD7C5D" w:rsidP="00167D6F">
      <w:pPr>
        <w:spacing w:line="324" w:lineRule="auto"/>
        <w:rPr>
          <w:rFonts w:ascii="Book Antiqua" w:hAnsi="Book Antiqua"/>
          <w:b/>
          <w:sz w:val="24"/>
          <w:szCs w:val="24"/>
        </w:rPr>
      </w:pPr>
    </w:p>
    <w:p w14:paraId="04CCF750" w14:textId="77777777" w:rsidR="00BD7C5D" w:rsidRDefault="00BD7C5D" w:rsidP="00167D6F">
      <w:pPr>
        <w:spacing w:line="324" w:lineRule="auto"/>
        <w:rPr>
          <w:rFonts w:ascii="Book Antiqua" w:hAnsi="Book Antiqua"/>
          <w:b/>
          <w:sz w:val="24"/>
          <w:szCs w:val="24"/>
        </w:rPr>
      </w:pPr>
    </w:p>
    <w:p w14:paraId="7C714B16" w14:textId="77777777" w:rsidR="00BD7C5D" w:rsidRDefault="00BD7C5D" w:rsidP="00167D6F">
      <w:pPr>
        <w:spacing w:line="324" w:lineRule="auto"/>
        <w:rPr>
          <w:rFonts w:ascii="Book Antiqua" w:hAnsi="Book Antiqua"/>
          <w:b/>
          <w:sz w:val="24"/>
          <w:szCs w:val="24"/>
        </w:rPr>
      </w:pPr>
    </w:p>
    <w:p w14:paraId="37310E07" w14:textId="583E740C" w:rsidR="00167D6F" w:rsidRDefault="00167D6F" w:rsidP="00167D6F">
      <w:pPr>
        <w:spacing w:line="324" w:lineRule="auto"/>
        <w:rPr>
          <w:rFonts w:ascii="Book Antiqua" w:hAnsi="Book Antiqua"/>
          <w:b/>
          <w:sz w:val="24"/>
          <w:szCs w:val="24"/>
        </w:rPr>
      </w:pPr>
      <w:r>
        <w:rPr>
          <w:rFonts w:ascii="Book Antiqua" w:hAnsi="Book Antiqua"/>
          <w:b/>
          <w:sz w:val="24"/>
          <w:szCs w:val="24"/>
        </w:rPr>
        <w:lastRenderedPageBreak/>
        <w:t>Assessment</w:t>
      </w:r>
    </w:p>
    <w:p w14:paraId="2555EFEA" w14:textId="40552C59" w:rsidR="009448E6" w:rsidRDefault="009448E6" w:rsidP="00167D6F">
      <w:pPr>
        <w:spacing w:line="324" w:lineRule="auto"/>
        <w:rPr>
          <w:rFonts w:ascii="Book Antiqua" w:hAnsi="Book Antiqua"/>
          <w:bCs/>
          <w:sz w:val="24"/>
          <w:szCs w:val="24"/>
        </w:rPr>
      </w:pPr>
      <w:r>
        <w:rPr>
          <w:rFonts w:ascii="Book Antiqua" w:hAnsi="Book Antiqua"/>
          <w:b/>
          <w:sz w:val="24"/>
          <w:szCs w:val="24"/>
        </w:rPr>
        <w:tab/>
      </w:r>
      <w:r w:rsidR="005F1C7F" w:rsidRPr="005F1C7F">
        <w:rPr>
          <w:rFonts w:ascii="Book Antiqua" w:hAnsi="Book Antiqua"/>
          <w:bCs/>
          <w:sz w:val="24"/>
          <w:szCs w:val="24"/>
        </w:rPr>
        <w:t>I am thoroughly convinced that the Fed made the right decision by holding rates steady, and I will explain why through several economic frameworks. First, I will discuss the Quantity Theory of Money to illustrate the link between money supply growth and inflation. Then, I will explore the Fiscal Theory of the Price Level, which emphasizes the role of government deficits and debt sustainability in determining prices. I will also compare Keynesian and Monetarist perspectives on money demand to show how interest rates and liquidity preferences shape inflationary pressures. Finally, I will bring in the concept of the neutral rate of interest to assess whether current policy is restrictive or accommodative. Together, these perspectives reinforce my view that cutting rates now would have been premature and potentially destabilizing.</w:t>
      </w:r>
      <w:r>
        <w:rPr>
          <w:rFonts w:ascii="Book Antiqua" w:hAnsi="Book Antiqua"/>
          <w:bCs/>
          <w:sz w:val="24"/>
          <w:szCs w:val="24"/>
        </w:rPr>
        <w:br/>
      </w:r>
    </w:p>
    <w:p w14:paraId="2EF15743" w14:textId="49922A1E" w:rsidR="009448E6" w:rsidRDefault="009448E6" w:rsidP="00167D6F">
      <w:pPr>
        <w:spacing w:line="324" w:lineRule="auto"/>
        <w:rPr>
          <w:rFonts w:ascii="Book Antiqua" w:hAnsi="Book Antiqua"/>
          <w:bCs/>
          <w:sz w:val="24"/>
          <w:szCs w:val="24"/>
          <w:u w:val="single"/>
        </w:rPr>
      </w:pPr>
      <w:r>
        <w:rPr>
          <w:rFonts w:ascii="Book Antiqua" w:hAnsi="Book Antiqua"/>
          <w:bCs/>
          <w:sz w:val="24"/>
          <w:szCs w:val="24"/>
          <w:u w:val="single"/>
        </w:rPr>
        <w:t>Quantity Theory of Money</w:t>
      </w:r>
    </w:p>
    <w:p w14:paraId="35F46899" w14:textId="7C5D7844" w:rsidR="009448E6" w:rsidRDefault="009448E6" w:rsidP="009448E6">
      <w:pPr>
        <w:spacing w:line="324" w:lineRule="auto"/>
        <w:ind w:firstLine="720"/>
        <w:rPr>
          <w:rFonts w:ascii="Book Antiqua" w:hAnsi="Book Antiqua"/>
          <w:bCs/>
          <w:sz w:val="24"/>
          <w:szCs w:val="24"/>
        </w:rPr>
      </w:pPr>
      <w:r>
        <w:rPr>
          <w:rFonts w:ascii="Book Antiqua" w:hAnsi="Book Antiqua"/>
          <w:bCs/>
          <w:sz w:val="24"/>
          <w:szCs w:val="24"/>
        </w:rPr>
        <w:t>One of these reasons aligns with the Austrian point of view, the Quantity Theory of Money Supply.  The QTM explains that the amount of money in an economy is directly linked to the price level of goods and services and is represented by the equation:</w:t>
      </w:r>
    </w:p>
    <w:p w14:paraId="10C31489" w14:textId="6A53560C" w:rsidR="009448E6" w:rsidRPr="009448E6" w:rsidRDefault="009448E6" w:rsidP="009448E6">
      <w:pPr>
        <w:spacing w:line="324" w:lineRule="auto"/>
        <w:jc w:val="center"/>
        <w:rPr>
          <w:rFonts w:ascii="Book Antiqua" w:hAnsi="Book Antiqua"/>
          <w:bCs/>
          <w:sz w:val="24"/>
          <w:szCs w:val="24"/>
        </w:rPr>
      </w:pPr>
      <m:oMathPara>
        <m:oMath>
          <m:r>
            <w:rPr>
              <w:rFonts w:ascii="Cambria Math" w:hAnsi="Cambria Math"/>
              <w:sz w:val="24"/>
              <w:szCs w:val="24"/>
            </w:rPr>
            <m:t>M*V=P*Y</m:t>
          </m:r>
        </m:oMath>
      </m:oMathPara>
    </w:p>
    <w:p w14:paraId="29D36EA5" w14:textId="05608404" w:rsidR="009448E6" w:rsidRPr="009448E6" w:rsidRDefault="009448E6" w:rsidP="009448E6">
      <w:pPr>
        <w:spacing w:line="324" w:lineRule="auto"/>
        <w:rPr>
          <w:rFonts w:ascii="Book Antiqua" w:hAnsi="Book Antiqua"/>
          <w:bCs/>
          <w:sz w:val="24"/>
          <w:szCs w:val="24"/>
        </w:rPr>
      </w:pPr>
      <w:r w:rsidRPr="009448E6">
        <w:rPr>
          <w:rFonts w:ascii="Book Antiqua" w:hAnsi="Book Antiqua"/>
          <w:bCs/>
          <w:sz w:val="24"/>
          <w:szCs w:val="24"/>
        </w:rPr>
        <w:t>Where:</w:t>
      </w:r>
    </w:p>
    <w:p w14:paraId="5D804807" w14:textId="04C61F4B" w:rsidR="009448E6" w:rsidRDefault="009448E6" w:rsidP="009448E6">
      <w:pPr>
        <w:pStyle w:val="ListParagraph"/>
        <w:numPr>
          <w:ilvl w:val="0"/>
          <w:numId w:val="11"/>
        </w:numPr>
        <w:spacing w:line="324" w:lineRule="auto"/>
        <w:rPr>
          <w:rFonts w:ascii="Book Antiqua" w:hAnsi="Book Antiqua"/>
          <w:bCs/>
          <w:sz w:val="24"/>
          <w:szCs w:val="24"/>
        </w:rPr>
      </w:pPr>
      <w:r>
        <w:rPr>
          <w:rFonts w:ascii="Book Antiqua" w:hAnsi="Book Antiqua"/>
          <w:bCs/>
          <w:sz w:val="24"/>
          <w:szCs w:val="24"/>
        </w:rPr>
        <w:t>M is the money supply.</w:t>
      </w:r>
    </w:p>
    <w:p w14:paraId="758D7602" w14:textId="3FAB2EC7" w:rsidR="009448E6" w:rsidRDefault="009448E6" w:rsidP="009448E6">
      <w:pPr>
        <w:pStyle w:val="ListParagraph"/>
        <w:numPr>
          <w:ilvl w:val="0"/>
          <w:numId w:val="11"/>
        </w:numPr>
        <w:spacing w:line="324" w:lineRule="auto"/>
        <w:rPr>
          <w:rFonts w:ascii="Book Antiqua" w:hAnsi="Book Antiqua"/>
          <w:bCs/>
          <w:sz w:val="24"/>
          <w:szCs w:val="24"/>
        </w:rPr>
      </w:pPr>
      <w:r>
        <w:rPr>
          <w:rFonts w:ascii="Book Antiqua" w:hAnsi="Book Antiqua"/>
          <w:bCs/>
          <w:sz w:val="24"/>
          <w:szCs w:val="24"/>
        </w:rPr>
        <w:t>V is the velocity of money.</w:t>
      </w:r>
    </w:p>
    <w:p w14:paraId="7E4F7157" w14:textId="7ABE1CC9" w:rsidR="009448E6" w:rsidRDefault="009448E6" w:rsidP="009448E6">
      <w:pPr>
        <w:pStyle w:val="ListParagraph"/>
        <w:numPr>
          <w:ilvl w:val="0"/>
          <w:numId w:val="11"/>
        </w:numPr>
        <w:spacing w:line="324" w:lineRule="auto"/>
        <w:rPr>
          <w:rFonts w:ascii="Book Antiqua" w:hAnsi="Book Antiqua"/>
          <w:bCs/>
          <w:sz w:val="24"/>
          <w:szCs w:val="24"/>
        </w:rPr>
      </w:pPr>
      <w:r>
        <w:rPr>
          <w:rFonts w:ascii="Book Antiqua" w:hAnsi="Book Antiqua"/>
          <w:bCs/>
          <w:sz w:val="24"/>
          <w:szCs w:val="24"/>
        </w:rPr>
        <w:t>P is the price level.</w:t>
      </w:r>
    </w:p>
    <w:p w14:paraId="7A9DA5AA" w14:textId="40E1D33B" w:rsidR="009448E6" w:rsidRDefault="009448E6" w:rsidP="009448E6">
      <w:pPr>
        <w:pStyle w:val="ListParagraph"/>
        <w:numPr>
          <w:ilvl w:val="0"/>
          <w:numId w:val="11"/>
        </w:numPr>
        <w:spacing w:line="324" w:lineRule="auto"/>
        <w:rPr>
          <w:rFonts w:ascii="Book Antiqua" w:hAnsi="Book Antiqua"/>
          <w:bCs/>
          <w:sz w:val="24"/>
          <w:szCs w:val="24"/>
        </w:rPr>
      </w:pPr>
      <w:r>
        <w:rPr>
          <w:rFonts w:ascii="Book Antiqua" w:hAnsi="Book Antiqua"/>
          <w:bCs/>
          <w:sz w:val="24"/>
          <w:szCs w:val="24"/>
        </w:rPr>
        <w:t>And Y is output.</w:t>
      </w:r>
    </w:p>
    <w:p w14:paraId="472E027D" w14:textId="0D273B28" w:rsidR="009448E6" w:rsidRDefault="009448E6" w:rsidP="009448E6">
      <w:pPr>
        <w:spacing w:line="324" w:lineRule="auto"/>
        <w:rPr>
          <w:rFonts w:ascii="Book Antiqua" w:hAnsi="Book Antiqua"/>
          <w:bCs/>
          <w:sz w:val="24"/>
          <w:szCs w:val="24"/>
        </w:rPr>
      </w:pPr>
      <w:r>
        <w:rPr>
          <w:rFonts w:ascii="Book Antiqua" w:hAnsi="Book Antiqua"/>
          <w:bCs/>
          <w:sz w:val="24"/>
          <w:szCs w:val="24"/>
        </w:rPr>
        <w:t xml:space="preserve">This theory assumes that </w:t>
      </w:r>
      <w:proofErr w:type="gramStart"/>
      <w:r>
        <w:rPr>
          <w:rFonts w:ascii="Book Antiqua" w:hAnsi="Book Antiqua"/>
          <w:bCs/>
          <w:sz w:val="24"/>
          <w:szCs w:val="24"/>
        </w:rPr>
        <w:t>velocity</w:t>
      </w:r>
      <w:proofErr w:type="gramEnd"/>
      <w:r>
        <w:rPr>
          <w:rFonts w:ascii="Book Antiqua" w:hAnsi="Book Antiqua"/>
          <w:bCs/>
          <w:sz w:val="24"/>
          <w:szCs w:val="24"/>
        </w:rPr>
        <w:t xml:space="preserve"> and output are constant in the short term (i.e. set equal to 1). As such, changes in the </w:t>
      </w:r>
      <w:proofErr w:type="gramStart"/>
      <w:r>
        <w:rPr>
          <w:rFonts w:ascii="Book Antiqua" w:hAnsi="Book Antiqua"/>
          <w:bCs/>
          <w:sz w:val="24"/>
          <w:szCs w:val="24"/>
        </w:rPr>
        <w:t>money supply</w:t>
      </w:r>
      <w:proofErr w:type="gramEnd"/>
      <w:r>
        <w:rPr>
          <w:rFonts w:ascii="Book Antiqua" w:hAnsi="Book Antiqua"/>
          <w:bCs/>
          <w:sz w:val="24"/>
          <w:szCs w:val="24"/>
        </w:rPr>
        <w:t xml:space="preserve"> are directly proportional to changes in prices.  Stated alternatively, more money with stead output and </w:t>
      </w:r>
      <w:proofErr w:type="gramStart"/>
      <w:r>
        <w:rPr>
          <w:rFonts w:ascii="Book Antiqua" w:hAnsi="Book Antiqua"/>
          <w:bCs/>
          <w:sz w:val="24"/>
          <w:szCs w:val="24"/>
        </w:rPr>
        <w:t>velocity</w:t>
      </w:r>
      <w:proofErr w:type="gramEnd"/>
      <w:r>
        <w:rPr>
          <w:rFonts w:ascii="Book Antiqua" w:hAnsi="Book Antiqua"/>
          <w:bCs/>
          <w:sz w:val="24"/>
          <w:szCs w:val="24"/>
        </w:rPr>
        <w:t xml:space="preserve"> means higher prices (inflation) and less money means lower prices.</w:t>
      </w:r>
    </w:p>
    <w:p w14:paraId="4F9FBE51" w14:textId="1E222D88" w:rsidR="009448E6" w:rsidRDefault="00397B8F" w:rsidP="009448E6">
      <w:pPr>
        <w:spacing w:line="324" w:lineRule="auto"/>
        <w:rPr>
          <w:rFonts w:ascii="Book Antiqua" w:hAnsi="Book Antiqua"/>
          <w:bCs/>
          <w:sz w:val="24"/>
          <w:szCs w:val="24"/>
        </w:rPr>
      </w:pPr>
      <w:r w:rsidRPr="00397B8F">
        <w:rPr>
          <w:rFonts w:ascii="Book Antiqua" w:hAnsi="Book Antiqua"/>
          <w:bCs/>
          <w:sz w:val="24"/>
          <w:szCs w:val="24"/>
        </w:rPr>
        <w:t>As shown in the earlier graph, the money supply has been steadily rising since mid-2023, with the latest data point from early June confirming this upward trend. The current money supply has not only returned to its 2022 peak but has actually surpassed it, suggesting—based on the quantity theory of money—that we can expect upward pressure on prices moving forward</w:t>
      </w:r>
      <w:r w:rsidR="009448E6" w:rsidRPr="00397B8F">
        <w:rPr>
          <w:rFonts w:ascii="Book Antiqua" w:hAnsi="Book Antiqua"/>
          <w:bCs/>
          <w:sz w:val="24"/>
          <w:szCs w:val="24"/>
        </w:rPr>
        <w:t>.</w:t>
      </w:r>
    </w:p>
    <w:p w14:paraId="752DC75A" w14:textId="31C0E71F" w:rsidR="009448E6" w:rsidRDefault="00EB3E13" w:rsidP="005D5803">
      <w:pPr>
        <w:spacing w:line="324" w:lineRule="auto"/>
        <w:rPr>
          <w:rFonts w:ascii="Book Antiqua" w:hAnsi="Book Antiqua"/>
          <w:bCs/>
          <w:sz w:val="24"/>
          <w:szCs w:val="24"/>
        </w:rPr>
      </w:pPr>
      <w:r>
        <w:rPr>
          <w:rFonts w:ascii="Book Antiqua" w:hAnsi="Book Antiqua"/>
          <w:bCs/>
          <w:noProof/>
          <w:sz w:val="24"/>
          <w:szCs w:val="24"/>
        </w:rPr>
        <w:lastRenderedPageBreak/>
        <w:drawing>
          <wp:anchor distT="0" distB="0" distL="114300" distR="114300" simplePos="0" relativeHeight="251662336" behindDoc="1" locked="0" layoutInCell="1" allowOverlap="1" wp14:anchorId="57F27865" wp14:editId="6559E92F">
            <wp:simplePos x="0" y="0"/>
            <wp:positionH relativeFrom="margin">
              <wp:align>left</wp:align>
            </wp:positionH>
            <wp:positionV relativeFrom="paragraph">
              <wp:posOffset>38100</wp:posOffset>
            </wp:positionV>
            <wp:extent cx="3604895" cy="2618105"/>
            <wp:effectExtent l="0" t="0" r="0" b="0"/>
            <wp:wrapTight wrapText="bothSides">
              <wp:wrapPolygon edited="0">
                <wp:start x="0" y="0"/>
                <wp:lineTo x="0" y="21375"/>
                <wp:lineTo x="21459" y="21375"/>
                <wp:lineTo x="21459" y="0"/>
                <wp:lineTo x="0" y="0"/>
              </wp:wrapPolygon>
            </wp:wrapTight>
            <wp:docPr id="21942379" name="Picture 6"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2379" name="Picture 6" descr="A graph of a line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985" cy="2619791"/>
                    </a:xfrm>
                    <a:prstGeom prst="rect">
                      <a:avLst/>
                    </a:prstGeom>
                    <a:noFill/>
                  </pic:spPr>
                </pic:pic>
              </a:graphicData>
            </a:graphic>
            <wp14:sizeRelH relativeFrom="margin">
              <wp14:pctWidth>0</wp14:pctWidth>
            </wp14:sizeRelH>
            <wp14:sizeRelV relativeFrom="margin">
              <wp14:pctHeight>0</wp14:pctHeight>
            </wp14:sizeRelV>
          </wp:anchor>
        </w:drawing>
      </w:r>
      <w:r>
        <w:rPr>
          <w:rFonts w:ascii="Book Antiqua" w:hAnsi="Book Antiqua"/>
          <w:bCs/>
          <w:noProof/>
          <w:sz w:val="24"/>
          <w:szCs w:val="24"/>
        </w:rPr>
        <w:drawing>
          <wp:anchor distT="0" distB="0" distL="114300" distR="114300" simplePos="0" relativeHeight="251665408" behindDoc="1" locked="0" layoutInCell="1" allowOverlap="1" wp14:anchorId="31509231" wp14:editId="045090E6">
            <wp:simplePos x="0" y="0"/>
            <wp:positionH relativeFrom="margin">
              <wp:align>left</wp:align>
            </wp:positionH>
            <wp:positionV relativeFrom="paragraph">
              <wp:posOffset>2795555</wp:posOffset>
            </wp:positionV>
            <wp:extent cx="3625850" cy="2633345"/>
            <wp:effectExtent l="0" t="0" r="0" b="0"/>
            <wp:wrapTight wrapText="bothSides">
              <wp:wrapPolygon edited="0">
                <wp:start x="0" y="0"/>
                <wp:lineTo x="0" y="21407"/>
                <wp:lineTo x="21449" y="21407"/>
                <wp:lineTo x="21449" y="0"/>
                <wp:lineTo x="0" y="0"/>
              </wp:wrapPolygon>
            </wp:wrapTight>
            <wp:docPr id="2144184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5850" cy="2633345"/>
                    </a:xfrm>
                    <a:prstGeom prst="rect">
                      <a:avLst/>
                    </a:prstGeom>
                    <a:noFill/>
                  </pic:spPr>
                </pic:pic>
              </a:graphicData>
            </a:graphic>
            <wp14:sizeRelH relativeFrom="margin">
              <wp14:pctWidth>0</wp14:pctWidth>
            </wp14:sizeRelH>
            <wp14:sizeRelV relativeFrom="margin">
              <wp14:pctHeight>0</wp14:pctHeight>
            </wp14:sizeRelV>
          </wp:anchor>
        </w:drawing>
      </w:r>
      <w:r w:rsidR="00537AFC" w:rsidRPr="00BD7C5D">
        <w:rPr>
          <w:rFonts w:ascii="Book Antiqua" w:hAnsi="Book Antiqua"/>
          <w:bCs/>
          <w:noProof/>
          <w:sz w:val="18"/>
          <w:szCs w:val="18"/>
        </w:rPr>
        <mc:AlternateContent>
          <mc:Choice Requires="wps">
            <w:drawing>
              <wp:anchor distT="45720" distB="45720" distL="114300" distR="114300" simplePos="0" relativeHeight="251661312" behindDoc="0" locked="0" layoutInCell="1" allowOverlap="1" wp14:anchorId="6E968F54" wp14:editId="5A1A7ABC">
                <wp:simplePos x="0" y="0"/>
                <wp:positionH relativeFrom="margin">
                  <wp:posOffset>3656354</wp:posOffset>
                </wp:positionH>
                <wp:positionV relativeFrom="paragraph">
                  <wp:posOffset>38100</wp:posOffset>
                </wp:positionV>
                <wp:extent cx="2309495" cy="5414010"/>
                <wp:effectExtent l="57150" t="38100" r="71755" b="914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9495" cy="54140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16750EA" w14:textId="77777777" w:rsidR="00BD7C5D" w:rsidRPr="005D5803" w:rsidRDefault="00BD7C5D" w:rsidP="00E44F10">
                            <w:pPr>
                              <w:rPr>
                                <w:rFonts w:ascii="Book Antiqua" w:hAnsi="Book Antiqua"/>
                                <w:b/>
                                <w:i/>
                                <w:iCs/>
                                <w:color w:val="EE0000"/>
                                <w:sz w:val="24"/>
                                <w:szCs w:val="24"/>
                              </w:rPr>
                            </w:pPr>
                            <w:r w:rsidRPr="005D5803">
                              <w:rPr>
                                <w:rFonts w:ascii="Book Antiqua" w:hAnsi="Book Antiqua"/>
                                <w:b/>
                                <w:i/>
                                <w:iCs/>
                                <w:color w:val="EE0000"/>
                                <w:sz w:val="24"/>
                                <w:szCs w:val="24"/>
                              </w:rPr>
                              <w:t>Money Supply Phenomenon</w:t>
                            </w:r>
                          </w:p>
                          <w:p w14:paraId="13DAF14A" w14:textId="77777777" w:rsidR="00BD7C5D" w:rsidRDefault="00BD7C5D" w:rsidP="00E44F10">
                            <w:pPr>
                              <w:rPr>
                                <w:rFonts w:ascii="Book Antiqua" w:hAnsi="Book Antiqua"/>
                                <w:bCs/>
                                <w:sz w:val="18"/>
                                <w:szCs w:val="18"/>
                              </w:rPr>
                            </w:pPr>
                          </w:p>
                          <w:p w14:paraId="6704A706" w14:textId="12B145F2" w:rsidR="00BD7C5D" w:rsidRPr="005D5803" w:rsidRDefault="00BD7C5D" w:rsidP="00E44F10">
                            <w:pPr>
                              <w:rPr>
                                <w:rFonts w:ascii="Book Antiqua" w:hAnsi="Book Antiqua"/>
                                <w:b/>
                                <w:sz w:val="18"/>
                                <w:szCs w:val="18"/>
                              </w:rPr>
                            </w:pPr>
                            <w:r w:rsidRPr="005D5803">
                              <w:rPr>
                                <w:rFonts w:ascii="Book Antiqua" w:hAnsi="Book Antiqua"/>
                                <w:b/>
                                <w:sz w:val="18"/>
                                <w:szCs w:val="18"/>
                              </w:rPr>
                              <w:t xml:space="preserve">Most of the time, money supply is positively correlated with the federal reserve balance sheet. Interestingly, we have recently been seeing money supply growth </w:t>
                            </w:r>
                            <w:r w:rsidRPr="005D5803">
                              <w:rPr>
                                <w:rFonts w:ascii="Book Antiqua" w:hAnsi="Book Antiqua"/>
                                <w:b/>
                                <w:i/>
                                <w:iCs/>
                                <w:sz w:val="18"/>
                                <w:szCs w:val="18"/>
                              </w:rPr>
                              <w:t>despite</w:t>
                            </w:r>
                            <w:r w:rsidRPr="005D5803">
                              <w:rPr>
                                <w:rFonts w:ascii="Book Antiqua" w:hAnsi="Book Antiqua"/>
                                <w:b/>
                                <w:sz w:val="18"/>
                                <w:szCs w:val="18"/>
                              </w:rPr>
                              <w:t xml:space="preserve"> quantitative tightening (the reduction of the Fed’s balance sheet)</w:t>
                            </w:r>
                            <w:r w:rsidR="00EC3961">
                              <w:rPr>
                                <w:rFonts w:ascii="Book Antiqua" w:hAnsi="Book Antiqua"/>
                                <w:b/>
                                <w:sz w:val="18"/>
                                <w:szCs w:val="18"/>
                              </w:rPr>
                              <w:t xml:space="preserve"> AND rate cuts!</w:t>
                            </w:r>
                            <w:r w:rsidRPr="005D5803">
                              <w:rPr>
                                <w:rFonts w:ascii="Book Antiqua" w:hAnsi="Book Antiqua"/>
                                <w:b/>
                                <w:sz w:val="18"/>
                                <w:szCs w:val="18"/>
                              </w:rPr>
                              <w:t xml:space="preserve"> So, what could be causing this?</w:t>
                            </w:r>
                          </w:p>
                          <w:p w14:paraId="71BE3484" w14:textId="77777777" w:rsidR="0047748B" w:rsidRPr="008563AA" w:rsidRDefault="0047748B" w:rsidP="00E44F10">
                            <w:pPr>
                              <w:rPr>
                                <w:rFonts w:ascii="Book Antiqua" w:hAnsi="Book Antiqua"/>
                                <w:bCs/>
                                <w:sz w:val="18"/>
                                <w:szCs w:val="18"/>
                              </w:rPr>
                            </w:pPr>
                          </w:p>
                          <w:p w14:paraId="35B9A97D" w14:textId="201DE871" w:rsidR="0047748B" w:rsidRDefault="0047748B" w:rsidP="00E44F10">
                            <w:pPr>
                              <w:rPr>
                                <w:rFonts w:ascii="Book Antiqua" w:hAnsi="Book Antiqua"/>
                                <w:b/>
                                <w:bCs/>
                                <w:sz w:val="18"/>
                                <w:szCs w:val="18"/>
                              </w:rPr>
                            </w:pPr>
                            <w:r>
                              <w:rPr>
                                <w:rFonts w:ascii="Book Antiqua" w:hAnsi="Book Antiqua"/>
                                <w:b/>
                                <w:bCs/>
                                <w:sz w:val="18"/>
                                <w:szCs w:val="18"/>
                              </w:rPr>
                              <w:t xml:space="preserve">A </w:t>
                            </w:r>
                            <w:r w:rsidRPr="0047748B">
                              <w:rPr>
                                <w:rFonts w:ascii="Book Antiqua" w:hAnsi="Book Antiqua"/>
                                <w:b/>
                                <w:bCs/>
                                <w:sz w:val="18"/>
                                <w:szCs w:val="18"/>
                              </w:rPr>
                              <w:t xml:space="preserve"> likely cause is the massive reduction in overnight repurpose agreements held by the Fed.</w:t>
                            </w:r>
                            <w:r>
                              <w:rPr>
                                <w:rFonts w:ascii="Book Antiqua" w:hAnsi="Book Antiqua"/>
                                <w:b/>
                                <w:bCs/>
                                <w:sz w:val="18"/>
                                <w:szCs w:val="18"/>
                              </w:rPr>
                              <w:t xml:space="preserve"> </w:t>
                            </w:r>
                            <w:r w:rsidRPr="0047748B">
                              <w:rPr>
                                <w:rFonts w:ascii="Book Antiqua" w:hAnsi="Book Antiqua"/>
                                <w:b/>
                                <w:bCs/>
                                <w:sz w:val="18"/>
                                <w:szCs w:val="18"/>
                              </w:rPr>
                              <w:t>The Fed’s Overnight Reverse Repo (ON RRP) facility is essentially a massive overnight parking lot for cash, where money market funds, banks, and other eligible institutions can deposit cash with the Fed in exchange for Treasury securities as collateral and a guaranteed interest rate. The next day, the cash is returned with interest, and the securities go back to the Fed. At its peak of $2.4 trillion, the facility acted like a “cash vacuum,” pulling large amounts of money out of the financial system each night and temporarily locking it away, reducing liquidity in the banking system and broader economy.</w:t>
                            </w:r>
                          </w:p>
                          <w:p w14:paraId="43237BA2" w14:textId="77777777" w:rsidR="0047748B" w:rsidRDefault="0047748B" w:rsidP="00E44F10">
                            <w:pPr>
                              <w:rPr>
                                <w:rFonts w:ascii="Book Antiqua" w:hAnsi="Book Antiqua"/>
                                <w:b/>
                                <w:bCs/>
                                <w:sz w:val="18"/>
                                <w:szCs w:val="18"/>
                              </w:rPr>
                            </w:pPr>
                          </w:p>
                          <w:p w14:paraId="25820855" w14:textId="15DC96D6" w:rsidR="0047748B" w:rsidRPr="0047748B" w:rsidRDefault="0047748B" w:rsidP="00E44F10">
                            <w:pPr>
                              <w:rPr>
                                <w:rFonts w:ascii="Book Antiqua" w:hAnsi="Book Antiqua"/>
                                <w:b/>
                                <w:bCs/>
                                <w:sz w:val="18"/>
                                <w:szCs w:val="18"/>
                              </w:rPr>
                            </w:pPr>
                            <w:r>
                              <w:rPr>
                                <w:rFonts w:ascii="Book Antiqua" w:hAnsi="Book Antiqua"/>
                                <w:b/>
                                <w:bCs/>
                                <w:sz w:val="18"/>
                                <w:szCs w:val="18"/>
                              </w:rPr>
                              <w:t>Since August 2023, the Fed has reduced their RRP balance from $1.8T down to just under $200B, indicating a $1.6T liquidity injection into the market.  This amount is just about consistent with the rise in money supply, with $300B not yet being accounted for in 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68F54" id="_x0000_t202" coordsize="21600,21600" o:spt="202" path="m,l,21600r21600,l21600,xe">
                <v:stroke joinstyle="miter"/>
                <v:path gradientshapeok="t" o:connecttype="rect"/>
              </v:shapetype>
              <v:shape id="Text Box 2" o:spid="_x0000_s1026" type="#_x0000_t202" style="position:absolute;margin-left:287.9pt;margin-top:3pt;width:181.85pt;height:426.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" fillcolor="#bfb1d0 [1623]" strokecolor="#795d9b [3047]">
                <v:fill color2="#ece7f1 [503]" rotate="t" angle="180" colors="0 #c9b5e8;22938f #d9cbee;1 #f0eaf9" focus="100%" type="gradient"/>
                <v:shadow on="t" color="black" opacity="24903f" origin=",.5" offset="0,.55556mm"/>
                <v:textbox>
                  <w:txbxContent>
                    <w:p w14:paraId="516750EA" w14:textId="77777777" w:rsidR="00BD7C5D" w:rsidRPr="005D5803" w:rsidRDefault="00BD7C5D" w:rsidP="00E44F10">
                      <w:pPr>
                        <w:rPr>
                          <w:rFonts w:ascii="Book Antiqua" w:hAnsi="Book Antiqua"/>
                          <w:b/>
                          <w:i/>
                          <w:iCs/>
                          <w:color w:val="EE0000"/>
                          <w:sz w:val="24"/>
                          <w:szCs w:val="24"/>
                        </w:rPr>
                      </w:pPr>
                      <w:r w:rsidRPr="005D5803">
                        <w:rPr>
                          <w:rFonts w:ascii="Book Antiqua" w:hAnsi="Book Antiqua"/>
                          <w:b/>
                          <w:i/>
                          <w:iCs/>
                          <w:color w:val="EE0000"/>
                          <w:sz w:val="24"/>
                          <w:szCs w:val="24"/>
                        </w:rPr>
                        <w:t>Money Supply Phenomenon</w:t>
                      </w:r>
                    </w:p>
                    <w:p w14:paraId="13DAF14A" w14:textId="77777777" w:rsidR="00BD7C5D" w:rsidRDefault="00BD7C5D" w:rsidP="00E44F10">
                      <w:pPr>
                        <w:rPr>
                          <w:rFonts w:ascii="Book Antiqua" w:hAnsi="Book Antiqua"/>
                          <w:bCs/>
                          <w:sz w:val="18"/>
                          <w:szCs w:val="18"/>
                        </w:rPr>
                      </w:pPr>
                    </w:p>
                    <w:p w14:paraId="6704A706" w14:textId="12B145F2" w:rsidR="00BD7C5D" w:rsidRPr="005D5803" w:rsidRDefault="00BD7C5D" w:rsidP="00E44F10">
                      <w:pPr>
                        <w:rPr>
                          <w:rFonts w:ascii="Book Antiqua" w:hAnsi="Book Antiqua"/>
                          <w:b/>
                          <w:sz w:val="18"/>
                          <w:szCs w:val="18"/>
                        </w:rPr>
                      </w:pPr>
                      <w:r w:rsidRPr="005D5803">
                        <w:rPr>
                          <w:rFonts w:ascii="Book Antiqua" w:hAnsi="Book Antiqua"/>
                          <w:b/>
                          <w:sz w:val="18"/>
                          <w:szCs w:val="18"/>
                        </w:rPr>
                        <w:t xml:space="preserve">Most of the time, money supply is positively correlated with the federal reserve balance sheet. Interestingly, we have recently been seeing money supply growth </w:t>
                      </w:r>
                      <w:r w:rsidRPr="005D5803">
                        <w:rPr>
                          <w:rFonts w:ascii="Book Antiqua" w:hAnsi="Book Antiqua"/>
                          <w:b/>
                          <w:i/>
                          <w:iCs/>
                          <w:sz w:val="18"/>
                          <w:szCs w:val="18"/>
                        </w:rPr>
                        <w:t>despite</w:t>
                      </w:r>
                      <w:r w:rsidRPr="005D5803">
                        <w:rPr>
                          <w:rFonts w:ascii="Book Antiqua" w:hAnsi="Book Antiqua"/>
                          <w:b/>
                          <w:sz w:val="18"/>
                          <w:szCs w:val="18"/>
                        </w:rPr>
                        <w:t xml:space="preserve"> quantitative tightening (the reduction of the Fed’s balance sheet)</w:t>
                      </w:r>
                      <w:r w:rsidR="00EC3961">
                        <w:rPr>
                          <w:rFonts w:ascii="Book Antiqua" w:hAnsi="Book Antiqua"/>
                          <w:b/>
                          <w:sz w:val="18"/>
                          <w:szCs w:val="18"/>
                        </w:rPr>
                        <w:t xml:space="preserve"> AND rate cuts!</w:t>
                      </w:r>
                      <w:r w:rsidRPr="005D5803">
                        <w:rPr>
                          <w:rFonts w:ascii="Book Antiqua" w:hAnsi="Book Antiqua"/>
                          <w:b/>
                          <w:sz w:val="18"/>
                          <w:szCs w:val="18"/>
                        </w:rPr>
                        <w:t xml:space="preserve"> So, what could be causing this?</w:t>
                      </w:r>
                    </w:p>
                    <w:p w14:paraId="71BE3484" w14:textId="77777777" w:rsidR="0047748B" w:rsidRPr="008563AA" w:rsidRDefault="0047748B" w:rsidP="00E44F10">
                      <w:pPr>
                        <w:rPr>
                          <w:rFonts w:ascii="Book Antiqua" w:hAnsi="Book Antiqua"/>
                          <w:bCs/>
                          <w:sz w:val="18"/>
                          <w:szCs w:val="18"/>
                        </w:rPr>
                      </w:pPr>
                    </w:p>
                    <w:p w14:paraId="35B9A97D" w14:textId="201DE871" w:rsidR="0047748B" w:rsidRDefault="0047748B" w:rsidP="00E44F10">
                      <w:pPr>
                        <w:rPr>
                          <w:rFonts w:ascii="Book Antiqua" w:hAnsi="Book Antiqua"/>
                          <w:b/>
                          <w:bCs/>
                          <w:sz w:val="18"/>
                          <w:szCs w:val="18"/>
                        </w:rPr>
                      </w:pPr>
                      <w:r>
                        <w:rPr>
                          <w:rFonts w:ascii="Book Antiqua" w:hAnsi="Book Antiqua"/>
                          <w:b/>
                          <w:bCs/>
                          <w:sz w:val="18"/>
                          <w:szCs w:val="18"/>
                        </w:rPr>
                        <w:t xml:space="preserve">A </w:t>
                      </w:r>
                      <w:r w:rsidRPr="0047748B">
                        <w:rPr>
                          <w:rFonts w:ascii="Book Antiqua" w:hAnsi="Book Antiqua"/>
                          <w:b/>
                          <w:bCs/>
                          <w:sz w:val="18"/>
                          <w:szCs w:val="18"/>
                        </w:rPr>
                        <w:t xml:space="preserve"> likely cause is the massive reduction in overnight repurpose agreements held by the Fed.</w:t>
                      </w:r>
                      <w:r>
                        <w:rPr>
                          <w:rFonts w:ascii="Book Antiqua" w:hAnsi="Book Antiqua"/>
                          <w:b/>
                          <w:bCs/>
                          <w:sz w:val="18"/>
                          <w:szCs w:val="18"/>
                        </w:rPr>
                        <w:t xml:space="preserve"> </w:t>
                      </w:r>
                      <w:r w:rsidRPr="0047748B">
                        <w:rPr>
                          <w:rFonts w:ascii="Book Antiqua" w:hAnsi="Book Antiqua"/>
                          <w:b/>
                          <w:bCs/>
                          <w:sz w:val="18"/>
                          <w:szCs w:val="18"/>
                        </w:rPr>
                        <w:t>The Fed’s Overnight Reverse Repo (ON RRP) facility is essentially a massive overnight parking lot for cash, where money market funds, banks, and other eligible institutions can deposit cash with the Fed in exchange for Treasury securities as collateral and a guaranteed interest rate. The next day, the cash is returned with interest, and the securities go back to the Fed. At its peak of $2.4 trillion, the facility acted like a “cash vacuum,” pulling large amounts of money out of the financial system each night and temporarily locking it away, reducing liquidity in the banking system and broader economy.</w:t>
                      </w:r>
                    </w:p>
                    <w:p w14:paraId="43237BA2" w14:textId="77777777" w:rsidR="0047748B" w:rsidRDefault="0047748B" w:rsidP="00E44F10">
                      <w:pPr>
                        <w:rPr>
                          <w:rFonts w:ascii="Book Antiqua" w:hAnsi="Book Antiqua"/>
                          <w:b/>
                          <w:bCs/>
                          <w:sz w:val="18"/>
                          <w:szCs w:val="18"/>
                        </w:rPr>
                      </w:pPr>
                    </w:p>
                    <w:p w14:paraId="25820855" w14:textId="15DC96D6" w:rsidR="0047748B" w:rsidRPr="0047748B" w:rsidRDefault="0047748B" w:rsidP="00E44F10">
                      <w:pPr>
                        <w:rPr>
                          <w:rFonts w:ascii="Book Antiqua" w:hAnsi="Book Antiqua"/>
                          <w:b/>
                          <w:bCs/>
                          <w:sz w:val="18"/>
                          <w:szCs w:val="18"/>
                        </w:rPr>
                      </w:pPr>
                      <w:r>
                        <w:rPr>
                          <w:rFonts w:ascii="Book Antiqua" w:hAnsi="Book Antiqua"/>
                          <w:b/>
                          <w:bCs/>
                          <w:sz w:val="18"/>
                          <w:szCs w:val="18"/>
                        </w:rPr>
                        <w:t>Since August 2023, the Fed has reduced their RRP balance from $1.8T down to just under $200B, indicating a $1.6T liquidity injection into the market.  This amount is just about consistent with the rise in money supply, with $300B not yet being accounted for in M2.</w:t>
                      </w:r>
                    </w:p>
                  </w:txbxContent>
                </v:textbox>
                <w10:wrap type="square" anchorx="margin"/>
              </v:shape>
            </w:pict>
          </mc:Fallback>
        </mc:AlternateContent>
      </w:r>
    </w:p>
    <w:p w14:paraId="719A796C" w14:textId="329904AA" w:rsidR="009448E6" w:rsidRDefault="002C285A" w:rsidP="009448E6">
      <w:pPr>
        <w:spacing w:line="324" w:lineRule="auto"/>
        <w:rPr>
          <w:rFonts w:ascii="Book Antiqua" w:hAnsi="Book Antiqua"/>
          <w:bCs/>
          <w:sz w:val="24"/>
          <w:szCs w:val="24"/>
          <w:u w:val="single"/>
        </w:rPr>
      </w:pPr>
      <w:r>
        <w:rPr>
          <w:rFonts w:ascii="Book Antiqua" w:hAnsi="Book Antiqua"/>
          <w:bCs/>
          <w:sz w:val="24"/>
          <w:szCs w:val="24"/>
          <w:u w:val="single"/>
        </w:rPr>
        <w:t>Fiscal Theory of the Price Level</w:t>
      </w:r>
    </w:p>
    <w:p w14:paraId="34897D67" w14:textId="65939BC6" w:rsidR="002C285A" w:rsidRPr="002C285A" w:rsidRDefault="002C285A" w:rsidP="002C285A">
      <w:pPr>
        <w:spacing w:line="324" w:lineRule="auto"/>
        <w:ind w:firstLine="720"/>
        <w:rPr>
          <w:rFonts w:ascii="Book Antiqua" w:hAnsi="Book Antiqua"/>
          <w:bCs/>
          <w:sz w:val="24"/>
          <w:szCs w:val="24"/>
        </w:rPr>
      </w:pPr>
      <w:r w:rsidRPr="002C285A">
        <w:rPr>
          <w:rFonts w:ascii="Book Antiqua" w:hAnsi="Book Antiqua"/>
          <w:bCs/>
          <w:sz w:val="24"/>
          <w:szCs w:val="24"/>
        </w:rPr>
        <w:t>The Fiscal Theory of the Price Level is an alternative to the traditional monetary view of inflation. Instead of focusing primarily on the money supply, FTPL emphasizes the role of government fiscal policy—specifically the relationship between government debt, deficits, and future primary surpluses—in determining the price level. In this framework, the price level adjusts to ensure that the real value of government debt equals the present value of expected future surpluses. If the fiscal stance is unsustainable, the adjustment happens through higher inflation rather than through changes in interest rates or money supply alone.</w:t>
      </w:r>
    </w:p>
    <w:p w14:paraId="1BF04DB4" w14:textId="41423F4B" w:rsidR="002C285A" w:rsidRPr="002C285A" w:rsidRDefault="002C285A" w:rsidP="002C285A">
      <w:pPr>
        <w:spacing w:line="324" w:lineRule="auto"/>
        <w:ind w:firstLine="720"/>
        <w:rPr>
          <w:rFonts w:ascii="Book Antiqua" w:hAnsi="Book Antiqua"/>
          <w:bCs/>
          <w:sz w:val="24"/>
          <w:szCs w:val="24"/>
        </w:rPr>
      </w:pPr>
      <w:r w:rsidRPr="002C285A">
        <w:rPr>
          <w:rFonts w:ascii="Book Antiqua" w:hAnsi="Book Antiqua"/>
          <w:bCs/>
          <w:sz w:val="24"/>
          <w:szCs w:val="24"/>
        </w:rPr>
        <w:lastRenderedPageBreak/>
        <w:t xml:space="preserve">Under the weak form of FTPL, monetary policy still plays the primary role in determining the price level in the short and medium term. Fiscal policy matters, but mainly as a long-run constraint—persistent fiscal imbalances may eventually require inflationary financing, yet in normal circumstances, central banks retain control over inflation through interest rate policy. This is the </w:t>
      </w:r>
      <w:proofErr w:type="gramStart"/>
      <w:r w:rsidRPr="002C285A">
        <w:rPr>
          <w:rFonts w:ascii="Book Antiqua" w:hAnsi="Book Antiqua"/>
          <w:bCs/>
          <w:sz w:val="24"/>
          <w:szCs w:val="24"/>
        </w:rPr>
        <w:t>version most consistent</w:t>
      </w:r>
      <w:proofErr w:type="gramEnd"/>
      <w:r w:rsidRPr="002C285A">
        <w:rPr>
          <w:rFonts w:ascii="Book Antiqua" w:hAnsi="Book Antiqua"/>
          <w:bCs/>
          <w:sz w:val="24"/>
          <w:szCs w:val="24"/>
        </w:rPr>
        <w:t xml:space="preserve"> </w:t>
      </w:r>
      <w:proofErr w:type="gramStart"/>
      <w:r w:rsidRPr="002C285A">
        <w:rPr>
          <w:rFonts w:ascii="Book Antiqua" w:hAnsi="Book Antiqua"/>
          <w:bCs/>
          <w:sz w:val="24"/>
          <w:szCs w:val="24"/>
        </w:rPr>
        <w:t>with</w:t>
      </w:r>
      <w:proofErr w:type="gramEnd"/>
      <w:r w:rsidRPr="002C285A">
        <w:rPr>
          <w:rFonts w:ascii="Book Antiqua" w:hAnsi="Book Antiqua"/>
          <w:bCs/>
          <w:sz w:val="24"/>
          <w:szCs w:val="24"/>
        </w:rPr>
        <w:t xml:space="preserve"> the past several decades in advanced economies, where credible monetary authorities have been able to manage inflation even in the presence of budget deficits.</w:t>
      </w:r>
    </w:p>
    <w:p w14:paraId="7688E3CB" w14:textId="2F3FA435" w:rsidR="005D5803" w:rsidRDefault="002C285A" w:rsidP="002C285A">
      <w:pPr>
        <w:spacing w:line="324" w:lineRule="auto"/>
        <w:ind w:firstLine="720"/>
        <w:rPr>
          <w:rFonts w:ascii="Book Antiqua" w:hAnsi="Book Antiqua"/>
          <w:bCs/>
          <w:sz w:val="24"/>
          <w:szCs w:val="24"/>
        </w:rPr>
      </w:pPr>
      <w:r w:rsidRPr="002C285A">
        <w:rPr>
          <w:rFonts w:ascii="Book Antiqua" w:hAnsi="Book Antiqua"/>
          <w:bCs/>
          <w:sz w:val="24"/>
          <w:szCs w:val="24"/>
        </w:rPr>
        <w:t>The strong form of FTPL asserts that fiscal policy is the dominant force in setting the price level, regardless of the stance of monetary policy. In this view, if the government runs persistent and unsustainable deficits without credible plans to generate future surpluses, the price level must rise to reduce the real value of debt. Monetary policy is essentially subordinate—interest rate changes cannot offset fiscal-driven inflation unless the fiscal stance itself changes. This version is more relevant in situations where fiscal dominance prevails, such as during episodes of high debt monetization or loss of market confidence.</w:t>
      </w:r>
    </w:p>
    <w:p w14:paraId="67CB0E8A" w14:textId="43D4A278" w:rsidR="005D5803" w:rsidRPr="009448E6" w:rsidRDefault="002C285A" w:rsidP="002C285A">
      <w:pPr>
        <w:spacing w:line="324" w:lineRule="auto"/>
        <w:ind w:firstLine="720"/>
        <w:rPr>
          <w:rFonts w:ascii="Book Antiqua" w:hAnsi="Book Antiqua"/>
          <w:bCs/>
          <w:sz w:val="24"/>
          <w:szCs w:val="24"/>
        </w:rPr>
      </w:pPr>
      <w:r w:rsidRPr="002C285A">
        <w:rPr>
          <w:rFonts w:ascii="Book Antiqua" w:hAnsi="Book Antiqua"/>
          <w:bCs/>
          <w:sz w:val="24"/>
          <w:szCs w:val="24"/>
        </w:rPr>
        <w:t>With this distinction in mind, examining the recent trends in the fiscal deficit provides valuable insight into whether current conditions align more closely with the weak or strong form of FTPL.</w:t>
      </w:r>
    </w:p>
    <w:p w14:paraId="69FBBF14" w14:textId="77777777" w:rsidR="00F41599" w:rsidRPr="00F41599" w:rsidRDefault="00B14637" w:rsidP="00F41599">
      <w:pPr>
        <w:spacing w:line="324" w:lineRule="auto"/>
        <w:rPr>
          <w:rFonts w:ascii="Book Antiqua" w:hAnsi="Book Antiqua"/>
          <w:bCs/>
          <w:sz w:val="24"/>
          <w:szCs w:val="24"/>
        </w:rPr>
      </w:pPr>
      <w:r w:rsidRPr="00B14637">
        <w:rPr>
          <w:rFonts w:ascii="Book Antiqua" w:hAnsi="Book Antiqua"/>
          <w:b/>
          <w:noProof/>
          <w:sz w:val="24"/>
          <w:szCs w:val="24"/>
        </w:rPr>
        <w:drawing>
          <wp:anchor distT="0" distB="0" distL="114300" distR="114300" simplePos="0" relativeHeight="251666432" behindDoc="1" locked="0" layoutInCell="1" allowOverlap="1" wp14:anchorId="2F7051C7" wp14:editId="03588EA0">
            <wp:simplePos x="0" y="0"/>
            <wp:positionH relativeFrom="margin">
              <wp:align>right</wp:align>
            </wp:positionH>
            <wp:positionV relativeFrom="paragraph">
              <wp:posOffset>63697</wp:posOffset>
            </wp:positionV>
            <wp:extent cx="3605048" cy="3547133"/>
            <wp:effectExtent l="0" t="0" r="0" b="0"/>
            <wp:wrapTight wrapText="bothSides">
              <wp:wrapPolygon edited="0">
                <wp:start x="0" y="0"/>
                <wp:lineTo x="0" y="21461"/>
                <wp:lineTo x="21459" y="21461"/>
                <wp:lineTo x="21459" y="0"/>
                <wp:lineTo x="0" y="0"/>
              </wp:wrapPolygon>
            </wp:wrapTight>
            <wp:docPr id="4" name="Picture 3" descr="A graph of different colored bars&#10;&#10;AI-generated content may be incorrect.">
              <a:extLst xmlns:a="http://schemas.openxmlformats.org/drawingml/2006/main">
                <a:ext uri="{FF2B5EF4-FFF2-40B4-BE49-F238E27FC236}">
                  <a16:creationId xmlns:a16="http://schemas.microsoft.com/office/drawing/2014/main" id="{80159FB0-225D-A684-EC49-78E36A33FD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different colored bars&#10;&#10;AI-generated content may be incorrect.">
                      <a:extLst>
                        <a:ext uri="{FF2B5EF4-FFF2-40B4-BE49-F238E27FC236}">
                          <a16:creationId xmlns:a16="http://schemas.microsoft.com/office/drawing/2014/main" id="{80159FB0-225D-A684-EC49-78E36A33FDE3}"/>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05048" cy="3547133"/>
                    </a:xfrm>
                    <a:prstGeom prst="rect">
                      <a:avLst/>
                    </a:prstGeom>
                  </pic:spPr>
                </pic:pic>
              </a:graphicData>
            </a:graphic>
          </wp:anchor>
        </w:drawing>
      </w:r>
      <w:r>
        <w:rPr>
          <w:rFonts w:ascii="Book Antiqua" w:hAnsi="Book Antiqua"/>
          <w:b/>
          <w:sz w:val="24"/>
          <w:szCs w:val="24"/>
        </w:rPr>
        <w:tab/>
      </w:r>
      <w:r w:rsidR="00F41599" w:rsidRPr="00F41599">
        <w:rPr>
          <w:rFonts w:ascii="Book Antiqua" w:hAnsi="Book Antiqua"/>
          <w:bCs/>
          <w:sz w:val="24"/>
          <w:szCs w:val="24"/>
        </w:rPr>
        <w:t xml:space="preserve">The recent combination of a rising fiscal deficit alongside falling inflation expectations suggests that the U.S. is currently operating under the weak form of the Fiscal Theory of the Price Level (FTPL). Under this view, fiscal policy can influence prices, but monetary policy remains the primary anchor for inflation. Markets appear to believe that, despite the larger deficit, the government will eventually </w:t>
      </w:r>
      <w:r w:rsidR="00F41599" w:rsidRPr="00F41599">
        <w:rPr>
          <w:rFonts w:ascii="Book Antiqua" w:hAnsi="Book Antiqua"/>
          <w:bCs/>
          <w:sz w:val="24"/>
          <w:szCs w:val="24"/>
        </w:rPr>
        <w:lastRenderedPageBreak/>
        <w:t>implement the fiscal adjustments needed to stabilize debt, whether through higher future taxes, lower spending, or other credible measures. As a result, the deficit is not translating into higher inflation expectations, in contrast to the strong form of FTPL, where persistent deficits without credible adjustment plans would lead to a direct and sustained rise in expected inflation.</w:t>
      </w:r>
    </w:p>
    <w:p w14:paraId="79DE4C23" w14:textId="77777777" w:rsidR="00F41599" w:rsidRPr="00F41599" w:rsidRDefault="00F41599" w:rsidP="00F41599">
      <w:pPr>
        <w:spacing w:line="324" w:lineRule="auto"/>
        <w:ind w:firstLine="720"/>
        <w:rPr>
          <w:rFonts w:ascii="Book Antiqua" w:hAnsi="Book Antiqua"/>
          <w:bCs/>
          <w:sz w:val="24"/>
          <w:szCs w:val="24"/>
        </w:rPr>
      </w:pPr>
      <w:r w:rsidRPr="00F41599">
        <w:rPr>
          <w:rFonts w:ascii="Book Antiqua" w:hAnsi="Book Antiqua"/>
          <w:bCs/>
          <w:sz w:val="24"/>
          <w:szCs w:val="24"/>
        </w:rPr>
        <w:t>This divergence between fiscal trends and market-based inflation expectations is telling. Expectations serve as a forward-looking gauge of how investors and consumers believe prices will evolve—and they play a critical role in shaping actual inflation outcomes. Understanding why these expectations have declined, even in the face of widening deficits, is essential for interpreting both current policy credibility and the balance of risks for future inflation.</w:t>
      </w:r>
    </w:p>
    <w:p w14:paraId="40A7C190" w14:textId="77777777" w:rsidR="00F41599" w:rsidRDefault="00F41599" w:rsidP="00167D6F">
      <w:pPr>
        <w:spacing w:line="324" w:lineRule="auto"/>
        <w:rPr>
          <w:rFonts w:ascii="Book Antiqua" w:hAnsi="Book Antiqua"/>
          <w:bCs/>
          <w:sz w:val="24"/>
          <w:szCs w:val="24"/>
        </w:rPr>
      </w:pPr>
    </w:p>
    <w:p w14:paraId="0AF09002" w14:textId="4811FA27" w:rsidR="00F41599" w:rsidRPr="00F41599" w:rsidRDefault="00F41599" w:rsidP="00167D6F">
      <w:pPr>
        <w:spacing w:line="324" w:lineRule="auto"/>
        <w:rPr>
          <w:rFonts w:ascii="Book Antiqua" w:hAnsi="Book Antiqua"/>
          <w:bCs/>
          <w:sz w:val="24"/>
          <w:szCs w:val="24"/>
        </w:rPr>
      </w:pPr>
      <w:r>
        <w:rPr>
          <w:rFonts w:ascii="Book Antiqua" w:hAnsi="Book Antiqua"/>
          <w:bCs/>
          <w:sz w:val="24"/>
          <w:szCs w:val="24"/>
          <w:u w:val="single"/>
        </w:rPr>
        <w:t>Inflation Expectations</w:t>
      </w:r>
    </w:p>
    <w:p w14:paraId="614DFC50" w14:textId="23AE61D7" w:rsidR="00F41599" w:rsidRPr="00F41599" w:rsidRDefault="00F41599" w:rsidP="00F41599">
      <w:pPr>
        <w:spacing w:line="324" w:lineRule="auto"/>
        <w:jc w:val="center"/>
        <w:rPr>
          <w:rFonts w:ascii="Book Antiqua" w:hAnsi="Book Antiqua"/>
          <w:bCs/>
          <w:sz w:val="24"/>
          <w:szCs w:val="24"/>
        </w:rPr>
      </w:pPr>
      <w:r>
        <w:rPr>
          <w:rFonts w:ascii="Book Antiqua" w:hAnsi="Book Antiqua"/>
          <w:bCs/>
          <w:sz w:val="24"/>
          <w:szCs w:val="24"/>
        </w:rPr>
        <w:t>(</w:t>
      </w:r>
      <w:r w:rsidR="001A17AD">
        <w:rPr>
          <w:rFonts w:ascii="Book Antiqua" w:hAnsi="Book Antiqua"/>
          <w:bCs/>
          <w:sz w:val="24"/>
          <w:szCs w:val="24"/>
        </w:rPr>
        <w:t xml:space="preserve">1 Year Ahead </w:t>
      </w:r>
      <w:r>
        <w:rPr>
          <w:rFonts w:ascii="Book Antiqua" w:hAnsi="Book Antiqua"/>
          <w:bCs/>
          <w:sz w:val="24"/>
          <w:szCs w:val="24"/>
        </w:rPr>
        <w:t>Inflation Expectations – University of Michigan)</w:t>
      </w:r>
    </w:p>
    <w:p w14:paraId="15AC1F39" w14:textId="4FB378FE" w:rsidR="00285A5A" w:rsidRDefault="00285A5A" w:rsidP="00F41599">
      <w:pPr>
        <w:spacing w:line="324" w:lineRule="auto"/>
        <w:jc w:val="center"/>
        <w:rPr>
          <w:rFonts w:ascii="Book Antiqua" w:hAnsi="Book Antiqua"/>
          <w:b/>
          <w:sz w:val="24"/>
          <w:szCs w:val="24"/>
        </w:rPr>
      </w:pPr>
      <w:r w:rsidRPr="00285A5A">
        <w:rPr>
          <w:rFonts w:ascii="Book Antiqua" w:hAnsi="Book Antiqua"/>
          <w:b/>
          <w:noProof/>
          <w:sz w:val="24"/>
          <w:szCs w:val="24"/>
        </w:rPr>
        <w:drawing>
          <wp:inline distT="0" distB="0" distL="0" distR="0" wp14:anchorId="33359020" wp14:editId="49D155BF">
            <wp:extent cx="4407408" cy="2075688"/>
            <wp:effectExtent l="0" t="0" r="0" b="1270"/>
            <wp:docPr id="6" name="Picture 5" descr="A graph with blue bars&#10;&#10;AI-generated content may be incorrect.">
              <a:extLst xmlns:a="http://schemas.openxmlformats.org/drawingml/2006/main">
                <a:ext uri="{FF2B5EF4-FFF2-40B4-BE49-F238E27FC236}">
                  <a16:creationId xmlns:a16="http://schemas.microsoft.com/office/drawing/2014/main" id="{9EEEAEEF-4839-1D53-AB7D-1F083788F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blue bars&#10;&#10;AI-generated content may be incorrect.">
                      <a:extLst>
                        <a:ext uri="{FF2B5EF4-FFF2-40B4-BE49-F238E27FC236}">
                          <a16:creationId xmlns:a16="http://schemas.microsoft.com/office/drawing/2014/main" id="{9EEEAEEF-4839-1D53-AB7D-1F083788F371}"/>
                        </a:ext>
                      </a:extLst>
                    </pic:cNvPr>
                    <pic:cNvPicPr>
                      <a:picLocks noChangeAspect="1"/>
                    </pic:cNvPicPr>
                  </pic:nvPicPr>
                  <pic:blipFill>
                    <a:blip r:embed="rId14"/>
                    <a:stretch>
                      <a:fillRect/>
                    </a:stretch>
                  </pic:blipFill>
                  <pic:spPr>
                    <a:xfrm>
                      <a:off x="0" y="0"/>
                      <a:ext cx="4407408" cy="2075688"/>
                    </a:xfrm>
                    <a:prstGeom prst="rect">
                      <a:avLst/>
                    </a:prstGeom>
                  </pic:spPr>
                </pic:pic>
              </a:graphicData>
            </a:graphic>
          </wp:inline>
        </w:drawing>
      </w:r>
    </w:p>
    <w:p w14:paraId="66EF0C86" w14:textId="4A424CEF" w:rsidR="00F41599" w:rsidRDefault="00F41599" w:rsidP="00F41599">
      <w:pPr>
        <w:spacing w:line="324" w:lineRule="auto"/>
        <w:jc w:val="center"/>
        <w:rPr>
          <w:rFonts w:ascii="Book Antiqua" w:hAnsi="Book Antiqua"/>
          <w:bCs/>
          <w:sz w:val="24"/>
          <w:szCs w:val="24"/>
        </w:rPr>
      </w:pPr>
      <w:r>
        <w:rPr>
          <w:rFonts w:ascii="Book Antiqua" w:hAnsi="Book Antiqua"/>
          <w:bCs/>
          <w:sz w:val="24"/>
          <w:szCs w:val="24"/>
        </w:rPr>
        <w:t>(</w:t>
      </w:r>
      <w:r w:rsidR="001A17AD">
        <w:rPr>
          <w:rFonts w:ascii="Book Antiqua" w:hAnsi="Book Antiqua"/>
          <w:bCs/>
          <w:sz w:val="24"/>
          <w:szCs w:val="24"/>
        </w:rPr>
        <w:t xml:space="preserve">1 Year Ahead </w:t>
      </w:r>
      <w:r>
        <w:rPr>
          <w:rFonts w:ascii="Book Antiqua" w:hAnsi="Book Antiqua"/>
          <w:bCs/>
          <w:sz w:val="24"/>
          <w:szCs w:val="24"/>
        </w:rPr>
        <w:t>Inflation Expectations – New York Fed)</w:t>
      </w:r>
    </w:p>
    <w:p w14:paraId="7D9D4DC1" w14:textId="4B3C64AD" w:rsidR="00285A5A" w:rsidRDefault="00285A5A" w:rsidP="00F41599">
      <w:pPr>
        <w:spacing w:line="324" w:lineRule="auto"/>
        <w:jc w:val="center"/>
        <w:rPr>
          <w:rFonts w:ascii="Book Antiqua" w:hAnsi="Book Antiqua"/>
          <w:b/>
          <w:sz w:val="24"/>
          <w:szCs w:val="24"/>
        </w:rPr>
      </w:pPr>
      <w:r w:rsidRPr="00285A5A">
        <w:rPr>
          <w:rFonts w:ascii="Book Antiqua" w:hAnsi="Book Antiqua"/>
          <w:b/>
          <w:noProof/>
          <w:sz w:val="24"/>
          <w:szCs w:val="24"/>
        </w:rPr>
        <w:drawing>
          <wp:inline distT="0" distB="0" distL="0" distR="0" wp14:anchorId="5937BE4E" wp14:editId="7928801B">
            <wp:extent cx="4540469" cy="2101374"/>
            <wp:effectExtent l="0" t="0" r="0" b="0"/>
            <wp:docPr id="1879883901" name="Picture 3" descr="A graph with blue bars&#10;&#10;AI-generated content may be incorrect.">
              <a:extLst xmlns:a="http://schemas.openxmlformats.org/drawingml/2006/main">
                <a:ext uri="{FF2B5EF4-FFF2-40B4-BE49-F238E27FC236}">
                  <a16:creationId xmlns:a16="http://schemas.microsoft.com/office/drawing/2014/main" id="{116EFD3A-6874-BF39-9DDC-205841493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3901" name="Picture 3" descr="A graph with blue bars&#10;&#10;AI-generated content may be incorrect.">
                      <a:extLst>
                        <a:ext uri="{FF2B5EF4-FFF2-40B4-BE49-F238E27FC236}">
                          <a16:creationId xmlns:a16="http://schemas.microsoft.com/office/drawing/2014/main" id="{116EFD3A-6874-BF39-9DDC-205841493C8E}"/>
                        </a:ext>
                      </a:extLst>
                    </pic:cNvPr>
                    <pic:cNvPicPr>
                      <a:picLocks noChangeAspect="1"/>
                    </pic:cNvPicPr>
                  </pic:nvPicPr>
                  <pic:blipFill>
                    <a:blip r:embed="rId15"/>
                    <a:stretch>
                      <a:fillRect/>
                    </a:stretch>
                  </pic:blipFill>
                  <pic:spPr>
                    <a:xfrm>
                      <a:off x="0" y="0"/>
                      <a:ext cx="4556291" cy="2108697"/>
                    </a:xfrm>
                    <a:prstGeom prst="rect">
                      <a:avLst/>
                    </a:prstGeom>
                  </pic:spPr>
                </pic:pic>
              </a:graphicData>
            </a:graphic>
          </wp:inline>
        </w:drawing>
      </w:r>
    </w:p>
    <w:p w14:paraId="35D111EA" w14:textId="0FD9D107" w:rsidR="00F41599" w:rsidRDefault="00F41599" w:rsidP="00F41599">
      <w:pPr>
        <w:spacing w:line="324" w:lineRule="auto"/>
        <w:ind w:firstLine="720"/>
        <w:rPr>
          <w:rFonts w:ascii="Book Antiqua" w:hAnsi="Book Antiqua"/>
          <w:bCs/>
          <w:sz w:val="24"/>
          <w:szCs w:val="24"/>
        </w:rPr>
      </w:pPr>
      <w:r>
        <w:rPr>
          <w:rFonts w:ascii="Book Antiqua" w:hAnsi="Book Antiqua"/>
          <w:bCs/>
          <w:sz w:val="24"/>
          <w:szCs w:val="24"/>
        </w:rPr>
        <w:lastRenderedPageBreak/>
        <w:t xml:space="preserve">As we see above, despite differing degrees of estimated inflation expectations, expectations are falling. </w:t>
      </w:r>
      <w:r w:rsidRPr="00F41599">
        <w:rPr>
          <w:rFonts w:ascii="Book Antiqua" w:hAnsi="Book Antiqua"/>
          <w:bCs/>
          <w:sz w:val="24"/>
          <w:szCs w:val="24"/>
        </w:rPr>
        <w:t xml:space="preserve">Despite the growing deficit, inflation expectations are dropping steadily, sitting around 3% </w:t>
      </w:r>
      <w:r>
        <w:rPr>
          <w:rFonts w:ascii="Book Antiqua" w:hAnsi="Book Antiqua"/>
          <w:bCs/>
          <w:sz w:val="24"/>
          <w:szCs w:val="24"/>
        </w:rPr>
        <w:t>according to the New York Fed, and around 4.</w:t>
      </w:r>
      <w:r w:rsidR="005F1C7F">
        <w:rPr>
          <w:rFonts w:ascii="Book Antiqua" w:hAnsi="Book Antiqua"/>
          <w:bCs/>
          <w:sz w:val="24"/>
          <w:szCs w:val="24"/>
        </w:rPr>
        <w:t>5</w:t>
      </w:r>
      <w:r>
        <w:rPr>
          <w:rFonts w:ascii="Book Antiqua" w:hAnsi="Book Antiqua"/>
          <w:bCs/>
          <w:sz w:val="24"/>
          <w:szCs w:val="24"/>
        </w:rPr>
        <w:t>% according to the University of Michigan,</w:t>
      </w:r>
      <w:r w:rsidRPr="00F41599">
        <w:rPr>
          <w:rFonts w:ascii="Book Antiqua" w:hAnsi="Book Antiqua"/>
          <w:bCs/>
          <w:sz w:val="24"/>
          <w:szCs w:val="24"/>
        </w:rPr>
        <w:t xml:space="preserve"> indicating that the fed is getting some public trust back.  Because inflation expectations are falling despite rising fiscal deficits, the immediate risk of the fed being forced into dropping rates due to fiscal pressures is low.  If expectations were unanchored, meaning the public expected inflation to rise as a way to deal with deficits, the fed would face pressure to respond with lower rates to ensure solvency.  However, because expectations remain above the target rate, the Fed has not fully brought back their trust.  As a result, holding the FFRT steady reinforces the message that the Fed should be sending about their seriousness regarding returning to a 2% inflation rate.  Choosing to cut rates now would undermine confidence, leading consumers and businesses to expect higher inflation again.  </w:t>
      </w:r>
    </w:p>
    <w:p w14:paraId="2DA9FEC7" w14:textId="77777777" w:rsidR="005F1C7F" w:rsidRDefault="005F1C7F" w:rsidP="00F41599">
      <w:pPr>
        <w:spacing w:line="324" w:lineRule="auto"/>
        <w:ind w:firstLine="720"/>
        <w:rPr>
          <w:rFonts w:ascii="Book Antiqua" w:hAnsi="Book Antiqua"/>
          <w:bCs/>
          <w:sz w:val="24"/>
          <w:szCs w:val="24"/>
        </w:rPr>
      </w:pPr>
    </w:p>
    <w:p w14:paraId="2A41693C" w14:textId="4007EBFA" w:rsidR="005F1C7F" w:rsidRDefault="005F1C7F" w:rsidP="005F1C7F">
      <w:pPr>
        <w:spacing w:line="324" w:lineRule="auto"/>
        <w:rPr>
          <w:rFonts w:ascii="Book Antiqua" w:hAnsi="Book Antiqua"/>
          <w:bCs/>
          <w:sz w:val="24"/>
          <w:szCs w:val="24"/>
          <w:u w:val="single"/>
        </w:rPr>
      </w:pPr>
      <w:r>
        <w:rPr>
          <w:rFonts w:ascii="Book Antiqua" w:hAnsi="Book Antiqua"/>
          <w:bCs/>
          <w:sz w:val="24"/>
          <w:szCs w:val="24"/>
          <w:u w:val="single"/>
        </w:rPr>
        <w:t>Money Demand</w:t>
      </w:r>
    </w:p>
    <w:p w14:paraId="188739F3" w14:textId="77777777" w:rsidR="00AF0C04" w:rsidRPr="00AF0C04" w:rsidRDefault="00AF0C04" w:rsidP="00AF0C04">
      <w:pPr>
        <w:spacing w:line="324" w:lineRule="auto"/>
        <w:ind w:firstLine="720"/>
        <w:rPr>
          <w:rFonts w:ascii="Book Antiqua" w:hAnsi="Book Antiqua"/>
          <w:bCs/>
          <w:sz w:val="24"/>
          <w:szCs w:val="24"/>
        </w:rPr>
      </w:pPr>
      <w:r w:rsidRPr="00AF0C04">
        <w:rPr>
          <w:rFonts w:ascii="Book Antiqua" w:hAnsi="Book Antiqua"/>
          <w:bCs/>
          <w:sz w:val="24"/>
          <w:szCs w:val="24"/>
        </w:rPr>
        <w:t>Keynesian theory breaks down money demand into three reasons people hold cash: for everyday transactions, to cover unexpected expenses, and for speculative purposes—like holding cash instead of assets when interest rates are low. As incomes rise, people want more money on hand, but when interest rates go up, holding cash becomes more expensive, so demand falls. That’s why when the Fed raises rates—as it has recently—households and businesses tend to hold less money, which helps keep inflation pressures in check. If rates were cut too soon, though, more money might be demanded, fueling spending and pushing prices up.</w:t>
      </w:r>
    </w:p>
    <w:p w14:paraId="16C6DAA0" w14:textId="77777777" w:rsidR="00AF0C04" w:rsidRDefault="00AF0C04" w:rsidP="00AF0C04">
      <w:pPr>
        <w:spacing w:line="324" w:lineRule="auto"/>
        <w:ind w:firstLine="720"/>
        <w:rPr>
          <w:rFonts w:ascii="Book Antiqua" w:hAnsi="Book Antiqua"/>
          <w:bCs/>
          <w:sz w:val="24"/>
          <w:szCs w:val="24"/>
        </w:rPr>
      </w:pPr>
      <w:r w:rsidRPr="00AF0C04">
        <w:rPr>
          <w:rFonts w:ascii="Book Antiqua" w:hAnsi="Book Antiqua"/>
          <w:bCs/>
          <w:sz w:val="24"/>
          <w:szCs w:val="24"/>
        </w:rPr>
        <w:t>On the other hand, Monetarists like Milton Friedman see money demand as pretty stable over time. They focus on the idea that inflation happens when the money supply grows faster than what people and businesses actually want to hold. This is captured by the Quantity Theory of Money equation, MV = PY, which highlights a steady link between money supply, velocity, prices, and output. Given today’s high money supply, if demand doesn’t keep pace, there’s a real risk inflation could bounce back if rates are lowered too quickly. For Monetarists, the key is to align money supply growth with real economic growth, watching overall liquidity carefully to avoid future price spikes.</w:t>
      </w:r>
    </w:p>
    <w:p w14:paraId="6E02FD15" w14:textId="42C58BF0" w:rsidR="00AF0C04" w:rsidRDefault="00AF0C04" w:rsidP="00AF0C04">
      <w:pPr>
        <w:spacing w:line="324" w:lineRule="auto"/>
        <w:rPr>
          <w:rFonts w:ascii="Book Antiqua" w:hAnsi="Book Antiqua"/>
          <w:bCs/>
          <w:sz w:val="24"/>
          <w:szCs w:val="24"/>
          <w:u w:val="single"/>
        </w:rPr>
      </w:pPr>
      <w:r>
        <w:rPr>
          <w:rFonts w:ascii="Book Antiqua" w:hAnsi="Book Antiqua"/>
          <w:bCs/>
          <w:sz w:val="24"/>
          <w:szCs w:val="24"/>
          <w:u w:val="single"/>
        </w:rPr>
        <w:lastRenderedPageBreak/>
        <w:t>Neutral Rate</w:t>
      </w:r>
    </w:p>
    <w:p w14:paraId="79053E02" w14:textId="174EC2C8" w:rsidR="00893CEE" w:rsidRDefault="00AF0C04" w:rsidP="00893CEE">
      <w:pPr>
        <w:spacing w:line="324" w:lineRule="auto"/>
        <w:ind w:firstLine="720"/>
        <w:rPr>
          <w:rFonts w:ascii="Book Antiqua" w:hAnsi="Book Antiqua"/>
          <w:bCs/>
          <w:sz w:val="24"/>
          <w:szCs w:val="24"/>
        </w:rPr>
      </w:pPr>
      <w:r w:rsidRPr="00AF0C04">
        <w:rPr>
          <w:rFonts w:ascii="Book Antiqua" w:hAnsi="Book Antiqua"/>
          <w:bCs/>
          <w:sz w:val="24"/>
          <w:szCs w:val="24"/>
        </w:rPr>
        <w:t xml:space="preserve">The neutral rate is essentially the real interest rate that keeps the economy </w:t>
      </w:r>
      <w:proofErr w:type="gramStart"/>
      <w:r w:rsidRPr="00AF0C04">
        <w:rPr>
          <w:rFonts w:ascii="Book Antiqua" w:hAnsi="Book Antiqua"/>
          <w:bCs/>
          <w:sz w:val="24"/>
          <w:szCs w:val="24"/>
        </w:rPr>
        <w:t>balanced—</w:t>
      </w:r>
      <w:proofErr w:type="gramEnd"/>
      <w:r w:rsidRPr="00AF0C04">
        <w:rPr>
          <w:rFonts w:ascii="Book Antiqua" w:hAnsi="Book Antiqua"/>
          <w:bCs/>
          <w:sz w:val="24"/>
          <w:szCs w:val="24"/>
        </w:rPr>
        <w:t xml:space="preserve">neither pushing it to grow faster nor holding it back. When the </w:t>
      </w:r>
      <w:r w:rsidR="001A17AD">
        <w:rPr>
          <w:rFonts w:ascii="Book Antiqua" w:hAnsi="Book Antiqua"/>
          <w:bCs/>
          <w:sz w:val="24"/>
          <w:szCs w:val="24"/>
        </w:rPr>
        <w:t>Federal Funds R</w:t>
      </w:r>
      <w:r w:rsidRPr="00AF0C04">
        <w:rPr>
          <w:rFonts w:ascii="Book Antiqua" w:hAnsi="Book Antiqua"/>
          <w:bCs/>
          <w:sz w:val="24"/>
          <w:szCs w:val="24"/>
        </w:rPr>
        <w:t>ate is at this level, monetary policy isn’t adding any extra stimulus or restriction, letting things run at a steady, sustainable pace. We can’t see the neutral rate directly; economists have to estimate it, and it shifts over time as key factors like productivity growth, demographics, long-term GDP trends, global savings and investment balances, and fiscal policy change. Central banks watch this number closely because it helps them decide whether current interest rates are too tight, too loose, or just right for the economy’s health.</w:t>
      </w:r>
    </w:p>
    <w:p w14:paraId="01443FD8" w14:textId="433EF63F" w:rsidR="00893CEE" w:rsidRPr="00893CEE" w:rsidRDefault="00DC24E1" w:rsidP="00893CEE">
      <w:pPr>
        <w:spacing w:line="324" w:lineRule="auto"/>
        <w:ind w:firstLine="720"/>
        <w:rPr>
          <w:rFonts w:ascii="Book Antiqua" w:hAnsi="Book Antiqua"/>
          <w:bCs/>
          <w:sz w:val="24"/>
          <w:szCs w:val="24"/>
        </w:rPr>
      </w:pPr>
      <w:r w:rsidRPr="00DC24E1">
        <w:rPr>
          <w:rFonts w:ascii="Book Antiqua" w:hAnsi="Book Antiqua"/>
          <w:bCs/>
          <w:sz w:val="24"/>
          <w:szCs w:val="24"/>
        </w:rPr>
        <w:t>To understand where the neutral rate stands today, it helps to look at the main forces that drive it. These include how fast our population is growing, trends in labor productivity, signals from financial markets like the spread between short- and long-term interest rates, and the government’s fiscal position. Let’s walk through these key indicators and see what they reveal about the current economic backdrop and how they might be shaping the neutral rate now.</w:t>
      </w:r>
      <w:r w:rsidR="00F475ED">
        <w:rPr>
          <w:rFonts w:ascii="Book Antiqua" w:hAnsi="Book Antiqua"/>
          <w:bCs/>
          <w:sz w:val="24"/>
          <w:szCs w:val="24"/>
        </w:rPr>
        <w:t xml:space="preserve"> We already have seen rising deficits, so we’ll look through the remaining drivers.</w:t>
      </w:r>
    </w:p>
    <w:p w14:paraId="25923F45" w14:textId="32DCD175" w:rsidR="00893CEE" w:rsidRDefault="00893CEE" w:rsidP="00DC24E1">
      <w:pPr>
        <w:spacing w:line="324" w:lineRule="auto"/>
        <w:rPr>
          <w:rFonts w:ascii="Book Antiqua" w:hAnsi="Book Antiqua"/>
          <w:bCs/>
          <w:sz w:val="24"/>
          <w:szCs w:val="24"/>
        </w:rPr>
      </w:pPr>
      <w:r>
        <w:rPr>
          <w:rFonts w:ascii="Book Antiqua" w:hAnsi="Book Antiqua"/>
          <w:b/>
          <w:noProof/>
          <w:sz w:val="24"/>
          <w:szCs w:val="24"/>
        </w:rPr>
        <w:drawing>
          <wp:anchor distT="0" distB="0" distL="114300" distR="114300" simplePos="0" relativeHeight="251667456" behindDoc="1" locked="0" layoutInCell="1" allowOverlap="1" wp14:anchorId="574AEFC9" wp14:editId="62C7DD08">
            <wp:simplePos x="0" y="0"/>
            <wp:positionH relativeFrom="column">
              <wp:posOffset>1587062</wp:posOffset>
            </wp:positionH>
            <wp:positionV relativeFrom="paragraph">
              <wp:posOffset>-2146</wp:posOffset>
            </wp:positionV>
            <wp:extent cx="4352544" cy="3163824"/>
            <wp:effectExtent l="0" t="0" r="0" b="0"/>
            <wp:wrapTight wrapText="bothSides">
              <wp:wrapPolygon edited="0">
                <wp:start x="0" y="0"/>
                <wp:lineTo x="0" y="21461"/>
                <wp:lineTo x="21461" y="21461"/>
                <wp:lineTo x="21461" y="0"/>
                <wp:lineTo x="0" y="0"/>
              </wp:wrapPolygon>
            </wp:wrapTight>
            <wp:docPr id="1414823834" name="Picture 6" descr="A graph showing a growth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23834" name="Picture 6" descr="A graph showing a growth rat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2544" cy="3163824"/>
                    </a:xfrm>
                    <a:prstGeom prst="rect">
                      <a:avLst/>
                    </a:prstGeom>
                    <a:noFill/>
                  </pic:spPr>
                </pic:pic>
              </a:graphicData>
            </a:graphic>
          </wp:anchor>
        </w:drawing>
      </w:r>
    </w:p>
    <w:p w14:paraId="57F30777" w14:textId="77777777" w:rsidR="00DC24E1" w:rsidRDefault="00DC24E1" w:rsidP="00DC24E1">
      <w:pPr>
        <w:spacing w:line="324" w:lineRule="auto"/>
        <w:rPr>
          <w:rFonts w:ascii="Book Antiqua" w:hAnsi="Book Antiqua"/>
          <w:bCs/>
          <w:sz w:val="24"/>
          <w:szCs w:val="24"/>
        </w:rPr>
      </w:pPr>
    </w:p>
    <w:p w14:paraId="375868A2" w14:textId="77777777" w:rsidR="00DC24E1" w:rsidRDefault="00DC24E1" w:rsidP="00DC24E1">
      <w:pPr>
        <w:spacing w:line="324" w:lineRule="auto"/>
        <w:rPr>
          <w:rFonts w:ascii="Book Antiqua" w:hAnsi="Book Antiqua"/>
          <w:bCs/>
          <w:sz w:val="24"/>
          <w:szCs w:val="24"/>
        </w:rPr>
      </w:pPr>
    </w:p>
    <w:p w14:paraId="49E9533E" w14:textId="18D56CFE" w:rsidR="00DC24E1" w:rsidRPr="00DC24E1" w:rsidRDefault="00DC24E1" w:rsidP="00DC24E1">
      <w:pPr>
        <w:spacing w:line="324" w:lineRule="auto"/>
        <w:rPr>
          <w:rFonts w:ascii="Book Antiqua" w:hAnsi="Book Antiqua"/>
          <w:b/>
          <w:sz w:val="24"/>
          <w:szCs w:val="24"/>
        </w:rPr>
      </w:pPr>
      <w:r w:rsidRPr="00DC24E1">
        <w:rPr>
          <w:rFonts w:ascii="Book Antiqua" w:hAnsi="Book Antiqua"/>
          <w:b/>
          <w:sz w:val="24"/>
          <w:szCs w:val="24"/>
        </w:rPr>
        <w:t>Population Growth Rate:</w:t>
      </w:r>
      <w:r w:rsidRPr="00DC24E1">
        <w:rPr>
          <w:rFonts w:ascii="Book Antiqua" w:hAnsi="Book Antiqua"/>
          <w:b/>
          <w:sz w:val="24"/>
          <w:szCs w:val="24"/>
        </w:rPr>
        <w:br/>
      </w:r>
      <w:r w:rsidRPr="00DC24E1">
        <w:rPr>
          <w:rFonts w:ascii="Book Antiqua" w:hAnsi="Book Antiqua"/>
          <w:bCs/>
          <w:sz w:val="24"/>
          <w:szCs w:val="24"/>
        </w:rPr>
        <w:t>Declining fairly rapidly but remains positive for now</w:t>
      </w:r>
    </w:p>
    <w:p w14:paraId="724FA8DD" w14:textId="77777777" w:rsidR="00DC24E1" w:rsidRDefault="00DC24E1" w:rsidP="00DC24E1">
      <w:pPr>
        <w:spacing w:line="324" w:lineRule="auto"/>
        <w:rPr>
          <w:rFonts w:ascii="Book Antiqua" w:hAnsi="Book Antiqua"/>
          <w:b/>
          <w:sz w:val="24"/>
          <w:szCs w:val="24"/>
        </w:rPr>
      </w:pPr>
    </w:p>
    <w:p w14:paraId="37E7DD9D" w14:textId="77777777" w:rsidR="00DC24E1" w:rsidRDefault="00DC24E1" w:rsidP="00DC24E1">
      <w:pPr>
        <w:spacing w:line="324" w:lineRule="auto"/>
        <w:rPr>
          <w:rFonts w:ascii="Book Antiqua" w:hAnsi="Book Antiqua"/>
          <w:b/>
          <w:sz w:val="24"/>
          <w:szCs w:val="24"/>
        </w:rPr>
      </w:pPr>
    </w:p>
    <w:p w14:paraId="51F7DDC6" w14:textId="77777777" w:rsidR="00DC24E1" w:rsidRDefault="00DC24E1" w:rsidP="00DC24E1">
      <w:pPr>
        <w:spacing w:line="324" w:lineRule="auto"/>
        <w:rPr>
          <w:rFonts w:ascii="Book Antiqua" w:hAnsi="Book Antiqua"/>
          <w:b/>
          <w:sz w:val="24"/>
          <w:szCs w:val="24"/>
        </w:rPr>
      </w:pPr>
    </w:p>
    <w:p w14:paraId="0653EAEA" w14:textId="77777777" w:rsidR="00DC24E1" w:rsidRDefault="00DC24E1" w:rsidP="00DC24E1">
      <w:pPr>
        <w:spacing w:line="324" w:lineRule="auto"/>
        <w:rPr>
          <w:rFonts w:ascii="Book Antiqua" w:hAnsi="Book Antiqua"/>
          <w:b/>
          <w:sz w:val="24"/>
          <w:szCs w:val="24"/>
        </w:rPr>
      </w:pPr>
    </w:p>
    <w:p w14:paraId="1486D11A" w14:textId="77777777" w:rsidR="00DC24E1" w:rsidRDefault="00DC24E1" w:rsidP="00DC24E1">
      <w:pPr>
        <w:spacing w:line="324" w:lineRule="auto"/>
        <w:rPr>
          <w:rFonts w:ascii="Book Antiqua" w:hAnsi="Book Antiqua"/>
          <w:b/>
          <w:sz w:val="24"/>
          <w:szCs w:val="24"/>
        </w:rPr>
      </w:pPr>
    </w:p>
    <w:p w14:paraId="7BD1C1B2" w14:textId="77777777" w:rsidR="00DC24E1" w:rsidRDefault="00DC24E1" w:rsidP="00DC24E1">
      <w:pPr>
        <w:spacing w:line="324" w:lineRule="auto"/>
        <w:rPr>
          <w:rFonts w:ascii="Book Antiqua" w:hAnsi="Book Antiqua"/>
          <w:b/>
          <w:sz w:val="24"/>
          <w:szCs w:val="24"/>
        </w:rPr>
      </w:pPr>
    </w:p>
    <w:p w14:paraId="32B10D77" w14:textId="77777777" w:rsidR="00DC24E1" w:rsidRDefault="00DC24E1" w:rsidP="00DC24E1">
      <w:pPr>
        <w:spacing w:line="324" w:lineRule="auto"/>
        <w:rPr>
          <w:rFonts w:ascii="Book Antiqua" w:hAnsi="Book Antiqua"/>
          <w:b/>
          <w:sz w:val="24"/>
          <w:szCs w:val="24"/>
        </w:rPr>
      </w:pPr>
    </w:p>
    <w:p w14:paraId="5E88D46B" w14:textId="15C567CC" w:rsidR="00285A5A" w:rsidRDefault="00893CEE" w:rsidP="00DC24E1">
      <w:pPr>
        <w:spacing w:line="324" w:lineRule="auto"/>
        <w:rPr>
          <w:rFonts w:ascii="Book Antiqua" w:hAnsi="Book Antiqua"/>
          <w:b/>
          <w:sz w:val="24"/>
          <w:szCs w:val="24"/>
        </w:rPr>
      </w:pPr>
      <w:r>
        <w:rPr>
          <w:rFonts w:ascii="Book Antiqua" w:hAnsi="Book Antiqua"/>
          <w:b/>
          <w:noProof/>
          <w:sz w:val="24"/>
          <w:szCs w:val="24"/>
        </w:rPr>
        <w:lastRenderedPageBreak/>
        <w:drawing>
          <wp:anchor distT="0" distB="0" distL="114300" distR="114300" simplePos="0" relativeHeight="251668480" behindDoc="1" locked="0" layoutInCell="1" allowOverlap="1" wp14:anchorId="719608B9" wp14:editId="16BFFE09">
            <wp:simplePos x="0" y="0"/>
            <wp:positionH relativeFrom="column">
              <wp:posOffset>1597025</wp:posOffset>
            </wp:positionH>
            <wp:positionV relativeFrom="paragraph">
              <wp:posOffset>1905</wp:posOffset>
            </wp:positionV>
            <wp:extent cx="4343400" cy="3154680"/>
            <wp:effectExtent l="0" t="0" r="0" b="7620"/>
            <wp:wrapTight wrapText="bothSides">
              <wp:wrapPolygon edited="0">
                <wp:start x="0" y="0"/>
                <wp:lineTo x="0" y="21522"/>
                <wp:lineTo x="21505" y="21522"/>
                <wp:lineTo x="21505" y="0"/>
                <wp:lineTo x="0" y="0"/>
              </wp:wrapPolygon>
            </wp:wrapTight>
            <wp:docPr id="1925191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anchor>
        </w:drawing>
      </w:r>
      <w:r>
        <w:rPr>
          <w:rFonts w:ascii="Book Antiqua" w:hAnsi="Book Antiqua"/>
          <w:b/>
          <w:noProof/>
          <w:sz w:val="24"/>
          <w:szCs w:val="24"/>
        </w:rPr>
        <w:drawing>
          <wp:anchor distT="0" distB="0" distL="114300" distR="114300" simplePos="0" relativeHeight="251669504" behindDoc="1" locked="0" layoutInCell="1" allowOverlap="1" wp14:anchorId="3BE96A24" wp14:editId="1A44450E">
            <wp:simplePos x="0" y="0"/>
            <wp:positionH relativeFrom="column">
              <wp:posOffset>1587062</wp:posOffset>
            </wp:positionH>
            <wp:positionV relativeFrom="paragraph">
              <wp:posOffset>3167577</wp:posOffset>
            </wp:positionV>
            <wp:extent cx="4352544" cy="3163824"/>
            <wp:effectExtent l="0" t="0" r="0" b="0"/>
            <wp:wrapTight wrapText="bothSides">
              <wp:wrapPolygon edited="0">
                <wp:start x="0" y="0"/>
                <wp:lineTo x="0" y="21461"/>
                <wp:lineTo x="21461" y="21461"/>
                <wp:lineTo x="21461" y="0"/>
                <wp:lineTo x="0" y="0"/>
              </wp:wrapPolygon>
            </wp:wrapTight>
            <wp:docPr id="1413661507" name="Picture 4" descr="A graph showing a green line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61507" name="Picture 4" descr="A graph showing a green line and red lin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2544" cy="3163824"/>
                    </a:xfrm>
                    <a:prstGeom prst="rect">
                      <a:avLst/>
                    </a:prstGeom>
                    <a:noFill/>
                  </pic:spPr>
                </pic:pic>
              </a:graphicData>
            </a:graphic>
          </wp:anchor>
        </w:drawing>
      </w:r>
    </w:p>
    <w:p w14:paraId="2B6EDFE6" w14:textId="77777777" w:rsidR="00285A5A" w:rsidRDefault="00285A5A" w:rsidP="00167D6F">
      <w:pPr>
        <w:spacing w:line="324" w:lineRule="auto"/>
        <w:rPr>
          <w:rFonts w:ascii="Book Antiqua" w:hAnsi="Book Antiqua"/>
          <w:b/>
          <w:sz w:val="24"/>
          <w:szCs w:val="24"/>
        </w:rPr>
      </w:pPr>
    </w:p>
    <w:p w14:paraId="5436B891" w14:textId="64620AF5" w:rsidR="00285A5A" w:rsidRDefault="00285A5A" w:rsidP="00167D6F">
      <w:pPr>
        <w:spacing w:line="324" w:lineRule="auto"/>
        <w:rPr>
          <w:rFonts w:ascii="Book Antiqua" w:hAnsi="Book Antiqua"/>
          <w:b/>
          <w:sz w:val="24"/>
          <w:szCs w:val="24"/>
        </w:rPr>
      </w:pPr>
    </w:p>
    <w:p w14:paraId="07996A6F" w14:textId="5907FF47" w:rsidR="00DC24E1" w:rsidRDefault="00DC24E1" w:rsidP="00167D6F">
      <w:pPr>
        <w:spacing w:line="324" w:lineRule="auto"/>
        <w:rPr>
          <w:rFonts w:ascii="Book Antiqua" w:hAnsi="Book Antiqua"/>
          <w:bCs/>
          <w:sz w:val="24"/>
          <w:szCs w:val="24"/>
        </w:rPr>
      </w:pPr>
      <w:r>
        <w:rPr>
          <w:rFonts w:ascii="Book Antiqua" w:hAnsi="Book Antiqua"/>
          <w:b/>
          <w:sz w:val="24"/>
          <w:szCs w:val="24"/>
        </w:rPr>
        <w:t>Labor Productivity Growth:</w:t>
      </w:r>
    </w:p>
    <w:p w14:paraId="7FE80B75" w14:textId="5137C76A" w:rsidR="00DC24E1" w:rsidRPr="00DC24E1" w:rsidRDefault="00DC24E1" w:rsidP="00167D6F">
      <w:pPr>
        <w:spacing w:line="324" w:lineRule="auto"/>
        <w:rPr>
          <w:rFonts w:ascii="Book Antiqua" w:hAnsi="Book Antiqua"/>
          <w:bCs/>
          <w:sz w:val="24"/>
          <w:szCs w:val="24"/>
        </w:rPr>
      </w:pPr>
      <w:r>
        <w:rPr>
          <w:rFonts w:ascii="Book Antiqua" w:hAnsi="Book Antiqua"/>
          <w:bCs/>
          <w:sz w:val="24"/>
          <w:szCs w:val="24"/>
        </w:rPr>
        <w:t xml:space="preserve">Also </w:t>
      </w:r>
      <w:proofErr w:type="gramStart"/>
      <w:r>
        <w:rPr>
          <w:rFonts w:ascii="Book Antiqua" w:hAnsi="Book Antiqua"/>
          <w:bCs/>
          <w:sz w:val="24"/>
          <w:szCs w:val="24"/>
        </w:rPr>
        <w:t>declining</w:t>
      </w:r>
      <w:proofErr w:type="gramEnd"/>
      <w:r>
        <w:rPr>
          <w:rFonts w:ascii="Book Antiqua" w:hAnsi="Book Antiqua"/>
          <w:bCs/>
          <w:sz w:val="24"/>
          <w:szCs w:val="24"/>
        </w:rPr>
        <w:t>.</w:t>
      </w:r>
    </w:p>
    <w:p w14:paraId="1E6FD8EF" w14:textId="77777777" w:rsidR="00DC24E1" w:rsidRDefault="00DC24E1" w:rsidP="00167D6F">
      <w:pPr>
        <w:spacing w:line="324" w:lineRule="auto"/>
        <w:rPr>
          <w:rFonts w:ascii="Book Antiqua" w:hAnsi="Book Antiqua"/>
          <w:b/>
          <w:sz w:val="24"/>
          <w:szCs w:val="24"/>
        </w:rPr>
      </w:pPr>
    </w:p>
    <w:p w14:paraId="5208AB94" w14:textId="77777777" w:rsidR="00DC24E1" w:rsidRDefault="00DC24E1" w:rsidP="00167D6F">
      <w:pPr>
        <w:spacing w:line="324" w:lineRule="auto"/>
        <w:rPr>
          <w:rFonts w:ascii="Book Antiqua" w:hAnsi="Book Antiqua"/>
          <w:b/>
          <w:sz w:val="24"/>
          <w:szCs w:val="24"/>
        </w:rPr>
      </w:pPr>
    </w:p>
    <w:p w14:paraId="11DA4D1C" w14:textId="77777777" w:rsidR="00DC24E1" w:rsidRDefault="00DC24E1" w:rsidP="00167D6F">
      <w:pPr>
        <w:spacing w:line="324" w:lineRule="auto"/>
        <w:rPr>
          <w:rFonts w:ascii="Book Antiqua" w:hAnsi="Book Antiqua"/>
          <w:b/>
          <w:sz w:val="24"/>
          <w:szCs w:val="24"/>
        </w:rPr>
      </w:pPr>
    </w:p>
    <w:p w14:paraId="12DFCAFE" w14:textId="52A4010F" w:rsidR="00DC24E1" w:rsidRDefault="00DC24E1" w:rsidP="00167D6F">
      <w:pPr>
        <w:spacing w:line="324" w:lineRule="auto"/>
        <w:rPr>
          <w:rFonts w:ascii="Book Antiqua" w:hAnsi="Book Antiqua"/>
          <w:b/>
          <w:sz w:val="24"/>
          <w:szCs w:val="24"/>
        </w:rPr>
      </w:pPr>
    </w:p>
    <w:p w14:paraId="442216E8" w14:textId="77777777" w:rsidR="00DC24E1" w:rsidRDefault="00DC24E1" w:rsidP="00167D6F">
      <w:pPr>
        <w:spacing w:line="324" w:lineRule="auto"/>
        <w:rPr>
          <w:rFonts w:ascii="Book Antiqua" w:hAnsi="Book Antiqua"/>
          <w:b/>
          <w:sz w:val="24"/>
          <w:szCs w:val="24"/>
        </w:rPr>
      </w:pPr>
    </w:p>
    <w:p w14:paraId="1FEFE1A5" w14:textId="77777777" w:rsidR="00DC24E1" w:rsidRDefault="00DC24E1" w:rsidP="00167D6F">
      <w:pPr>
        <w:spacing w:line="324" w:lineRule="auto"/>
        <w:rPr>
          <w:rFonts w:ascii="Book Antiqua" w:hAnsi="Book Antiqua"/>
          <w:b/>
          <w:sz w:val="24"/>
          <w:szCs w:val="24"/>
        </w:rPr>
      </w:pPr>
    </w:p>
    <w:p w14:paraId="10D9A23D" w14:textId="77777777" w:rsidR="00DC24E1" w:rsidRDefault="00DC24E1" w:rsidP="00167D6F">
      <w:pPr>
        <w:spacing w:line="324" w:lineRule="auto"/>
        <w:rPr>
          <w:rFonts w:ascii="Book Antiqua" w:hAnsi="Book Antiqua"/>
          <w:b/>
          <w:sz w:val="24"/>
          <w:szCs w:val="24"/>
        </w:rPr>
      </w:pPr>
    </w:p>
    <w:p w14:paraId="6A49EF6D" w14:textId="77777777" w:rsidR="00DC24E1" w:rsidRDefault="00DC24E1" w:rsidP="00167D6F">
      <w:pPr>
        <w:spacing w:line="324" w:lineRule="auto"/>
        <w:rPr>
          <w:rFonts w:ascii="Book Antiqua" w:hAnsi="Book Antiqua"/>
          <w:b/>
          <w:sz w:val="24"/>
          <w:szCs w:val="24"/>
        </w:rPr>
      </w:pPr>
    </w:p>
    <w:p w14:paraId="25D7E15A" w14:textId="455831FB" w:rsidR="00DC24E1" w:rsidRDefault="00DC24E1" w:rsidP="00167D6F">
      <w:pPr>
        <w:spacing w:line="324" w:lineRule="auto"/>
        <w:rPr>
          <w:rFonts w:ascii="Book Antiqua" w:hAnsi="Book Antiqua"/>
          <w:b/>
          <w:sz w:val="24"/>
          <w:szCs w:val="24"/>
        </w:rPr>
      </w:pPr>
      <w:r>
        <w:rPr>
          <w:rFonts w:ascii="Book Antiqua" w:hAnsi="Book Antiqua"/>
          <w:b/>
          <w:sz w:val="24"/>
          <w:szCs w:val="24"/>
        </w:rPr>
        <w:t>Risk Premia:</w:t>
      </w:r>
    </w:p>
    <w:p w14:paraId="5398DCF3" w14:textId="02F6564E" w:rsidR="00DC24E1" w:rsidRDefault="00641381" w:rsidP="00167D6F">
      <w:pPr>
        <w:spacing w:line="324" w:lineRule="auto"/>
        <w:rPr>
          <w:rFonts w:ascii="Book Antiqua" w:hAnsi="Book Antiqua"/>
          <w:bCs/>
          <w:sz w:val="24"/>
          <w:szCs w:val="24"/>
        </w:rPr>
      </w:pPr>
      <w:r w:rsidRPr="00BD7C5D">
        <w:rPr>
          <w:rFonts w:ascii="Book Antiqua" w:hAnsi="Book Antiqua"/>
          <w:bCs/>
          <w:noProof/>
          <w:sz w:val="18"/>
          <w:szCs w:val="18"/>
        </w:rPr>
        <mc:AlternateContent>
          <mc:Choice Requires="wps">
            <w:drawing>
              <wp:anchor distT="45720" distB="45720" distL="114300" distR="114300" simplePos="0" relativeHeight="251671552" behindDoc="0" locked="0" layoutInCell="1" allowOverlap="1" wp14:anchorId="6DB87D3C" wp14:editId="55EDDAE7">
                <wp:simplePos x="0" y="0"/>
                <wp:positionH relativeFrom="margin">
                  <wp:posOffset>-226629</wp:posOffset>
                </wp:positionH>
                <wp:positionV relativeFrom="paragraph">
                  <wp:posOffset>2579391</wp:posOffset>
                </wp:positionV>
                <wp:extent cx="6374765" cy="1811721"/>
                <wp:effectExtent l="57150" t="38100" r="83185" b="93345"/>
                <wp:wrapSquare wrapText="bothSides"/>
                <wp:docPr id="165548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765" cy="181172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917A8DF" w14:textId="7AFE915B" w:rsidR="00087E90" w:rsidRPr="005D5803" w:rsidRDefault="00087E90" w:rsidP="00087E90">
                            <w:pPr>
                              <w:rPr>
                                <w:rFonts w:ascii="Book Antiqua" w:hAnsi="Book Antiqua"/>
                                <w:b/>
                                <w:i/>
                                <w:iCs/>
                                <w:color w:val="EE0000"/>
                                <w:sz w:val="24"/>
                                <w:szCs w:val="24"/>
                              </w:rPr>
                            </w:pPr>
                            <w:r>
                              <w:rPr>
                                <w:rFonts w:ascii="Book Antiqua" w:hAnsi="Book Antiqua"/>
                                <w:b/>
                                <w:i/>
                                <w:iCs/>
                                <w:color w:val="EE0000"/>
                                <w:sz w:val="24"/>
                                <w:szCs w:val="24"/>
                              </w:rPr>
                              <w:t>10 Year Treasury Phenomenon</w:t>
                            </w:r>
                          </w:p>
                          <w:p w14:paraId="7BB664AD" w14:textId="77777777" w:rsidR="00087E90" w:rsidRDefault="00087E90" w:rsidP="00087E90">
                            <w:pPr>
                              <w:rPr>
                                <w:rFonts w:ascii="Book Antiqua" w:hAnsi="Book Antiqua"/>
                                <w:bCs/>
                                <w:sz w:val="18"/>
                                <w:szCs w:val="18"/>
                              </w:rPr>
                            </w:pPr>
                          </w:p>
                          <w:p w14:paraId="4AC44F13" w14:textId="2B0E0C95" w:rsidR="00087E90" w:rsidRDefault="00FF162D" w:rsidP="00087E90">
                            <w:pPr>
                              <w:rPr>
                                <w:rFonts w:ascii="Book Antiqua" w:hAnsi="Book Antiqua"/>
                                <w:b/>
                                <w:bCs/>
                                <w:sz w:val="18"/>
                                <w:szCs w:val="18"/>
                              </w:rPr>
                            </w:pPr>
                            <w:r>
                              <w:rPr>
                                <w:rFonts w:ascii="Book Antiqua" w:hAnsi="Book Antiqua"/>
                                <w:b/>
                                <w:bCs/>
                                <w:sz w:val="18"/>
                                <w:szCs w:val="18"/>
                              </w:rPr>
                              <w:t xml:space="preserve">In normal scenarios, the yield of a security should fall in response to rate cuts.  However, here we see that as the Fed Funds Rate started to get cut, the </w:t>
                            </w:r>
                            <w:r w:rsidR="006C2C03">
                              <w:rPr>
                                <w:rFonts w:ascii="Book Antiqua" w:hAnsi="Book Antiqua"/>
                                <w:b/>
                                <w:bCs/>
                                <w:sz w:val="18"/>
                                <w:szCs w:val="18"/>
                              </w:rPr>
                              <w:t>10-year</w:t>
                            </w:r>
                            <w:r>
                              <w:rPr>
                                <w:rFonts w:ascii="Book Antiqua" w:hAnsi="Book Antiqua"/>
                                <w:b/>
                                <w:bCs/>
                                <w:sz w:val="18"/>
                                <w:szCs w:val="18"/>
                              </w:rPr>
                              <w:t xml:space="preserve"> treasury yield began to rise. Why might this be?</w:t>
                            </w:r>
                          </w:p>
                          <w:p w14:paraId="05257343" w14:textId="77777777" w:rsidR="00FF162D" w:rsidRDefault="00FF162D" w:rsidP="00087E90">
                            <w:pPr>
                              <w:rPr>
                                <w:rFonts w:ascii="Book Antiqua" w:hAnsi="Book Antiqua"/>
                                <w:b/>
                                <w:bCs/>
                                <w:sz w:val="18"/>
                                <w:szCs w:val="18"/>
                              </w:rPr>
                            </w:pPr>
                          </w:p>
                          <w:p w14:paraId="4F104001" w14:textId="7BAEEAF4" w:rsidR="00FF162D" w:rsidRPr="0047748B" w:rsidRDefault="006C2C03" w:rsidP="006C2C03">
                            <w:pPr>
                              <w:rPr>
                                <w:rFonts w:ascii="Book Antiqua" w:hAnsi="Book Antiqua"/>
                                <w:b/>
                                <w:bCs/>
                                <w:sz w:val="18"/>
                                <w:szCs w:val="18"/>
                              </w:rPr>
                            </w:pPr>
                            <w:r w:rsidRPr="006C2C03">
                              <w:rPr>
                                <w:rFonts w:ascii="Book Antiqua" w:hAnsi="Book Antiqua"/>
                                <w:b/>
                                <w:bCs/>
                                <w:sz w:val="18"/>
                                <w:szCs w:val="18"/>
                              </w:rPr>
                              <w:t>Insight into the recent rise in the 10-year Treasury yield can be gleaned by examining both the 10-year breakeven inflation rate and the yield on 10-year Treasury Inflation-Protected Securities (TIPS). Since the Fed’s rate cuts in September 2024, both these measures have moved higher. The rising breakeven rate signals that investors expect higher inflation over the next decade, reflecting growing concerns about price pressures in the longer term. Meanwhile, the increasing TIPS yield indicates that real interest rates are climbing, reflecting expectations of stronger economic growth or tighter monetary policy ahead. Together, these trends explain why the nominal 10-year Treasury yield has risen despite recent rate cuts.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87D3C" id="_x0000_s1027" type="#_x0000_t202" style="position:absolute;margin-left:-17.85pt;margin-top:203.1pt;width:501.95pt;height:14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" fillcolor="#bfb1d0 [1623]" strokecolor="#795d9b [3047]">
                <v:fill color2="#ece7f1 [503]" rotate="t" angle="180" colors="0 #c9b5e8;22938f #d9cbee;1 #f0eaf9" focus="100%" type="gradient"/>
                <v:shadow on="t" color="black" opacity="24903f" origin=",.5" offset="0,.55556mm"/>
                <v:textbox>
                  <w:txbxContent>
                    <w:p w14:paraId="5917A8DF" w14:textId="7AFE915B" w:rsidR="00087E90" w:rsidRPr="005D5803" w:rsidRDefault="00087E90" w:rsidP="00087E90">
                      <w:pPr>
                        <w:rPr>
                          <w:rFonts w:ascii="Book Antiqua" w:hAnsi="Book Antiqua"/>
                          <w:b/>
                          <w:i/>
                          <w:iCs/>
                          <w:color w:val="EE0000"/>
                          <w:sz w:val="24"/>
                          <w:szCs w:val="24"/>
                        </w:rPr>
                      </w:pPr>
                      <w:r>
                        <w:rPr>
                          <w:rFonts w:ascii="Book Antiqua" w:hAnsi="Book Antiqua"/>
                          <w:b/>
                          <w:i/>
                          <w:iCs/>
                          <w:color w:val="EE0000"/>
                          <w:sz w:val="24"/>
                          <w:szCs w:val="24"/>
                        </w:rPr>
                        <w:t>10 Year Treasury Phenomenon</w:t>
                      </w:r>
                    </w:p>
                    <w:p w14:paraId="7BB664AD" w14:textId="77777777" w:rsidR="00087E90" w:rsidRDefault="00087E90" w:rsidP="00087E90">
                      <w:pPr>
                        <w:rPr>
                          <w:rFonts w:ascii="Book Antiqua" w:hAnsi="Book Antiqua"/>
                          <w:bCs/>
                          <w:sz w:val="18"/>
                          <w:szCs w:val="18"/>
                        </w:rPr>
                      </w:pPr>
                    </w:p>
                    <w:p w14:paraId="4AC44F13" w14:textId="2B0E0C95" w:rsidR="00087E90" w:rsidRDefault="00FF162D" w:rsidP="00087E90">
                      <w:pPr>
                        <w:rPr>
                          <w:rFonts w:ascii="Book Antiqua" w:hAnsi="Book Antiqua"/>
                          <w:b/>
                          <w:bCs/>
                          <w:sz w:val="18"/>
                          <w:szCs w:val="18"/>
                        </w:rPr>
                      </w:pPr>
                      <w:r>
                        <w:rPr>
                          <w:rFonts w:ascii="Book Antiqua" w:hAnsi="Book Antiqua"/>
                          <w:b/>
                          <w:bCs/>
                          <w:sz w:val="18"/>
                          <w:szCs w:val="18"/>
                        </w:rPr>
                        <w:t xml:space="preserve">In normal scenarios, the yield of a security should fall in response to rate cuts.  However, here we see that as the Fed Funds Rate started to get cut, the </w:t>
                      </w:r>
                      <w:r w:rsidR="006C2C03">
                        <w:rPr>
                          <w:rFonts w:ascii="Book Antiqua" w:hAnsi="Book Antiqua"/>
                          <w:b/>
                          <w:bCs/>
                          <w:sz w:val="18"/>
                          <w:szCs w:val="18"/>
                        </w:rPr>
                        <w:t>10-year</w:t>
                      </w:r>
                      <w:r>
                        <w:rPr>
                          <w:rFonts w:ascii="Book Antiqua" w:hAnsi="Book Antiqua"/>
                          <w:b/>
                          <w:bCs/>
                          <w:sz w:val="18"/>
                          <w:szCs w:val="18"/>
                        </w:rPr>
                        <w:t xml:space="preserve"> treasury yield began to rise. Why might this be?</w:t>
                      </w:r>
                    </w:p>
                    <w:p w14:paraId="05257343" w14:textId="77777777" w:rsidR="00FF162D" w:rsidRDefault="00FF162D" w:rsidP="00087E90">
                      <w:pPr>
                        <w:rPr>
                          <w:rFonts w:ascii="Book Antiqua" w:hAnsi="Book Antiqua"/>
                          <w:b/>
                          <w:bCs/>
                          <w:sz w:val="18"/>
                          <w:szCs w:val="18"/>
                        </w:rPr>
                      </w:pPr>
                    </w:p>
                    <w:p w14:paraId="4F104001" w14:textId="7BAEEAF4" w:rsidR="00FF162D" w:rsidRPr="0047748B" w:rsidRDefault="006C2C03" w:rsidP="006C2C03">
                      <w:pPr>
                        <w:rPr>
                          <w:rFonts w:ascii="Book Antiqua" w:hAnsi="Book Antiqua"/>
                          <w:b/>
                          <w:bCs/>
                          <w:sz w:val="18"/>
                          <w:szCs w:val="18"/>
                        </w:rPr>
                      </w:pPr>
                      <w:r w:rsidRPr="006C2C03">
                        <w:rPr>
                          <w:rFonts w:ascii="Book Antiqua" w:hAnsi="Book Antiqua"/>
                          <w:b/>
                          <w:bCs/>
                          <w:sz w:val="18"/>
                          <w:szCs w:val="18"/>
                        </w:rPr>
                        <w:t>Insight into the recent rise in the 10-year Treasury yield can be gleaned by examining both the 10-year breakeven inflation rate and the yield on 10-year Treasury Inflation-Protected Securities (TIPS). Since the Fed’s rate cuts in September 2024, both these measures have moved higher. The rising breakeven rate signals that investors expect higher inflation over the next decade, reflecting growing concerns about price pressures in the longer term. Meanwhile, the increasing TIPS yield indicates that real interest rates are climbing, reflecting expectations of stronger economic growth or tighter monetary policy ahead. Together, these trends explain why the nominal 10-year Treasury yield has risen despite recent rate cuts.</w:t>
                      </w:r>
                    </w:p>
                  </w:txbxContent>
                </v:textbox>
                <w10:wrap type="square" anchorx="margin"/>
              </v:shape>
            </w:pict>
          </mc:Fallback>
        </mc:AlternateContent>
      </w:r>
      <w:r w:rsidR="00DC24E1">
        <w:rPr>
          <w:rFonts w:ascii="Book Antiqua" w:hAnsi="Book Antiqua"/>
          <w:bCs/>
          <w:sz w:val="24"/>
          <w:szCs w:val="24"/>
        </w:rPr>
        <w:t>The term structure of interest rates yield curve is fairly flat, if not completely so, indicating little change in interest rates or inflation over near and medium term.</w:t>
      </w:r>
    </w:p>
    <w:p w14:paraId="222C2B9F" w14:textId="6FD3498E" w:rsidR="00087E90" w:rsidRDefault="00087E90" w:rsidP="00A306CF">
      <w:pPr>
        <w:spacing w:line="324" w:lineRule="auto"/>
        <w:jc w:val="center"/>
        <w:rPr>
          <w:rFonts w:ascii="Book Antiqua" w:hAnsi="Book Antiqua"/>
          <w:bCs/>
          <w:sz w:val="24"/>
          <w:szCs w:val="24"/>
        </w:rPr>
      </w:pPr>
    </w:p>
    <w:p w14:paraId="5729AB62" w14:textId="57883C60" w:rsidR="00524537" w:rsidRDefault="00524537" w:rsidP="00167D6F">
      <w:pPr>
        <w:spacing w:line="324" w:lineRule="auto"/>
        <w:rPr>
          <w:rFonts w:ascii="Book Antiqua" w:hAnsi="Book Antiqua"/>
          <w:bCs/>
          <w:sz w:val="24"/>
          <w:szCs w:val="24"/>
          <w:u w:val="single"/>
        </w:rPr>
      </w:pPr>
      <w:r w:rsidRPr="00524537">
        <w:rPr>
          <w:rFonts w:ascii="Book Antiqua" w:hAnsi="Book Antiqua"/>
          <w:bCs/>
          <w:noProof/>
          <w:sz w:val="24"/>
          <w:szCs w:val="24"/>
        </w:rPr>
        <w:lastRenderedPageBreak/>
        <w:drawing>
          <wp:inline distT="0" distB="0" distL="0" distR="0" wp14:anchorId="26222F24" wp14:editId="15AE3732">
            <wp:extent cx="5822950" cy="3594735"/>
            <wp:effectExtent l="0" t="0" r="6350" b="5715"/>
            <wp:docPr id="5045633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2950" cy="3594735"/>
                    </a:xfrm>
                    <a:prstGeom prst="rect">
                      <a:avLst/>
                    </a:prstGeom>
                    <a:noFill/>
                    <a:ln>
                      <a:noFill/>
                    </a:ln>
                  </pic:spPr>
                </pic:pic>
              </a:graphicData>
            </a:graphic>
          </wp:inline>
        </w:drawing>
      </w:r>
    </w:p>
    <w:p w14:paraId="0C8B07D4" w14:textId="3F4F101B" w:rsidR="00127536" w:rsidRDefault="00A306CF" w:rsidP="00167D6F">
      <w:pPr>
        <w:spacing w:line="324" w:lineRule="auto"/>
        <w:rPr>
          <w:rFonts w:ascii="Book Antiqua" w:hAnsi="Book Antiqua"/>
          <w:bCs/>
          <w:sz w:val="24"/>
          <w:szCs w:val="24"/>
          <w:u w:val="single"/>
        </w:rPr>
      </w:pPr>
      <w:r>
        <w:rPr>
          <w:rFonts w:ascii="Book Antiqua" w:hAnsi="Book Antiqua"/>
          <w:bCs/>
          <w:sz w:val="24"/>
          <w:szCs w:val="24"/>
          <w:u w:val="single"/>
        </w:rPr>
        <w:t>Neutral Rate Summary</w:t>
      </w:r>
    </w:p>
    <w:p w14:paraId="1FBB4C31" w14:textId="1FE16DDA" w:rsidR="00625502" w:rsidRDefault="00625502" w:rsidP="00625502">
      <w:pPr>
        <w:spacing w:line="324" w:lineRule="auto"/>
        <w:ind w:firstLine="720"/>
        <w:rPr>
          <w:rFonts w:ascii="Book Antiqua" w:hAnsi="Book Antiqua"/>
          <w:bCs/>
          <w:sz w:val="24"/>
          <w:szCs w:val="24"/>
        </w:rPr>
      </w:pPr>
      <w:r w:rsidRPr="00625502">
        <w:rPr>
          <w:rFonts w:ascii="Book Antiqua" w:hAnsi="Book Antiqua"/>
          <w:bCs/>
          <w:sz w:val="24"/>
          <w:szCs w:val="24"/>
        </w:rPr>
        <w:t xml:space="preserve">Several key factors are shaping the neutral rate today. While the effect of time preference remains uncertain, most other drivers suggest the neutral rate is lower than in the past. Both population growth and productivity growth are slowing, which tends to push the neutral rate down. Treasury yields have stayed fairly stable and close to the policy rate, indicating little recent impact from risk </w:t>
      </w:r>
      <w:proofErr w:type="gramStart"/>
      <w:r w:rsidRPr="00625502">
        <w:rPr>
          <w:rFonts w:ascii="Book Antiqua" w:hAnsi="Book Antiqua"/>
          <w:bCs/>
          <w:sz w:val="24"/>
          <w:szCs w:val="24"/>
        </w:rPr>
        <w:t>premia</w:t>
      </w:r>
      <w:proofErr w:type="gramEnd"/>
      <w:r w:rsidRPr="00625502">
        <w:rPr>
          <w:rFonts w:ascii="Book Antiqua" w:hAnsi="Book Antiqua"/>
          <w:bCs/>
          <w:sz w:val="24"/>
          <w:szCs w:val="24"/>
        </w:rPr>
        <w:t>. Although rising fiscal deficits might put upward pressure on the neutral rate, current economic fundamentals suggest they haven’t yet shifted it significantly. Taken together, these influences point to a neutral rate that is stable or gently declining, supporting the case for a moderately restrictive Fed policy.</w:t>
      </w:r>
    </w:p>
    <w:p w14:paraId="00DBAA76" w14:textId="198CD838" w:rsidR="00A306CF" w:rsidRPr="00A306CF" w:rsidRDefault="00AF1EAF" w:rsidP="00167D6F">
      <w:pPr>
        <w:spacing w:line="324" w:lineRule="auto"/>
        <w:rPr>
          <w:rFonts w:ascii="Book Antiqua" w:hAnsi="Book Antiqua"/>
          <w:bCs/>
          <w:sz w:val="24"/>
          <w:szCs w:val="24"/>
        </w:rPr>
      </w:pPr>
      <w:r>
        <w:rPr>
          <w:rFonts w:ascii="Book Antiqua" w:hAnsi="Book Antiqua"/>
          <w:bCs/>
          <w:sz w:val="24"/>
          <w:szCs w:val="24"/>
        </w:rPr>
        <w:tab/>
      </w:r>
      <w:r w:rsidR="00625502" w:rsidRPr="00625502">
        <w:rPr>
          <w:rFonts w:ascii="Book Antiqua" w:hAnsi="Book Antiqua"/>
          <w:bCs/>
          <w:sz w:val="24"/>
          <w:szCs w:val="24"/>
        </w:rPr>
        <w:t>To wrap up, the neutral rate serves as the economy’s “sweet spot” for interest rates—where growth is steady and inflation remains stable. The New York Fed estimates the real neutral rate at about 1.37%.When you add the current core PCE inflation rate of 2.79%, this implies a nominal neutral rate near 4.16%. This means the Fed’s policy rate needs to be around this level to neither speed up nor slow down the economy. Understanding this helps explain why the Fed might be holding rates relatively high right now—to keep monetary policy appropriately balanced between controlling inflation and supporting growth.</w:t>
      </w:r>
    </w:p>
    <w:p w14:paraId="7EC49041" w14:textId="77777777" w:rsidR="00DC24E1" w:rsidRDefault="00DC24E1" w:rsidP="00167D6F">
      <w:pPr>
        <w:spacing w:line="324" w:lineRule="auto"/>
        <w:rPr>
          <w:rFonts w:ascii="Book Antiqua" w:hAnsi="Book Antiqua"/>
          <w:b/>
          <w:sz w:val="24"/>
          <w:szCs w:val="24"/>
        </w:rPr>
      </w:pPr>
    </w:p>
    <w:p w14:paraId="461099DA" w14:textId="69827C37" w:rsidR="00167D6F" w:rsidRDefault="002B7984" w:rsidP="00167D6F">
      <w:pPr>
        <w:spacing w:line="324" w:lineRule="auto"/>
        <w:rPr>
          <w:rFonts w:ascii="Book Antiqua" w:hAnsi="Book Antiqua"/>
          <w:b/>
          <w:sz w:val="24"/>
          <w:szCs w:val="24"/>
        </w:rPr>
      </w:pPr>
      <w:r>
        <w:rPr>
          <w:rFonts w:ascii="Book Antiqua" w:hAnsi="Book Antiqua"/>
          <w:b/>
          <w:sz w:val="24"/>
          <w:szCs w:val="24"/>
        </w:rPr>
        <w:t>Fed Funds Rate Rules</w:t>
      </w:r>
    </w:p>
    <w:p w14:paraId="485B11A1" w14:textId="7AFCB906" w:rsidR="002B7984" w:rsidRDefault="002B7984" w:rsidP="00167D6F">
      <w:pPr>
        <w:spacing w:line="324" w:lineRule="auto"/>
        <w:rPr>
          <w:rFonts w:ascii="Book Antiqua" w:hAnsi="Book Antiqua"/>
          <w:bCs/>
          <w:sz w:val="24"/>
          <w:szCs w:val="24"/>
          <w:u w:val="single"/>
        </w:rPr>
      </w:pPr>
      <w:r>
        <w:rPr>
          <w:rFonts w:ascii="Book Antiqua" w:hAnsi="Book Antiqua"/>
          <w:bCs/>
          <w:sz w:val="24"/>
          <w:szCs w:val="24"/>
          <w:u w:val="single"/>
        </w:rPr>
        <w:t>Taylor Rule</w:t>
      </w:r>
    </w:p>
    <w:p w14:paraId="27D6C9B9" w14:textId="25A632F8" w:rsidR="000C6F0C" w:rsidRDefault="002B7984" w:rsidP="00167D6F">
      <w:pPr>
        <w:spacing w:line="324" w:lineRule="auto"/>
        <w:rPr>
          <w:rFonts w:ascii="Book Antiqua" w:hAnsi="Book Antiqua"/>
          <w:bCs/>
          <w:sz w:val="24"/>
          <w:szCs w:val="24"/>
        </w:rPr>
      </w:pPr>
      <w:r>
        <w:rPr>
          <w:rFonts w:ascii="Book Antiqua" w:hAnsi="Book Antiqua"/>
          <w:bCs/>
          <w:sz w:val="24"/>
          <w:szCs w:val="24"/>
        </w:rPr>
        <w:tab/>
        <w:t>The Taylo</w:t>
      </w:r>
      <w:r w:rsidR="000C6F0C">
        <w:rPr>
          <w:rFonts w:ascii="Book Antiqua" w:hAnsi="Book Antiqua"/>
          <w:bCs/>
          <w:sz w:val="24"/>
          <w:szCs w:val="24"/>
        </w:rPr>
        <w:t>r Rule is an economic rule developed in 1993 by John Taylor to guide how the central bank should set short-term interest rates, like the Federal Funds rate.  The base Taylor Rule equation is as follows:</w:t>
      </w:r>
    </w:p>
    <w:p w14:paraId="75160AF5" w14:textId="76046BDF" w:rsidR="000C6F0C" w:rsidRPr="000C6F0C" w:rsidRDefault="000C6F0C" w:rsidP="00167D6F">
      <w:pPr>
        <w:spacing w:line="324" w:lineRule="auto"/>
        <w:rPr>
          <w:rFonts w:ascii="Book Antiqua" w:hAnsi="Book Antiqua"/>
          <w:bCs/>
          <w:sz w:val="24"/>
          <w:szCs w:val="24"/>
        </w:rPr>
      </w:pPr>
      <m:oMathPara>
        <m:oMath>
          <m:r>
            <w:rPr>
              <w:rFonts w:ascii="Cambria Math" w:hAnsi="Cambria Math"/>
              <w:sz w:val="24"/>
              <w:szCs w:val="24"/>
            </w:rPr>
            <m:t>r=p+</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bCs/>
                  <w:i/>
                  <w:sz w:val="24"/>
                  <w:szCs w:val="24"/>
                </w:rPr>
              </m:ctrlPr>
            </m:dPr>
            <m:e>
              <m:r>
                <w:rPr>
                  <w:rFonts w:ascii="Cambria Math" w:hAnsi="Cambria Math"/>
                  <w:sz w:val="24"/>
                  <w:szCs w:val="24"/>
                </w:rPr>
                <m:t>p-2</m:t>
              </m:r>
            </m:e>
          </m:d>
          <m:r>
            <w:rPr>
              <w:rFonts w:ascii="Cambria Math" w:hAnsi="Cambria Math"/>
              <w:sz w:val="24"/>
              <w:szCs w:val="24"/>
            </w:rPr>
            <m:t>+2</m:t>
          </m:r>
        </m:oMath>
      </m:oMathPara>
    </w:p>
    <w:p w14:paraId="41C3DA19" w14:textId="3A5C2413" w:rsidR="000C6F0C" w:rsidRDefault="000C6F0C" w:rsidP="00167D6F">
      <w:pPr>
        <w:spacing w:line="324" w:lineRule="auto"/>
        <w:rPr>
          <w:rFonts w:ascii="Book Antiqua" w:hAnsi="Book Antiqua"/>
          <w:bCs/>
          <w:sz w:val="24"/>
          <w:szCs w:val="24"/>
        </w:rPr>
      </w:pPr>
      <w:r>
        <w:rPr>
          <w:rFonts w:ascii="Book Antiqua" w:hAnsi="Book Antiqua"/>
          <w:bCs/>
          <w:sz w:val="24"/>
          <w:szCs w:val="24"/>
        </w:rPr>
        <w:t>Where:</w:t>
      </w:r>
    </w:p>
    <w:p w14:paraId="792F78F3" w14:textId="612DAADB" w:rsidR="000C6F0C" w:rsidRDefault="000C6F0C" w:rsidP="000C6F0C">
      <w:pPr>
        <w:pStyle w:val="ListParagraph"/>
        <w:numPr>
          <w:ilvl w:val="0"/>
          <w:numId w:val="12"/>
        </w:numPr>
        <w:spacing w:line="324" w:lineRule="auto"/>
        <w:rPr>
          <w:rFonts w:ascii="Book Antiqua" w:hAnsi="Book Antiqua"/>
          <w:bCs/>
          <w:sz w:val="24"/>
          <w:szCs w:val="24"/>
        </w:rPr>
      </w:pPr>
      <m:oMath>
        <m:r>
          <w:rPr>
            <w:rFonts w:ascii="Cambria Math" w:hAnsi="Cambria Math"/>
            <w:sz w:val="24"/>
            <w:szCs w:val="24"/>
          </w:rPr>
          <m:t xml:space="preserve">r </m:t>
        </m:r>
      </m:oMath>
      <w:r>
        <w:rPr>
          <w:rFonts w:ascii="Book Antiqua" w:hAnsi="Book Antiqua"/>
          <w:bCs/>
          <w:sz w:val="24"/>
          <w:szCs w:val="24"/>
        </w:rPr>
        <w:t>is the Federal Funds Rate</w:t>
      </w:r>
    </w:p>
    <w:p w14:paraId="3D53112D" w14:textId="6CB847D2" w:rsidR="000C6F0C" w:rsidRDefault="000C6F0C" w:rsidP="000C6F0C">
      <w:pPr>
        <w:pStyle w:val="ListParagraph"/>
        <w:numPr>
          <w:ilvl w:val="0"/>
          <w:numId w:val="12"/>
        </w:numPr>
        <w:spacing w:line="324" w:lineRule="auto"/>
        <w:rPr>
          <w:rFonts w:ascii="Book Antiqua" w:hAnsi="Book Antiqua"/>
          <w:bCs/>
          <w:sz w:val="24"/>
          <w:szCs w:val="24"/>
        </w:rPr>
      </w:pPr>
      <w:r>
        <w:rPr>
          <w:rFonts w:ascii="Book Antiqua" w:hAnsi="Book Antiqua"/>
          <w:bCs/>
          <w:sz w:val="24"/>
          <w:szCs w:val="24"/>
        </w:rPr>
        <w:t xml:space="preserve">And </w:t>
      </w:r>
      <m:oMath>
        <m:r>
          <w:rPr>
            <w:rFonts w:ascii="Cambria Math" w:hAnsi="Cambria Math"/>
            <w:sz w:val="24"/>
            <w:szCs w:val="24"/>
          </w:rPr>
          <m:t>p</m:t>
        </m:r>
      </m:oMath>
      <w:r>
        <w:rPr>
          <w:rFonts w:ascii="Book Antiqua" w:hAnsi="Book Antiqua"/>
          <w:bCs/>
          <w:sz w:val="24"/>
          <w:szCs w:val="24"/>
        </w:rPr>
        <w:t xml:space="preserve"> is the inflation rate</w:t>
      </w:r>
    </w:p>
    <w:p w14:paraId="5B2C1CF8" w14:textId="77777777" w:rsidR="000C6F0C" w:rsidRDefault="000C6F0C" w:rsidP="00167D6F">
      <w:pPr>
        <w:spacing w:line="324" w:lineRule="auto"/>
        <w:rPr>
          <w:rFonts w:ascii="Book Antiqua" w:hAnsi="Book Antiqua"/>
          <w:bCs/>
          <w:sz w:val="24"/>
          <w:szCs w:val="24"/>
        </w:rPr>
      </w:pPr>
      <w:r w:rsidRPr="000C6F0C">
        <w:rPr>
          <w:rFonts w:ascii="Book Antiqua" w:hAnsi="Book Antiqua"/>
          <w:bCs/>
          <w:sz w:val="24"/>
          <w:szCs w:val="24"/>
        </w:rPr>
        <w:t>Using this, we get a recommended Federal Funds Rate of 5.185%. While the Taylor Rule doesn’t factor in tools like quantitative easing or other unconventional monetary policies, it still provides a solid benchmark for where the Fed’s target rate should roughly stand based on inflation and economic output. It offers a useful ballpark estimate that helps policymakers gauge whether current rates are too high, too low, or about right, even if real-world decisions also weigh additional factors beyond the rule’s simple framework.</w:t>
      </w:r>
    </w:p>
    <w:p w14:paraId="4D473A55" w14:textId="1BE8D83A" w:rsidR="009448E6" w:rsidRPr="000C6F0C" w:rsidRDefault="009448E6" w:rsidP="00167D6F">
      <w:pPr>
        <w:spacing w:line="324" w:lineRule="auto"/>
        <w:rPr>
          <w:rFonts w:ascii="Book Antiqua" w:hAnsi="Book Antiqua"/>
          <w:bCs/>
          <w:sz w:val="24"/>
          <w:szCs w:val="24"/>
        </w:rPr>
      </w:pPr>
    </w:p>
    <w:p w14:paraId="48C40906" w14:textId="3A7424B8" w:rsidR="009448E6" w:rsidRDefault="00837386" w:rsidP="00167D6F">
      <w:pPr>
        <w:spacing w:line="324" w:lineRule="auto"/>
        <w:rPr>
          <w:rFonts w:ascii="Book Antiqua" w:hAnsi="Book Antiqua"/>
          <w:b/>
          <w:sz w:val="24"/>
          <w:szCs w:val="24"/>
        </w:rPr>
      </w:pPr>
      <w:r>
        <w:rPr>
          <w:rFonts w:ascii="Book Antiqua" w:hAnsi="Book Antiqua"/>
          <w:b/>
          <w:sz w:val="24"/>
          <w:szCs w:val="24"/>
        </w:rPr>
        <w:t>Conclusion</w:t>
      </w:r>
    </w:p>
    <w:p w14:paraId="6C7B65CB" w14:textId="77777777" w:rsidR="00837386" w:rsidRPr="00837386" w:rsidRDefault="00837386" w:rsidP="00837386">
      <w:pPr>
        <w:spacing w:line="324" w:lineRule="auto"/>
        <w:rPr>
          <w:rFonts w:ascii="Book Antiqua" w:hAnsi="Book Antiqua"/>
          <w:bCs/>
          <w:sz w:val="24"/>
          <w:szCs w:val="24"/>
        </w:rPr>
      </w:pPr>
      <w:r>
        <w:rPr>
          <w:rFonts w:ascii="Book Antiqua" w:hAnsi="Book Antiqua"/>
          <w:b/>
          <w:sz w:val="24"/>
          <w:szCs w:val="24"/>
        </w:rPr>
        <w:tab/>
      </w:r>
      <w:r w:rsidRPr="00837386">
        <w:rPr>
          <w:rFonts w:ascii="Book Antiqua" w:hAnsi="Book Antiqua"/>
          <w:bCs/>
          <w:sz w:val="24"/>
          <w:szCs w:val="24"/>
        </w:rPr>
        <w:t>To conclude, after weighing the recent trends in productivity, population growth, Treasury yields, and fiscal policy, it’s evident that the neutral rate isn’t trending upward and may even be drifting lower. By keeping the policy rate above this neutral level, the Fed is carefully walking a tightrope—restraining inflation without squeezing the economy too hard. Given that inflation expectations remain elevated and fiscal expansion continues, there’s still a risk that easing monetary policy too soon could reignite inflation. Holding the federal funds rate steady, therefore, is the prudent choice—firm enough to maintain price stability, yet flexible enough to support ongoing economic momentum.</w:t>
      </w:r>
    </w:p>
    <w:p w14:paraId="54FD1E85" w14:textId="77777777" w:rsidR="00837386" w:rsidRPr="00837386" w:rsidRDefault="00837386" w:rsidP="00837386">
      <w:pPr>
        <w:spacing w:line="324" w:lineRule="auto"/>
        <w:ind w:firstLine="720"/>
        <w:rPr>
          <w:rFonts w:ascii="Book Antiqua" w:hAnsi="Book Antiqua"/>
          <w:bCs/>
          <w:sz w:val="24"/>
          <w:szCs w:val="24"/>
        </w:rPr>
      </w:pPr>
      <w:r w:rsidRPr="00837386">
        <w:rPr>
          <w:rFonts w:ascii="Book Antiqua" w:hAnsi="Book Antiqua"/>
          <w:bCs/>
          <w:sz w:val="24"/>
          <w:szCs w:val="24"/>
        </w:rPr>
        <w:t xml:space="preserve">Looking at policy guidelines, the Taylor Rule suggests a target federal funds rate around 5.185%, while the nominal neutral rate, based on the New York Fed’s real neutral rate and current inflation, sits near 4.16%. Together, these figures provide a </w:t>
      </w:r>
      <w:r w:rsidRPr="00837386">
        <w:rPr>
          <w:rFonts w:ascii="Book Antiqua" w:hAnsi="Book Antiqua"/>
          <w:bCs/>
          <w:sz w:val="24"/>
          <w:szCs w:val="24"/>
        </w:rPr>
        <w:lastRenderedPageBreak/>
        <w:t>reasonable range that supports the Fed’s current stance: rates are elevated enough to keep inflation in check but not so high as to unnecessarily hinder growth. This balanced approach aligns with the data and economic theory, reinforcing why the Fed’s measured patience is warranted at this stage.</w:t>
      </w:r>
    </w:p>
    <w:p w14:paraId="0D88C53D" w14:textId="77777777" w:rsidR="00837386" w:rsidRPr="00837386" w:rsidRDefault="00837386" w:rsidP="00837386">
      <w:pPr>
        <w:spacing w:line="324" w:lineRule="auto"/>
        <w:ind w:firstLine="720"/>
        <w:rPr>
          <w:rFonts w:ascii="Book Antiqua" w:hAnsi="Book Antiqua"/>
          <w:bCs/>
          <w:sz w:val="24"/>
          <w:szCs w:val="24"/>
        </w:rPr>
      </w:pPr>
      <w:r w:rsidRPr="00837386">
        <w:rPr>
          <w:rFonts w:ascii="Book Antiqua" w:hAnsi="Book Antiqua"/>
          <w:bCs/>
          <w:sz w:val="24"/>
          <w:szCs w:val="24"/>
        </w:rPr>
        <w:t>That said, the Fed must continue to closely monitor inflation trends and inflation expectations, ready to respond swiftly if significant changes arise. Maintaining this vigilance is crucial to prevent any surprises that could derail the delicate balance between fostering economic growth and ensuring price stability.</w:t>
      </w:r>
    </w:p>
    <w:p w14:paraId="75B44CFF" w14:textId="53035E5F" w:rsidR="00837386" w:rsidRPr="00837386" w:rsidRDefault="00837386" w:rsidP="00167D6F">
      <w:pPr>
        <w:spacing w:line="324" w:lineRule="auto"/>
        <w:rPr>
          <w:rFonts w:ascii="Book Antiqua" w:hAnsi="Book Antiqua"/>
          <w:bCs/>
          <w:sz w:val="24"/>
          <w:szCs w:val="24"/>
        </w:rPr>
      </w:pPr>
    </w:p>
    <w:p w14:paraId="0D9DBCAC" w14:textId="1433C693" w:rsidR="009448E6" w:rsidRDefault="009448E6" w:rsidP="00167D6F">
      <w:pPr>
        <w:spacing w:line="324" w:lineRule="auto"/>
        <w:rPr>
          <w:rFonts w:ascii="Book Antiqua" w:hAnsi="Book Antiqua"/>
          <w:b/>
          <w:sz w:val="24"/>
          <w:szCs w:val="24"/>
        </w:rPr>
      </w:pPr>
    </w:p>
    <w:p w14:paraId="17A955D3" w14:textId="77777777" w:rsidR="009448E6" w:rsidRDefault="009448E6" w:rsidP="00167D6F">
      <w:pPr>
        <w:spacing w:line="324" w:lineRule="auto"/>
        <w:rPr>
          <w:rFonts w:ascii="Book Antiqua" w:hAnsi="Book Antiqua"/>
          <w:b/>
          <w:sz w:val="24"/>
          <w:szCs w:val="24"/>
        </w:rPr>
      </w:pPr>
    </w:p>
    <w:p w14:paraId="13F1E94C" w14:textId="2658356B" w:rsidR="009448E6" w:rsidRDefault="009448E6" w:rsidP="00167D6F">
      <w:pPr>
        <w:spacing w:line="324" w:lineRule="auto"/>
        <w:rPr>
          <w:rFonts w:ascii="Book Antiqua" w:hAnsi="Book Antiqua"/>
          <w:b/>
          <w:sz w:val="24"/>
          <w:szCs w:val="24"/>
        </w:rPr>
      </w:pPr>
    </w:p>
    <w:p w14:paraId="20C1D790" w14:textId="77777777" w:rsidR="009448E6" w:rsidRDefault="009448E6" w:rsidP="00167D6F">
      <w:pPr>
        <w:spacing w:line="324" w:lineRule="auto"/>
        <w:rPr>
          <w:rFonts w:ascii="Book Antiqua" w:hAnsi="Book Antiqua"/>
          <w:b/>
          <w:sz w:val="24"/>
          <w:szCs w:val="24"/>
        </w:rPr>
      </w:pPr>
    </w:p>
    <w:p w14:paraId="7E761671" w14:textId="77777777" w:rsidR="009448E6" w:rsidRDefault="009448E6" w:rsidP="00167D6F">
      <w:pPr>
        <w:spacing w:line="324" w:lineRule="auto"/>
        <w:rPr>
          <w:rFonts w:ascii="Book Antiqua" w:hAnsi="Book Antiqua"/>
          <w:b/>
          <w:sz w:val="24"/>
          <w:szCs w:val="24"/>
        </w:rPr>
      </w:pPr>
    </w:p>
    <w:p w14:paraId="0C63C90F" w14:textId="77777777" w:rsidR="00837386" w:rsidRDefault="00837386" w:rsidP="00167D6F">
      <w:pPr>
        <w:spacing w:line="324" w:lineRule="auto"/>
        <w:rPr>
          <w:rFonts w:ascii="Book Antiqua" w:hAnsi="Book Antiqua"/>
          <w:b/>
          <w:sz w:val="24"/>
          <w:szCs w:val="24"/>
        </w:rPr>
      </w:pPr>
    </w:p>
    <w:p w14:paraId="0744AE5F" w14:textId="77777777" w:rsidR="00837386" w:rsidRDefault="00837386" w:rsidP="00167D6F">
      <w:pPr>
        <w:spacing w:line="324" w:lineRule="auto"/>
        <w:rPr>
          <w:rFonts w:ascii="Book Antiqua" w:hAnsi="Book Antiqua"/>
          <w:b/>
          <w:sz w:val="24"/>
          <w:szCs w:val="24"/>
        </w:rPr>
      </w:pPr>
    </w:p>
    <w:p w14:paraId="3139912B" w14:textId="77777777" w:rsidR="00837386" w:rsidRDefault="00837386" w:rsidP="00167D6F">
      <w:pPr>
        <w:spacing w:line="324" w:lineRule="auto"/>
        <w:rPr>
          <w:rFonts w:ascii="Book Antiqua" w:hAnsi="Book Antiqua"/>
          <w:b/>
          <w:sz w:val="24"/>
          <w:szCs w:val="24"/>
        </w:rPr>
      </w:pPr>
    </w:p>
    <w:p w14:paraId="1F04CC46" w14:textId="77777777" w:rsidR="00837386" w:rsidRDefault="00837386" w:rsidP="00167D6F">
      <w:pPr>
        <w:spacing w:line="324" w:lineRule="auto"/>
        <w:rPr>
          <w:rFonts w:ascii="Book Antiqua" w:hAnsi="Book Antiqua"/>
          <w:b/>
          <w:sz w:val="24"/>
          <w:szCs w:val="24"/>
        </w:rPr>
      </w:pPr>
    </w:p>
    <w:p w14:paraId="7CDCF4CB" w14:textId="77777777" w:rsidR="00837386" w:rsidRDefault="00837386" w:rsidP="00167D6F">
      <w:pPr>
        <w:spacing w:line="324" w:lineRule="auto"/>
        <w:rPr>
          <w:rFonts w:ascii="Book Antiqua" w:hAnsi="Book Antiqua"/>
          <w:b/>
          <w:sz w:val="24"/>
          <w:szCs w:val="24"/>
        </w:rPr>
      </w:pPr>
    </w:p>
    <w:p w14:paraId="237E17BF" w14:textId="77777777" w:rsidR="00837386" w:rsidRDefault="00837386" w:rsidP="00167D6F">
      <w:pPr>
        <w:spacing w:line="324" w:lineRule="auto"/>
        <w:rPr>
          <w:rFonts w:ascii="Book Antiqua" w:hAnsi="Book Antiqua"/>
          <w:b/>
          <w:sz w:val="24"/>
          <w:szCs w:val="24"/>
        </w:rPr>
      </w:pPr>
    </w:p>
    <w:p w14:paraId="3E2331BC" w14:textId="77777777" w:rsidR="00837386" w:rsidRDefault="00837386" w:rsidP="00167D6F">
      <w:pPr>
        <w:spacing w:line="324" w:lineRule="auto"/>
        <w:rPr>
          <w:rFonts w:ascii="Book Antiqua" w:hAnsi="Book Antiqua"/>
          <w:b/>
          <w:sz w:val="24"/>
          <w:szCs w:val="24"/>
        </w:rPr>
      </w:pPr>
    </w:p>
    <w:p w14:paraId="645B0F7F" w14:textId="77777777" w:rsidR="00837386" w:rsidRDefault="00837386" w:rsidP="00167D6F">
      <w:pPr>
        <w:spacing w:line="324" w:lineRule="auto"/>
        <w:rPr>
          <w:rFonts w:ascii="Book Antiqua" w:hAnsi="Book Antiqua"/>
          <w:b/>
          <w:sz w:val="24"/>
          <w:szCs w:val="24"/>
        </w:rPr>
      </w:pPr>
    </w:p>
    <w:p w14:paraId="6A3FCFA6" w14:textId="77777777" w:rsidR="00837386" w:rsidRDefault="00837386" w:rsidP="00167D6F">
      <w:pPr>
        <w:spacing w:line="324" w:lineRule="auto"/>
        <w:rPr>
          <w:rFonts w:ascii="Book Antiqua" w:hAnsi="Book Antiqua"/>
          <w:b/>
          <w:sz w:val="24"/>
          <w:szCs w:val="24"/>
        </w:rPr>
      </w:pPr>
    </w:p>
    <w:p w14:paraId="104011B4" w14:textId="77777777" w:rsidR="00837386" w:rsidRDefault="00837386" w:rsidP="00167D6F">
      <w:pPr>
        <w:spacing w:line="324" w:lineRule="auto"/>
        <w:rPr>
          <w:rFonts w:ascii="Book Antiqua" w:hAnsi="Book Antiqua"/>
          <w:b/>
          <w:sz w:val="24"/>
          <w:szCs w:val="24"/>
        </w:rPr>
      </w:pPr>
    </w:p>
    <w:p w14:paraId="1AE88097" w14:textId="77777777" w:rsidR="00837386" w:rsidRDefault="00837386" w:rsidP="00167D6F">
      <w:pPr>
        <w:spacing w:line="324" w:lineRule="auto"/>
        <w:rPr>
          <w:rFonts w:ascii="Book Antiqua" w:hAnsi="Book Antiqua"/>
          <w:b/>
          <w:sz w:val="24"/>
          <w:szCs w:val="24"/>
        </w:rPr>
      </w:pPr>
    </w:p>
    <w:p w14:paraId="7CDDEDC3" w14:textId="77777777" w:rsidR="00837386" w:rsidRDefault="00837386" w:rsidP="00167D6F">
      <w:pPr>
        <w:spacing w:line="324" w:lineRule="auto"/>
        <w:rPr>
          <w:rFonts w:ascii="Book Antiqua" w:hAnsi="Book Antiqua"/>
          <w:b/>
          <w:sz w:val="24"/>
          <w:szCs w:val="24"/>
        </w:rPr>
      </w:pPr>
    </w:p>
    <w:p w14:paraId="732760E9" w14:textId="77777777" w:rsidR="00837386" w:rsidRDefault="00837386" w:rsidP="00167D6F">
      <w:pPr>
        <w:spacing w:line="324" w:lineRule="auto"/>
        <w:rPr>
          <w:rFonts w:ascii="Book Antiqua" w:hAnsi="Book Antiqua"/>
          <w:b/>
          <w:sz w:val="24"/>
          <w:szCs w:val="24"/>
        </w:rPr>
      </w:pPr>
    </w:p>
    <w:p w14:paraId="31CE732B" w14:textId="77777777" w:rsidR="00837386" w:rsidRDefault="00837386" w:rsidP="00167D6F">
      <w:pPr>
        <w:spacing w:line="324" w:lineRule="auto"/>
        <w:rPr>
          <w:rFonts w:ascii="Book Antiqua" w:hAnsi="Book Antiqua"/>
          <w:b/>
          <w:sz w:val="24"/>
          <w:szCs w:val="24"/>
        </w:rPr>
      </w:pPr>
    </w:p>
    <w:p w14:paraId="1DA7540E" w14:textId="77777777" w:rsidR="00837386" w:rsidRDefault="00837386" w:rsidP="00167D6F">
      <w:pPr>
        <w:spacing w:line="324" w:lineRule="auto"/>
        <w:rPr>
          <w:rFonts w:ascii="Book Antiqua" w:hAnsi="Book Antiqua"/>
          <w:b/>
          <w:sz w:val="24"/>
          <w:szCs w:val="24"/>
        </w:rPr>
      </w:pPr>
    </w:p>
    <w:p w14:paraId="21E436D2" w14:textId="77777777" w:rsidR="00837386" w:rsidRDefault="00837386" w:rsidP="00167D6F">
      <w:pPr>
        <w:spacing w:line="324" w:lineRule="auto"/>
        <w:rPr>
          <w:rFonts w:ascii="Book Antiqua" w:hAnsi="Book Antiqua"/>
          <w:b/>
          <w:sz w:val="24"/>
          <w:szCs w:val="24"/>
        </w:rPr>
      </w:pPr>
    </w:p>
    <w:p w14:paraId="6B36CF47" w14:textId="77777777" w:rsidR="00837386" w:rsidRDefault="00837386" w:rsidP="00167D6F">
      <w:pPr>
        <w:spacing w:line="324" w:lineRule="auto"/>
        <w:rPr>
          <w:rFonts w:ascii="Book Antiqua" w:hAnsi="Book Antiqua"/>
          <w:b/>
          <w:sz w:val="24"/>
          <w:szCs w:val="24"/>
        </w:rPr>
      </w:pPr>
    </w:p>
    <w:p w14:paraId="080546C6" w14:textId="77777777" w:rsidR="00837386" w:rsidRDefault="00837386" w:rsidP="00167D6F">
      <w:pPr>
        <w:spacing w:line="324" w:lineRule="auto"/>
        <w:rPr>
          <w:rFonts w:ascii="Book Antiqua" w:hAnsi="Book Antiqua"/>
          <w:b/>
          <w:sz w:val="24"/>
          <w:szCs w:val="24"/>
        </w:rPr>
      </w:pPr>
    </w:p>
    <w:p w14:paraId="2E2503B0" w14:textId="77777777" w:rsidR="00837386" w:rsidRDefault="00837386" w:rsidP="00167D6F">
      <w:pPr>
        <w:spacing w:line="324" w:lineRule="auto"/>
        <w:rPr>
          <w:rFonts w:ascii="Book Antiqua" w:hAnsi="Book Antiqua"/>
          <w:b/>
          <w:sz w:val="24"/>
          <w:szCs w:val="24"/>
        </w:rPr>
      </w:pPr>
    </w:p>
    <w:p w14:paraId="637B642B" w14:textId="372DEFB9" w:rsidR="0056651D" w:rsidRDefault="00167D6F" w:rsidP="00837386">
      <w:pPr>
        <w:spacing w:line="324" w:lineRule="auto"/>
        <w:rPr>
          <w:rFonts w:ascii="Book Antiqua" w:hAnsi="Book Antiqua"/>
          <w:b/>
          <w:sz w:val="24"/>
          <w:szCs w:val="24"/>
        </w:rPr>
      </w:pPr>
      <w:r>
        <w:rPr>
          <w:rFonts w:ascii="Book Antiqua" w:hAnsi="Book Antiqua"/>
          <w:b/>
          <w:sz w:val="24"/>
          <w:szCs w:val="24"/>
        </w:rPr>
        <w:lastRenderedPageBreak/>
        <w:t>Appendix</w:t>
      </w:r>
      <w:r w:rsidR="00837386">
        <w:rPr>
          <w:rFonts w:ascii="Book Antiqua" w:hAnsi="Book Antiqua"/>
          <w:b/>
          <w:sz w:val="24"/>
          <w:szCs w:val="24"/>
        </w:rPr>
        <w:t xml:space="preserve"> </w:t>
      </w:r>
      <w:r>
        <w:rPr>
          <w:rFonts w:ascii="Book Antiqua" w:hAnsi="Book Antiqua"/>
          <w:b/>
          <w:sz w:val="24"/>
          <w:szCs w:val="24"/>
        </w:rPr>
        <w:t xml:space="preserve">1 </w:t>
      </w:r>
      <w:r w:rsidR="0056651D">
        <w:rPr>
          <w:rFonts w:ascii="Book Antiqua" w:hAnsi="Book Antiqua"/>
          <w:b/>
          <w:sz w:val="24"/>
          <w:szCs w:val="24"/>
        </w:rPr>
        <w:t>–</w:t>
      </w:r>
      <w:r>
        <w:rPr>
          <w:rFonts w:ascii="Book Antiqua" w:hAnsi="Book Antiqua"/>
          <w:b/>
          <w:sz w:val="24"/>
          <w:szCs w:val="24"/>
        </w:rPr>
        <w:t xml:space="preserve"> References</w:t>
      </w:r>
    </w:p>
    <w:p w14:paraId="2235F12B"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Bennett, R. (2023, May 1). </w:t>
      </w:r>
      <w:r w:rsidRPr="00837386">
        <w:rPr>
          <w:rFonts w:ascii="Book Antiqua" w:hAnsi="Book Antiqua"/>
          <w:bCs/>
          <w:i/>
          <w:iCs/>
          <w:sz w:val="24"/>
          <w:szCs w:val="24"/>
        </w:rPr>
        <w:t xml:space="preserve">2023 Banking Crisis: Silicon Valley Bank’s Collapse </w:t>
      </w:r>
      <w:proofErr w:type="gramStart"/>
      <w:r w:rsidRPr="00837386">
        <w:rPr>
          <w:rFonts w:ascii="Book Antiqua" w:hAnsi="Book Antiqua"/>
          <w:bCs/>
          <w:i/>
          <w:iCs/>
          <w:sz w:val="24"/>
          <w:szCs w:val="24"/>
        </w:rPr>
        <w:t>And</w:t>
      </w:r>
      <w:proofErr w:type="gramEnd"/>
      <w:r w:rsidRPr="00837386">
        <w:rPr>
          <w:rFonts w:ascii="Book Antiqua" w:hAnsi="Book Antiqua"/>
          <w:bCs/>
          <w:i/>
          <w:iCs/>
          <w:sz w:val="24"/>
          <w:szCs w:val="24"/>
        </w:rPr>
        <w:t xml:space="preserve"> </w:t>
      </w:r>
      <w:proofErr w:type="gramStart"/>
      <w:r w:rsidRPr="00837386">
        <w:rPr>
          <w:rFonts w:ascii="Book Antiqua" w:hAnsi="Book Antiqua"/>
          <w:bCs/>
          <w:i/>
          <w:iCs/>
          <w:sz w:val="24"/>
          <w:szCs w:val="24"/>
        </w:rPr>
        <w:t>A</w:t>
      </w:r>
      <w:proofErr w:type="gramEnd"/>
      <w:r w:rsidRPr="00837386">
        <w:rPr>
          <w:rFonts w:ascii="Book Antiqua" w:hAnsi="Book Antiqua"/>
          <w:bCs/>
          <w:i/>
          <w:iCs/>
          <w:sz w:val="24"/>
          <w:szCs w:val="24"/>
        </w:rPr>
        <w:t xml:space="preserve"> Timeline </w:t>
      </w:r>
      <w:proofErr w:type="gramStart"/>
      <w:r w:rsidRPr="00837386">
        <w:rPr>
          <w:rFonts w:ascii="Book Antiqua" w:hAnsi="Book Antiqua"/>
          <w:bCs/>
          <w:i/>
          <w:iCs/>
          <w:sz w:val="24"/>
          <w:szCs w:val="24"/>
        </w:rPr>
        <w:t>Of</w:t>
      </w:r>
      <w:proofErr w:type="gramEnd"/>
      <w:r w:rsidRPr="00837386">
        <w:rPr>
          <w:rFonts w:ascii="Book Antiqua" w:hAnsi="Book Antiqua"/>
          <w:bCs/>
          <w:i/>
          <w:iCs/>
          <w:sz w:val="24"/>
          <w:szCs w:val="24"/>
        </w:rPr>
        <w:t xml:space="preserve"> </w:t>
      </w:r>
      <w:proofErr w:type="gramStart"/>
      <w:r w:rsidRPr="00837386">
        <w:rPr>
          <w:rFonts w:ascii="Book Antiqua" w:hAnsi="Book Antiqua"/>
          <w:bCs/>
          <w:i/>
          <w:iCs/>
          <w:sz w:val="24"/>
          <w:szCs w:val="24"/>
        </w:rPr>
        <w:t>The</w:t>
      </w:r>
      <w:proofErr w:type="gramEnd"/>
      <w:r w:rsidRPr="00837386">
        <w:rPr>
          <w:rFonts w:ascii="Book Antiqua" w:hAnsi="Book Antiqua"/>
          <w:bCs/>
          <w:i/>
          <w:iCs/>
          <w:sz w:val="24"/>
          <w:szCs w:val="24"/>
        </w:rPr>
        <w:t xml:space="preserve"> Financial Fallout That Followed</w:t>
      </w:r>
      <w:r w:rsidRPr="00837386">
        <w:rPr>
          <w:rFonts w:ascii="Book Antiqua" w:hAnsi="Book Antiqua"/>
          <w:bCs/>
          <w:sz w:val="24"/>
          <w:szCs w:val="24"/>
        </w:rPr>
        <w:t>. Bankrate. https://www.bankrate.com/banking/bank-failures-latest-updates-silicon-valley-signature-bank/#failure-fallout</w:t>
      </w:r>
    </w:p>
    <w:p w14:paraId="0A71D312"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Board of Governors of the Federal Reserve System. (2024, July 19). </w:t>
      </w:r>
      <w:r w:rsidRPr="00837386">
        <w:rPr>
          <w:rFonts w:ascii="Book Antiqua" w:hAnsi="Book Antiqua"/>
          <w:bCs/>
          <w:i/>
          <w:iCs/>
          <w:sz w:val="24"/>
          <w:szCs w:val="24"/>
        </w:rPr>
        <w:t>The Fed - How does monetary policy influence inflation and employment?</w:t>
      </w:r>
      <w:r w:rsidRPr="00837386">
        <w:rPr>
          <w:rFonts w:ascii="Book Antiqua" w:hAnsi="Book Antiqua"/>
          <w:bCs/>
          <w:sz w:val="24"/>
          <w:szCs w:val="24"/>
        </w:rPr>
        <w:t> Board of Governors of the Federal Reserve System. https://www.federalreserve.gov/faqs/money_12856.htm</w:t>
      </w:r>
    </w:p>
    <w:p w14:paraId="4BBB01DA"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Board of Governors of the Federal Reserve System (US). (2001, July 31). </w:t>
      </w:r>
      <w:r w:rsidRPr="00837386">
        <w:rPr>
          <w:rFonts w:ascii="Book Antiqua" w:hAnsi="Book Antiqua"/>
          <w:bCs/>
          <w:i/>
          <w:iCs/>
          <w:sz w:val="24"/>
          <w:szCs w:val="24"/>
        </w:rPr>
        <w:t>1-Month Treasury Constant Maturity Rate</w:t>
      </w:r>
      <w:r w:rsidRPr="00837386">
        <w:rPr>
          <w:rFonts w:ascii="Book Antiqua" w:hAnsi="Book Antiqua"/>
          <w:bCs/>
          <w:sz w:val="24"/>
          <w:szCs w:val="24"/>
        </w:rPr>
        <w:t>. FRED, Federal Reserve Bank of St. Louis. https://fred.stlouisfed.org/series/DGS1MO</w:t>
      </w:r>
    </w:p>
    <w:p w14:paraId="6042D765"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CNBC. (2025). </w:t>
      </w:r>
      <w:r w:rsidRPr="00837386">
        <w:rPr>
          <w:rFonts w:ascii="Book Antiqua" w:hAnsi="Book Antiqua"/>
          <w:bCs/>
          <w:i/>
          <w:iCs/>
          <w:sz w:val="24"/>
          <w:szCs w:val="24"/>
        </w:rPr>
        <w:t>US TREASURY-CURRENT 10 YEAR’s stock price (US10Y) in real time</w:t>
      </w:r>
      <w:r w:rsidRPr="00837386">
        <w:rPr>
          <w:rFonts w:ascii="Book Antiqua" w:hAnsi="Book Antiqua"/>
          <w:bCs/>
          <w:sz w:val="24"/>
          <w:szCs w:val="24"/>
        </w:rPr>
        <w:t>. CNBC. https://www.cnbc.com/quotes/US10Y</w:t>
      </w:r>
    </w:p>
    <w:p w14:paraId="7F4E174D"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Cochrane, J. H. (2025, January 4). </w:t>
      </w:r>
      <w:r w:rsidRPr="00837386">
        <w:rPr>
          <w:rFonts w:ascii="Book Antiqua" w:hAnsi="Book Antiqua"/>
          <w:bCs/>
          <w:i/>
          <w:iCs/>
          <w:sz w:val="24"/>
          <w:szCs w:val="24"/>
        </w:rPr>
        <w:t>Inflation and the Macroeconomy</w:t>
      </w:r>
      <w:r w:rsidRPr="00837386">
        <w:rPr>
          <w:rFonts w:ascii="Book Antiqua" w:hAnsi="Book Antiqua"/>
          <w:bCs/>
          <w:sz w:val="24"/>
          <w:szCs w:val="24"/>
        </w:rPr>
        <w:t>. Grumpy-Economist.com; The Grumpy Economist. https://www.grumpy-economist.com/p/inflation-and-the-macroeconomy</w:t>
      </w:r>
    </w:p>
    <w:p w14:paraId="71E0EE77"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Evans, M. (2025, March 31). </w:t>
      </w:r>
      <w:r w:rsidRPr="00837386">
        <w:rPr>
          <w:rFonts w:ascii="Book Antiqua" w:hAnsi="Book Antiqua"/>
          <w:bCs/>
          <w:i/>
          <w:iCs/>
          <w:sz w:val="24"/>
          <w:szCs w:val="24"/>
        </w:rPr>
        <w:t>What Happened to Silicon Valley Bank?</w:t>
      </w:r>
      <w:r w:rsidRPr="00837386">
        <w:rPr>
          <w:rFonts w:ascii="Book Antiqua" w:hAnsi="Book Antiqua"/>
          <w:bCs/>
          <w:sz w:val="24"/>
          <w:szCs w:val="24"/>
        </w:rPr>
        <w:t> Investopedia. https://www.investopedia.com/what-happened-to-silicon-valley-bank-7368676</w:t>
      </w:r>
    </w:p>
    <w:p w14:paraId="5D29310E"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Fiscal Data. (2025). </w:t>
      </w:r>
      <w:r w:rsidRPr="00837386">
        <w:rPr>
          <w:rFonts w:ascii="Book Antiqua" w:hAnsi="Book Antiqua"/>
          <w:bCs/>
          <w:i/>
          <w:iCs/>
          <w:sz w:val="24"/>
          <w:szCs w:val="24"/>
        </w:rPr>
        <w:t>Fiscal Data Explains the National Deficit</w:t>
      </w:r>
      <w:r w:rsidRPr="00837386">
        <w:rPr>
          <w:rFonts w:ascii="Book Antiqua" w:hAnsi="Book Antiqua"/>
          <w:bCs/>
          <w:sz w:val="24"/>
          <w:szCs w:val="24"/>
        </w:rPr>
        <w:t>. Fiscaldata.treasury.gov. https://fiscaldata.treasury.gov/americas-finance-guide/national-deficit/</w:t>
      </w:r>
    </w:p>
    <w:p w14:paraId="104BE099"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FRED. (2019). </w:t>
      </w:r>
      <w:r w:rsidRPr="00837386">
        <w:rPr>
          <w:rFonts w:ascii="Book Antiqua" w:hAnsi="Book Antiqua"/>
          <w:bCs/>
          <w:i/>
          <w:iCs/>
          <w:sz w:val="24"/>
          <w:szCs w:val="24"/>
        </w:rPr>
        <w:t xml:space="preserve">Assets: Total Assets: Total Assets (Less Eliminations </w:t>
      </w:r>
      <w:proofErr w:type="gramStart"/>
      <w:r w:rsidRPr="00837386">
        <w:rPr>
          <w:rFonts w:ascii="Book Antiqua" w:hAnsi="Book Antiqua"/>
          <w:bCs/>
          <w:i/>
          <w:iCs/>
          <w:sz w:val="24"/>
          <w:szCs w:val="24"/>
        </w:rPr>
        <w:t>From</w:t>
      </w:r>
      <w:proofErr w:type="gramEnd"/>
      <w:r w:rsidRPr="00837386">
        <w:rPr>
          <w:rFonts w:ascii="Book Antiqua" w:hAnsi="Book Antiqua"/>
          <w:bCs/>
          <w:i/>
          <w:iCs/>
          <w:sz w:val="24"/>
          <w:szCs w:val="24"/>
        </w:rPr>
        <w:t xml:space="preserve"> Consolidation): Wednesday Level</w:t>
      </w:r>
      <w:r w:rsidRPr="00837386">
        <w:rPr>
          <w:rFonts w:ascii="Book Antiqua" w:hAnsi="Book Antiqua"/>
          <w:bCs/>
          <w:sz w:val="24"/>
          <w:szCs w:val="24"/>
        </w:rPr>
        <w:t>. Stlouisfed.org. https://fred.stlouisfed.org/series/WALCL</w:t>
      </w:r>
    </w:p>
    <w:p w14:paraId="49F40062"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FRED. (2020). </w:t>
      </w:r>
      <w:r w:rsidRPr="00837386">
        <w:rPr>
          <w:rFonts w:ascii="Book Antiqua" w:hAnsi="Book Antiqua"/>
          <w:bCs/>
          <w:i/>
          <w:iCs/>
          <w:sz w:val="24"/>
          <w:szCs w:val="24"/>
        </w:rPr>
        <w:t>M2 Money Stock</w:t>
      </w:r>
      <w:r w:rsidRPr="00837386">
        <w:rPr>
          <w:rFonts w:ascii="Book Antiqua" w:hAnsi="Book Antiqua"/>
          <w:bCs/>
          <w:sz w:val="24"/>
          <w:szCs w:val="24"/>
        </w:rPr>
        <w:t>. Stlouisfed.org. https://fred.stlouisfed.org/series/M2SL</w:t>
      </w:r>
    </w:p>
    <w:p w14:paraId="30BF8F49"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FRED. (2024). </w:t>
      </w:r>
      <w:r w:rsidRPr="00837386">
        <w:rPr>
          <w:rFonts w:ascii="Book Antiqua" w:hAnsi="Book Antiqua"/>
          <w:bCs/>
          <w:i/>
          <w:iCs/>
          <w:sz w:val="24"/>
          <w:szCs w:val="24"/>
        </w:rPr>
        <w:t>Consumer Price Index for All Urban Consumers: All Items</w:t>
      </w:r>
      <w:r w:rsidRPr="00837386">
        <w:rPr>
          <w:rFonts w:ascii="Book Antiqua" w:hAnsi="Book Antiqua"/>
          <w:bCs/>
          <w:sz w:val="24"/>
          <w:szCs w:val="24"/>
        </w:rPr>
        <w:t>. Stlouisfed.org. https://fred.stlouisfed.org/series/CPIAUCSL</w:t>
      </w:r>
    </w:p>
    <w:p w14:paraId="3FE8BBA3"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FRED. (2025a). </w:t>
      </w:r>
      <w:r w:rsidRPr="00837386">
        <w:rPr>
          <w:rFonts w:ascii="Book Antiqua" w:hAnsi="Book Antiqua"/>
          <w:bCs/>
          <w:i/>
          <w:iCs/>
          <w:sz w:val="24"/>
          <w:szCs w:val="24"/>
        </w:rPr>
        <w:t>10-Year Treasury Constant Maturity Rate</w:t>
      </w:r>
      <w:r w:rsidRPr="00837386">
        <w:rPr>
          <w:rFonts w:ascii="Book Antiqua" w:hAnsi="Book Antiqua"/>
          <w:bCs/>
          <w:sz w:val="24"/>
          <w:szCs w:val="24"/>
        </w:rPr>
        <w:t>. FRED, Federal Reserve Bank of St. Louis. https://fred.stlouisfed.org/series/DGS10</w:t>
      </w:r>
    </w:p>
    <w:p w14:paraId="5E732711"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FRED. (2025b). </w:t>
      </w:r>
      <w:r w:rsidRPr="00837386">
        <w:rPr>
          <w:rFonts w:ascii="Book Antiqua" w:hAnsi="Book Antiqua"/>
          <w:bCs/>
          <w:i/>
          <w:iCs/>
          <w:sz w:val="24"/>
          <w:szCs w:val="24"/>
        </w:rPr>
        <w:t>Effective Federal Funds Rate</w:t>
      </w:r>
      <w:r w:rsidRPr="00837386">
        <w:rPr>
          <w:rFonts w:ascii="Book Antiqua" w:hAnsi="Book Antiqua"/>
          <w:bCs/>
          <w:sz w:val="24"/>
          <w:szCs w:val="24"/>
        </w:rPr>
        <w:t>. Stlouisfed.org. https://fred.stlouisfed.org/series/FEDFUNDS</w:t>
      </w:r>
    </w:p>
    <w:p w14:paraId="02AEA2A1"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lastRenderedPageBreak/>
        <w:t>Greenwood, J., &amp; Hanke, S. H. (2021, July 20). </w:t>
      </w:r>
      <w:r w:rsidRPr="00837386">
        <w:rPr>
          <w:rFonts w:ascii="Book Antiqua" w:hAnsi="Book Antiqua"/>
          <w:bCs/>
          <w:i/>
          <w:iCs/>
          <w:sz w:val="24"/>
          <w:szCs w:val="24"/>
        </w:rPr>
        <w:t>Too Much Money Portends High Inflation</w:t>
      </w:r>
      <w:r w:rsidRPr="00837386">
        <w:rPr>
          <w:rFonts w:ascii="Book Antiqua" w:hAnsi="Book Antiqua"/>
          <w:bCs/>
          <w:sz w:val="24"/>
          <w:szCs w:val="24"/>
        </w:rPr>
        <w:t>. Wall Street Journal. https://www.wsj.com/opinion/money-supply-inflation-friedman-biden-federal-reserve-11626816746</w:t>
      </w:r>
    </w:p>
    <w:p w14:paraId="00A199BD"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Hyatt, D. (2025). </w:t>
      </w:r>
      <w:r w:rsidRPr="00837386">
        <w:rPr>
          <w:rFonts w:ascii="Book Antiqua" w:hAnsi="Book Antiqua"/>
          <w:bCs/>
          <w:i/>
          <w:iCs/>
          <w:sz w:val="24"/>
          <w:szCs w:val="24"/>
        </w:rPr>
        <w:t xml:space="preserve">4 Reasons </w:t>
      </w:r>
      <w:proofErr w:type="gramStart"/>
      <w:r w:rsidRPr="00837386">
        <w:rPr>
          <w:rFonts w:ascii="Book Antiqua" w:hAnsi="Book Antiqua"/>
          <w:bCs/>
          <w:i/>
          <w:iCs/>
          <w:sz w:val="24"/>
          <w:szCs w:val="24"/>
        </w:rPr>
        <w:t>The</w:t>
      </w:r>
      <w:proofErr w:type="gramEnd"/>
      <w:r w:rsidRPr="00837386">
        <w:rPr>
          <w:rFonts w:ascii="Book Antiqua" w:hAnsi="Book Antiqua"/>
          <w:bCs/>
          <w:i/>
          <w:iCs/>
          <w:sz w:val="24"/>
          <w:szCs w:val="24"/>
        </w:rPr>
        <w:t xml:space="preserve"> Fed Isn’t Cutting Interest Rates</w:t>
      </w:r>
      <w:r w:rsidRPr="00837386">
        <w:rPr>
          <w:rFonts w:ascii="Book Antiqua" w:hAnsi="Book Antiqua"/>
          <w:bCs/>
          <w:sz w:val="24"/>
          <w:szCs w:val="24"/>
        </w:rPr>
        <w:t>. Investopedia. https://www.investopedia.com/four-reasons-the-fed-isn-t-cutting-interest-rates-11757580</w:t>
      </w:r>
    </w:p>
    <w:p w14:paraId="52939152"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Jefferson, P. N. (2024). </w:t>
      </w:r>
      <w:r w:rsidRPr="00837386">
        <w:rPr>
          <w:rFonts w:ascii="Book Antiqua" w:hAnsi="Book Antiqua"/>
          <w:bCs/>
          <w:i/>
          <w:iCs/>
          <w:sz w:val="24"/>
          <w:szCs w:val="24"/>
        </w:rPr>
        <w:t>Speech by Vice Chair Jefferson on monetary policy during periods of uncertainty</w:t>
      </w:r>
      <w:r w:rsidRPr="00837386">
        <w:rPr>
          <w:rFonts w:ascii="Book Antiqua" w:hAnsi="Book Antiqua"/>
          <w:bCs/>
          <w:sz w:val="24"/>
          <w:szCs w:val="24"/>
        </w:rPr>
        <w:t>. Board of Governors of the Federal Reserve System. https://www.federalreserve.gov/newsevents/speech/jefferson20240416a.htm</w:t>
      </w:r>
    </w:p>
    <w:p w14:paraId="023AE754"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Laurion, H., &amp; Bhagat, S. (2024, January 31). </w:t>
      </w:r>
      <w:r w:rsidRPr="00837386">
        <w:rPr>
          <w:rFonts w:ascii="Book Antiqua" w:hAnsi="Book Antiqua"/>
          <w:bCs/>
          <w:i/>
          <w:iCs/>
          <w:sz w:val="24"/>
          <w:szCs w:val="24"/>
        </w:rPr>
        <w:t>Silicon Valley Bank Demise: Causes and the Path Forward</w:t>
      </w:r>
      <w:r w:rsidRPr="00837386">
        <w:rPr>
          <w:rFonts w:ascii="Book Antiqua" w:hAnsi="Book Antiqua"/>
          <w:bCs/>
          <w:sz w:val="24"/>
          <w:szCs w:val="24"/>
        </w:rPr>
        <w:t>. The Harvard Law School Forum on Corporate Governance. https://corpgov.law.harvard.edu/2024/01/31/silicon-valley-bank-demise-causes-and-the-path-forward/</w:t>
      </w:r>
    </w:p>
    <w:p w14:paraId="28C94182"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Maddock, C. (2024, November 27). </w:t>
      </w:r>
      <w:r w:rsidRPr="00837386">
        <w:rPr>
          <w:rFonts w:ascii="Book Antiqua" w:hAnsi="Book Antiqua"/>
          <w:bCs/>
          <w:i/>
          <w:iCs/>
          <w:sz w:val="24"/>
          <w:szCs w:val="24"/>
        </w:rPr>
        <w:t>An Analysis of Pandemic-Era Inflation – Michigan Journal of Economics</w:t>
      </w:r>
      <w:r w:rsidRPr="00837386">
        <w:rPr>
          <w:rFonts w:ascii="Book Antiqua" w:hAnsi="Book Antiqua"/>
          <w:bCs/>
          <w:sz w:val="24"/>
          <w:szCs w:val="24"/>
        </w:rPr>
        <w:t>. Umich.edu. https://sites.lsa.umich.edu/mje/2024/11/27/an-analysis-of-pandemic-era-inflation/</w:t>
      </w:r>
    </w:p>
    <w:p w14:paraId="4BE2D05A"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McMaken, R. (2025, April 12). </w:t>
      </w:r>
      <w:r w:rsidRPr="00837386">
        <w:rPr>
          <w:rFonts w:ascii="Book Antiqua" w:hAnsi="Book Antiqua"/>
          <w:bCs/>
          <w:i/>
          <w:iCs/>
          <w:sz w:val="24"/>
          <w:szCs w:val="24"/>
        </w:rPr>
        <w:t>The Money Supply Keeps Growing as the Fed Backs Off Monetary “Tightening.”</w:t>
      </w:r>
      <w:r w:rsidRPr="00837386">
        <w:rPr>
          <w:rFonts w:ascii="Book Antiqua" w:hAnsi="Book Antiqua"/>
          <w:bCs/>
          <w:sz w:val="24"/>
          <w:szCs w:val="24"/>
        </w:rPr>
        <w:t> Mises Institute. https://mises.org/mises-wire/money-supply-keeps-growing-fed-backs-monetary-tightening</w:t>
      </w:r>
    </w:p>
    <w:p w14:paraId="575FD90C"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i/>
          <w:iCs/>
          <w:sz w:val="24"/>
          <w:szCs w:val="24"/>
        </w:rPr>
        <w:t>Overnight Reverse Repurchase Agreements: Treasury Securities Sold by the Federal Reserve in the Temporary Open Market Operations</w:t>
      </w:r>
      <w:r w:rsidRPr="00837386">
        <w:rPr>
          <w:rFonts w:ascii="Book Antiqua" w:hAnsi="Book Antiqua"/>
          <w:bCs/>
          <w:sz w:val="24"/>
          <w:szCs w:val="24"/>
        </w:rPr>
        <w:t>. (2025). Stlouisfed.org. https://fred.stlouisfed.org/series/RRPONTSYD/</w:t>
      </w:r>
    </w:p>
    <w:p w14:paraId="13167EB9" w14:textId="77777777" w:rsidR="00837386" w:rsidRPr="00837386" w:rsidRDefault="00837386" w:rsidP="00837386">
      <w:pPr>
        <w:spacing w:line="324" w:lineRule="auto"/>
        <w:ind w:left="720" w:hanging="720"/>
        <w:rPr>
          <w:rFonts w:ascii="Book Antiqua" w:hAnsi="Book Antiqua"/>
          <w:bCs/>
          <w:sz w:val="24"/>
          <w:szCs w:val="24"/>
        </w:rPr>
      </w:pPr>
      <w:proofErr w:type="spellStart"/>
      <w:r w:rsidRPr="00837386">
        <w:rPr>
          <w:rFonts w:ascii="Book Antiqua" w:hAnsi="Book Antiqua"/>
          <w:bCs/>
          <w:sz w:val="24"/>
          <w:szCs w:val="24"/>
        </w:rPr>
        <w:t>Selyukh</w:t>
      </w:r>
      <w:proofErr w:type="spellEnd"/>
      <w:r w:rsidRPr="00837386">
        <w:rPr>
          <w:rFonts w:ascii="Book Antiqua" w:hAnsi="Book Antiqua"/>
          <w:bCs/>
          <w:sz w:val="24"/>
          <w:szCs w:val="24"/>
        </w:rPr>
        <w:t>, A. (2025, July 29). </w:t>
      </w:r>
      <w:r w:rsidRPr="00837386">
        <w:rPr>
          <w:rFonts w:ascii="Book Antiqua" w:hAnsi="Book Antiqua"/>
          <w:bCs/>
          <w:i/>
          <w:iCs/>
          <w:sz w:val="24"/>
          <w:szCs w:val="24"/>
        </w:rPr>
        <w:t>Are prices going up because of tariffs? Here’s what we know</w:t>
      </w:r>
      <w:r w:rsidRPr="00837386">
        <w:rPr>
          <w:rFonts w:ascii="Book Antiqua" w:hAnsi="Book Antiqua"/>
          <w:bCs/>
          <w:sz w:val="24"/>
          <w:szCs w:val="24"/>
        </w:rPr>
        <w:t>. NPR. https://www.npr.org/2025/07/29/nx-s1-5477470/prices-trump-tariffs</w:t>
      </w:r>
    </w:p>
    <w:p w14:paraId="61083F1F"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Stoykov, N. (2025, February 19). </w:t>
      </w:r>
      <w:r w:rsidRPr="00837386">
        <w:rPr>
          <w:rFonts w:ascii="Book Antiqua" w:hAnsi="Book Antiqua"/>
          <w:bCs/>
          <w:i/>
          <w:iCs/>
          <w:sz w:val="24"/>
          <w:szCs w:val="24"/>
        </w:rPr>
        <w:t>Alaric Securities</w:t>
      </w:r>
      <w:r w:rsidRPr="00837386">
        <w:rPr>
          <w:rFonts w:ascii="Book Antiqua" w:hAnsi="Book Antiqua"/>
          <w:bCs/>
          <w:sz w:val="24"/>
          <w:szCs w:val="24"/>
        </w:rPr>
        <w:t>. Alaric Securities. https://alaricsecurities.com/the-fed-funds-rate-increase-history-and-inflation/</w:t>
      </w:r>
    </w:p>
    <w:p w14:paraId="146A5FC8" w14:textId="77777777" w:rsidR="00837386" w:rsidRPr="00837386" w:rsidRDefault="00837386" w:rsidP="00837386">
      <w:pPr>
        <w:spacing w:line="324" w:lineRule="auto"/>
        <w:ind w:left="720" w:hanging="720"/>
        <w:rPr>
          <w:rFonts w:ascii="Book Antiqua" w:hAnsi="Book Antiqua"/>
          <w:bCs/>
          <w:sz w:val="24"/>
          <w:szCs w:val="24"/>
        </w:rPr>
      </w:pPr>
      <w:proofErr w:type="spellStart"/>
      <w:r w:rsidRPr="00837386">
        <w:rPr>
          <w:rFonts w:ascii="Book Antiqua" w:hAnsi="Book Antiqua"/>
          <w:bCs/>
          <w:i/>
          <w:iCs/>
          <w:sz w:val="24"/>
          <w:szCs w:val="24"/>
        </w:rPr>
        <w:t>StreetStats</w:t>
      </w:r>
      <w:proofErr w:type="spellEnd"/>
      <w:r w:rsidRPr="00837386">
        <w:rPr>
          <w:rFonts w:ascii="Book Antiqua" w:hAnsi="Book Antiqua"/>
          <w:bCs/>
          <w:sz w:val="24"/>
          <w:szCs w:val="24"/>
        </w:rPr>
        <w:t xml:space="preserve">. (2025). </w:t>
      </w:r>
      <w:proofErr w:type="spellStart"/>
      <w:r w:rsidRPr="00837386">
        <w:rPr>
          <w:rFonts w:ascii="Book Antiqua" w:hAnsi="Book Antiqua"/>
          <w:bCs/>
          <w:sz w:val="24"/>
          <w:szCs w:val="24"/>
        </w:rPr>
        <w:t>Streetstats.finance</w:t>
      </w:r>
      <w:proofErr w:type="spellEnd"/>
      <w:r w:rsidRPr="00837386">
        <w:rPr>
          <w:rFonts w:ascii="Book Antiqua" w:hAnsi="Book Antiqua"/>
          <w:bCs/>
          <w:sz w:val="24"/>
          <w:szCs w:val="24"/>
        </w:rPr>
        <w:t xml:space="preserve">; </w:t>
      </w:r>
      <w:proofErr w:type="spellStart"/>
      <w:r w:rsidRPr="00837386">
        <w:rPr>
          <w:rFonts w:ascii="Book Antiqua" w:hAnsi="Book Antiqua"/>
          <w:bCs/>
          <w:sz w:val="24"/>
          <w:szCs w:val="24"/>
        </w:rPr>
        <w:t>StreetStats</w:t>
      </w:r>
      <w:proofErr w:type="spellEnd"/>
      <w:r w:rsidRPr="00837386">
        <w:rPr>
          <w:rFonts w:ascii="Book Antiqua" w:hAnsi="Book Antiqua"/>
          <w:bCs/>
          <w:sz w:val="24"/>
          <w:szCs w:val="24"/>
        </w:rPr>
        <w:t>. https://streetstats.finance/rates/tips</w:t>
      </w:r>
    </w:p>
    <w:p w14:paraId="4FE93520"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Sumner, S. (2024, September 19). </w:t>
      </w:r>
      <w:r w:rsidRPr="00837386">
        <w:rPr>
          <w:rFonts w:ascii="Book Antiqua" w:hAnsi="Book Antiqua"/>
          <w:bCs/>
          <w:i/>
          <w:iCs/>
          <w:sz w:val="24"/>
          <w:szCs w:val="24"/>
        </w:rPr>
        <w:t xml:space="preserve">Why the Experts are Wrong about Inflation - </w:t>
      </w:r>
      <w:proofErr w:type="spellStart"/>
      <w:r w:rsidRPr="00837386">
        <w:rPr>
          <w:rFonts w:ascii="Book Antiqua" w:hAnsi="Book Antiqua"/>
          <w:bCs/>
          <w:i/>
          <w:iCs/>
          <w:sz w:val="24"/>
          <w:szCs w:val="24"/>
        </w:rPr>
        <w:t>Econlib</w:t>
      </w:r>
      <w:proofErr w:type="spellEnd"/>
      <w:r w:rsidRPr="00837386">
        <w:rPr>
          <w:rFonts w:ascii="Book Antiqua" w:hAnsi="Book Antiqua"/>
          <w:bCs/>
          <w:sz w:val="24"/>
          <w:szCs w:val="24"/>
        </w:rPr>
        <w:t xml:space="preserve">. </w:t>
      </w:r>
      <w:proofErr w:type="spellStart"/>
      <w:r w:rsidRPr="00837386">
        <w:rPr>
          <w:rFonts w:ascii="Book Antiqua" w:hAnsi="Book Antiqua"/>
          <w:bCs/>
          <w:sz w:val="24"/>
          <w:szCs w:val="24"/>
        </w:rPr>
        <w:t>Econlib</w:t>
      </w:r>
      <w:proofErr w:type="spellEnd"/>
      <w:r w:rsidRPr="00837386">
        <w:rPr>
          <w:rFonts w:ascii="Book Antiqua" w:hAnsi="Book Antiqua"/>
          <w:bCs/>
          <w:sz w:val="24"/>
          <w:szCs w:val="24"/>
        </w:rPr>
        <w:t>. https://www.econlib.org/why-the-experts-are-wrong-about-inflation/</w:t>
      </w:r>
    </w:p>
    <w:p w14:paraId="40A7F2AD"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i/>
          <w:iCs/>
          <w:sz w:val="24"/>
          <w:szCs w:val="24"/>
        </w:rPr>
        <w:lastRenderedPageBreak/>
        <w:t>Survey of Consumer Expectations - FEDERAL RESERVE BANK of NEW YORK</w:t>
      </w:r>
      <w:r w:rsidRPr="00837386">
        <w:rPr>
          <w:rFonts w:ascii="Book Antiqua" w:hAnsi="Book Antiqua"/>
          <w:bCs/>
          <w:sz w:val="24"/>
          <w:szCs w:val="24"/>
        </w:rPr>
        <w:t>. (n.d.). Www.newyorkfed.org. https://www.newyorkfed.org/microeconomics/sce#/inflexp-1</w:t>
      </w:r>
    </w:p>
    <w:p w14:paraId="0615BFD3"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U.S. Bureau of Labor Statistics. (1948, January 1). </w:t>
      </w:r>
      <w:r w:rsidRPr="00837386">
        <w:rPr>
          <w:rFonts w:ascii="Book Antiqua" w:hAnsi="Book Antiqua"/>
          <w:bCs/>
          <w:i/>
          <w:iCs/>
          <w:sz w:val="24"/>
          <w:szCs w:val="24"/>
        </w:rPr>
        <w:t>Business Sector: Labor Productivity (Output per Hour) for All Employed Persons</w:t>
      </w:r>
      <w:r w:rsidRPr="00837386">
        <w:rPr>
          <w:rFonts w:ascii="Book Antiqua" w:hAnsi="Book Antiqua"/>
          <w:bCs/>
          <w:sz w:val="24"/>
          <w:szCs w:val="24"/>
        </w:rPr>
        <w:t>. FRED, Federal Reserve Bank of St. Louis. https://fred.stlouisfed.org/series/PRS84006091</w:t>
      </w:r>
    </w:p>
    <w:p w14:paraId="0B6CC77D" w14:textId="77777777" w:rsidR="00837386" w:rsidRPr="00837386" w:rsidRDefault="00837386" w:rsidP="00837386">
      <w:pPr>
        <w:spacing w:line="324" w:lineRule="auto"/>
        <w:ind w:left="720" w:hanging="720"/>
        <w:rPr>
          <w:rFonts w:ascii="Book Antiqua" w:hAnsi="Book Antiqua"/>
          <w:bCs/>
          <w:sz w:val="24"/>
          <w:szCs w:val="24"/>
        </w:rPr>
      </w:pPr>
      <w:proofErr w:type="spellStart"/>
      <w:r w:rsidRPr="00837386">
        <w:rPr>
          <w:rFonts w:ascii="Book Antiqua" w:hAnsi="Book Antiqua"/>
          <w:bCs/>
          <w:sz w:val="24"/>
          <w:szCs w:val="24"/>
        </w:rPr>
        <w:t>Vereckey</w:t>
      </w:r>
      <w:proofErr w:type="spellEnd"/>
      <w:r w:rsidRPr="00837386">
        <w:rPr>
          <w:rFonts w:ascii="Book Antiqua" w:hAnsi="Book Antiqua"/>
          <w:bCs/>
          <w:sz w:val="24"/>
          <w:szCs w:val="24"/>
        </w:rPr>
        <w:t>, B. (2024, July 22). </w:t>
      </w:r>
      <w:r w:rsidRPr="00837386">
        <w:rPr>
          <w:rFonts w:ascii="Book Antiqua" w:hAnsi="Book Antiqua"/>
          <w:bCs/>
          <w:i/>
          <w:iCs/>
          <w:sz w:val="24"/>
          <w:szCs w:val="24"/>
        </w:rPr>
        <w:t>Federal spending was responsible for the 2022 spike in inflation, research shows | MIT Sloan</w:t>
      </w:r>
      <w:r w:rsidRPr="00837386">
        <w:rPr>
          <w:rFonts w:ascii="Book Antiqua" w:hAnsi="Book Antiqua"/>
          <w:bCs/>
          <w:sz w:val="24"/>
          <w:szCs w:val="24"/>
        </w:rPr>
        <w:t>. Mitsloan.mit.edu. https://mitsloan.mit.edu/ideas-made-to-matter/federal-spending-was-responsible-2022-spike-inflation-research-shows</w:t>
      </w:r>
    </w:p>
    <w:p w14:paraId="672DC4F9"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i/>
          <w:iCs/>
          <w:sz w:val="24"/>
          <w:szCs w:val="24"/>
        </w:rPr>
        <w:t>Why the Fed May Cut Rates Earlier than Expected</w:t>
      </w:r>
      <w:r w:rsidRPr="00837386">
        <w:rPr>
          <w:rFonts w:ascii="Book Antiqua" w:hAnsi="Book Antiqua"/>
          <w:bCs/>
          <w:sz w:val="24"/>
          <w:szCs w:val="24"/>
        </w:rPr>
        <w:t>. (2025, July 7). Goldmansachs.com. https://www.goldmansachs.com/insights/articles/why-the-fed-may-cut-rates-earlier-than-expected</w:t>
      </w:r>
    </w:p>
    <w:p w14:paraId="61EA77FF"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Wolf, M. (2025, March 25). </w:t>
      </w:r>
      <w:r w:rsidRPr="00837386">
        <w:rPr>
          <w:rFonts w:ascii="Book Antiqua" w:hAnsi="Book Antiqua"/>
          <w:bCs/>
          <w:i/>
          <w:iCs/>
          <w:sz w:val="24"/>
          <w:szCs w:val="24"/>
        </w:rPr>
        <w:t>United States Economic Forecast</w:t>
      </w:r>
      <w:r w:rsidRPr="00837386">
        <w:rPr>
          <w:rFonts w:ascii="Book Antiqua" w:hAnsi="Book Antiqua"/>
          <w:bCs/>
          <w:sz w:val="24"/>
          <w:szCs w:val="24"/>
        </w:rPr>
        <w:t>. Deloitte Insights; Deloitte. https://www.deloitte.com/us/en/insights/topics/economy/us-economic-forecast/united-states-outlook-analysis.html</w:t>
      </w:r>
    </w:p>
    <w:p w14:paraId="7B0A4EEB" w14:textId="77777777" w:rsidR="00837386" w:rsidRPr="00837386" w:rsidRDefault="00837386" w:rsidP="00837386">
      <w:pPr>
        <w:spacing w:line="324" w:lineRule="auto"/>
        <w:ind w:left="720" w:hanging="720"/>
        <w:rPr>
          <w:rFonts w:ascii="Book Antiqua" w:hAnsi="Book Antiqua"/>
          <w:bCs/>
          <w:sz w:val="24"/>
          <w:szCs w:val="24"/>
        </w:rPr>
      </w:pPr>
      <w:r w:rsidRPr="00837386">
        <w:rPr>
          <w:rFonts w:ascii="Book Antiqua" w:hAnsi="Book Antiqua"/>
          <w:bCs/>
          <w:sz w:val="24"/>
          <w:szCs w:val="24"/>
        </w:rPr>
        <w:t>(2019, August 20). Tradingeconomics.com; TRADING ECONOMICS. https://tradingeconomics.com/united-states/inflation-expectations</w:t>
      </w:r>
    </w:p>
    <w:sectPr w:rsidR="00837386" w:rsidRPr="00837386" w:rsidSect="00AC72C9">
      <w:headerReference w:type="default" r:id="rId20"/>
      <w:footerReference w:type="default" r:id="rId2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EF497" w14:textId="77777777" w:rsidR="00083073" w:rsidRDefault="00083073" w:rsidP="004B46AB">
      <w:r>
        <w:separator/>
      </w:r>
    </w:p>
  </w:endnote>
  <w:endnote w:type="continuationSeparator" w:id="0">
    <w:p w14:paraId="7566309A" w14:textId="77777777" w:rsidR="00083073" w:rsidRDefault="00083073" w:rsidP="004B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88CCE" w14:textId="68604060" w:rsidR="00304884" w:rsidRPr="00AC72C9" w:rsidRDefault="009B4379" w:rsidP="0001783D">
    <w:pPr>
      <w:pStyle w:val="Header"/>
      <w:tabs>
        <w:tab w:val="clear" w:pos="9360"/>
        <w:tab w:val="right" w:pos="9270"/>
      </w:tabs>
      <w:rPr>
        <w:rFonts w:ascii="Georgia" w:hAnsi="Georgia"/>
        <w:sz w:val="18"/>
        <w:szCs w:val="18"/>
      </w:rPr>
    </w:pPr>
    <w:r>
      <w:rPr>
        <w:rFonts w:ascii="Georgia" w:hAnsi="Georgia"/>
        <w:sz w:val="18"/>
        <w:szCs w:val="18"/>
      </w:rPr>
      <w:t>Summer</w:t>
    </w:r>
    <w:r w:rsidR="00AC72C9" w:rsidRPr="00AC72C9">
      <w:rPr>
        <w:rFonts w:ascii="Georgia" w:hAnsi="Georgia"/>
        <w:sz w:val="18"/>
        <w:szCs w:val="18"/>
      </w:rPr>
      <w:t xml:space="preserve"> 202</w:t>
    </w:r>
    <w:r w:rsidR="00D62099">
      <w:rPr>
        <w:rFonts w:ascii="Georgia" w:hAnsi="Georgia"/>
        <w:sz w:val="18"/>
        <w:szCs w:val="18"/>
      </w:rPr>
      <w:t>5</w:t>
    </w:r>
    <w:r w:rsidR="00304884" w:rsidRPr="00AC72C9">
      <w:rPr>
        <w:rFonts w:ascii="Georgia" w:hAnsi="Georgia"/>
        <w:sz w:val="18"/>
        <w:szCs w:val="18"/>
      </w:rPr>
      <w:tab/>
    </w:r>
    <w:r w:rsidR="00304884" w:rsidRPr="00AC72C9">
      <w:rPr>
        <w:rFonts w:ascii="Georgia" w:hAnsi="Georgia"/>
        <w:sz w:val="18"/>
        <w:szCs w:val="18"/>
      </w:rPr>
      <w:tab/>
      <w:t xml:space="preserve">Page </w:t>
    </w:r>
    <w:r w:rsidR="00304884" w:rsidRPr="00AC72C9">
      <w:rPr>
        <w:rFonts w:ascii="Georgia" w:hAnsi="Georgia"/>
        <w:sz w:val="18"/>
        <w:szCs w:val="18"/>
      </w:rPr>
      <w:fldChar w:fldCharType="begin"/>
    </w:r>
    <w:r w:rsidR="00304884" w:rsidRPr="00AC72C9">
      <w:rPr>
        <w:rFonts w:ascii="Georgia" w:hAnsi="Georgia"/>
        <w:sz w:val="18"/>
        <w:szCs w:val="18"/>
      </w:rPr>
      <w:instrText xml:space="preserve"> PAGE </w:instrText>
    </w:r>
    <w:r w:rsidR="00304884" w:rsidRPr="00AC72C9">
      <w:rPr>
        <w:rFonts w:ascii="Georgia" w:hAnsi="Georgia"/>
        <w:sz w:val="18"/>
        <w:szCs w:val="18"/>
      </w:rPr>
      <w:fldChar w:fldCharType="separate"/>
    </w:r>
    <w:r w:rsidR="00AC72C9">
      <w:rPr>
        <w:rFonts w:ascii="Georgia" w:hAnsi="Georgia"/>
        <w:noProof/>
        <w:sz w:val="18"/>
        <w:szCs w:val="18"/>
      </w:rPr>
      <w:t>1</w:t>
    </w:r>
    <w:r w:rsidR="00304884" w:rsidRPr="00AC72C9">
      <w:rPr>
        <w:rFonts w:ascii="Georgia" w:hAnsi="Georgia"/>
        <w:sz w:val="18"/>
        <w:szCs w:val="18"/>
      </w:rPr>
      <w:fldChar w:fldCharType="end"/>
    </w:r>
    <w:r w:rsidR="00304884" w:rsidRPr="00AC72C9">
      <w:rPr>
        <w:rFonts w:ascii="Georgia" w:hAnsi="Georgia"/>
        <w:sz w:val="18"/>
        <w:szCs w:val="18"/>
      </w:rPr>
      <w:t xml:space="preserve"> of </w:t>
    </w:r>
    <w:r w:rsidR="00304884" w:rsidRPr="00AC72C9">
      <w:rPr>
        <w:rFonts w:ascii="Georgia" w:hAnsi="Georgia"/>
        <w:sz w:val="18"/>
        <w:szCs w:val="18"/>
      </w:rPr>
      <w:fldChar w:fldCharType="begin"/>
    </w:r>
    <w:r w:rsidR="00304884" w:rsidRPr="00AC72C9">
      <w:rPr>
        <w:rFonts w:ascii="Georgia" w:hAnsi="Georgia"/>
        <w:sz w:val="18"/>
        <w:szCs w:val="18"/>
      </w:rPr>
      <w:instrText xml:space="preserve"> NUMPAGES  </w:instrText>
    </w:r>
    <w:r w:rsidR="00304884" w:rsidRPr="00AC72C9">
      <w:rPr>
        <w:rFonts w:ascii="Georgia" w:hAnsi="Georgia"/>
        <w:sz w:val="18"/>
        <w:szCs w:val="18"/>
      </w:rPr>
      <w:fldChar w:fldCharType="separate"/>
    </w:r>
    <w:r w:rsidR="00AC72C9">
      <w:rPr>
        <w:rFonts w:ascii="Georgia" w:hAnsi="Georgia"/>
        <w:noProof/>
        <w:sz w:val="18"/>
        <w:szCs w:val="18"/>
      </w:rPr>
      <w:t>1</w:t>
    </w:r>
    <w:r w:rsidR="00304884" w:rsidRPr="00AC72C9">
      <w:rPr>
        <w:rFonts w:ascii="Georgia" w:hAnsi="Georgia"/>
        <w:sz w:val="18"/>
        <w:szCs w:val="18"/>
      </w:rPr>
      <w:fldChar w:fldCharType="end"/>
    </w:r>
  </w:p>
  <w:p w14:paraId="135EA28A" w14:textId="77777777" w:rsidR="00304884" w:rsidRDefault="00304884">
    <w:pPr>
      <w:pStyle w:val="Footer"/>
    </w:pPr>
  </w:p>
  <w:p w14:paraId="308E4A98" w14:textId="77777777" w:rsidR="00304884" w:rsidRDefault="00304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B2EE8" w14:textId="77777777" w:rsidR="00083073" w:rsidRDefault="00083073" w:rsidP="004B46AB">
      <w:r>
        <w:separator/>
      </w:r>
    </w:p>
  </w:footnote>
  <w:footnote w:type="continuationSeparator" w:id="0">
    <w:p w14:paraId="248168D4" w14:textId="77777777" w:rsidR="00083073" w:rsidRDefault="00083073" w:rsidP="004B4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5C083" w14:textId="77777777" w:rsidR="00304884" w:rsidRPr="00AC72C9" w:rsidRDefault="00304884" w:rsidP="0001783D">
    <w:pPr>
      <w:pStyle w:val="Header"/>
      <w:tabs>
        <w:tab w:val="clear" w:pos="9360"/>
        <w:tab w:val="right" w:pos="9270"/>
      </w:tabs>
      <w:rPr>
        <w:rFonts w:ascii="Georgia" w:hAnsi="Georgia"/>
        <w:sz w:val="18"/>
        <w:szCs w:val="18"/>
      </w:rPr>
    </w:pPr>
    <w:r w:rsidRPr="00AC72C9">
      <w:rPr>
        <w:rFonts w:ascii="Georgia" w:hAnsi="Georgia"/>
        <w:sz w:val="18"/>
        <w:szCs w:val="18"/>
      </w:rPr>
      <w:t>California Luthe</w:t>
    </w:r>
    <w:r w:rsidR="00CC545E" w:rsidRPr="00AC72C9">
      <w:rPr>
        <w:rFonts w:ascii="Georgia" w:hAnsi="Georgia"/>
        <w:sz w:val="18"/>
        <w:szCs w:val="18"/>
      </w:rPr>
      <w:t>ran Uni</w:t>
    </w:r>
    <w:r w:rsidR="00AC72C9">
      <w:rPr>
        <w:rFonts w:ascii="Georgia" w:hAnsi="Georgia"/>
        <w:sz w:val="18"/>
        <w:szCs w:val="18"/>
      </w:rPr>
      <w:t>versity</w:t>
    </w:r>
    <w:r w:rsidR="00AC72C9">
      <w:rPr>
        <w:rFonts w:ascii="Georgia" w:hAnsi="Georgia"/>
        <w:sz w:val="18"/>
        <w:szCs w:val="18"/>
      </w:rPr>
      <w:tab/>
    </w:r>
    <w:r w:rsidR="00AC72C9">
      <w:rPr>
        <w:rFonts w:ascii="Georgia" w:hAnsi="Georgia"/>
        <w:sz w:val="18"/>
        <w:szCs w:val="18"/>
      </w:rPr>
      <w:tab/>
      <w:t>M.S. in Quantitative Economics</w:t>
    </w:r>
  </w:p>
  <w:p w14:paraId="36F74086" w14:textId="77777777" w:rsidR="00304884" w:rsidRPr="004B46AB" w:rsidRDefault="00304884" w:rsidP="004B46AB">
    <w:pPr>
      <w:pStyle w:val="Header"/>
      <w:tabs>
        <w:tab w:val="clear" w:pos="9360"/>
        <w:tab w:val="right" w:pos="9630"/>
      </w:tabs>
      <w:ind w:left="-360"/>
      <w:rPr>
        <w:rFonts w:ascii="Book Antiqua" w:hAnsi="Book Antiqua"/>
        <w:sz w:val="18"/>
        <w:szCs w:val="18"/>
      </w:rPr>
    </w:pPr>
    <w:r w:rsidRPr="006A5C4E">
      <w:rPr>
        <w:rFonts w:ascii="Book Antiqua" w:hAnsi="Book Antiqua"/>
        <w:sz w:val="18"/>
        <w:szCs w:val="18"/>
      </w:rPr>
      <w:tab/>
    </w:r>
    <w:r w:rsidRPr="006A5C4E">
      <w:rPr>
        <w:rFonts w:ascii="Book Antiqua" w:hAnsi="Book Antiqua"/>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780"/>
    <w:multiLevelType w:val="multilevel"/>
    <w:tmpl w:val="1622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54B"/>
    <w:multiLevelType w:val="hybridMultilevel"/>
    <w:tmpl w:val="1E7C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08CD"/>
    <w:multiLevelType w:val="hybridMultilevel"/>
    <w:tmpl w:val="76647070"/>
    <w:lvl w:ilvl="0" w:tplc="A5F8943E">
      <w:start w:val="1"/>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5F1F"/>
    <w:multiLevelType w:val="multilevel"/>
    <w:tmpl w:val="C2A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523"/>
    <w:multiLevelType w:val="multilevel"/>
    <w:tmpl w:val="42E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E21FD"/>
    <w:multiLevelType w:val="multilevel"/>
    <w:tmpl w:val="2E1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463D4"/>
    <w:multiLevelType w:val="hybridMultilevel"/>
    <w:tmpl w:val="F748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C04F5"/>
    <w:multiLevelType w:val="hybridMultilevel"/>
    <w:tmpl w:val="A0AA14A2"/>
    <w:lvl w:ilvl="0" w:tplc="16E0D478">
      <w:numFmt w:val="bullet"/>
      <w:lvlText w:val="-"/>
      <w:lvlJc w:val="left"/>
      <w:pPr>
        <w:ind w:left="720" w:hanging="360"/>
      </w:pPr>
      <w:rPr>
        <w:rFonts w:ascii="Book Antiqua" w:eastAsia="Times New Roman" w:hAnsi="Book Antiq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F6E2A"/>
    <w:multiLevelType w:val="hybridMultilevel"/>
    <w:tmpl w:val="2D56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A3409"/>
    <w:multiLevelType w:val="hybridMultilevel"/>
    <w:tmpl w:val="0A1E7932"/>
    <w:lvl w:ilvl="0" w:tplc="D11814D6">
      <w:start w:val="1"/>
      <w:numFmt w:val="bullet"/>
      <w:lvlText w:val="•"/>
      <w:lvlJc w:val="left"/>
      <w:pPr>
        <w:tabs>
          <w:tab w:val="num" w:pos="720"/>
        </w:tabs>
        <w:ind w:left="720" w:hanging="360"/>
      </w:pPr>
      <w:rPr>
        <w:rFonts w:ascii="Arial" w:hAnsi="Arial" w:hint="default"/>
      </w:rPr>
    </w:lvl>
    <w:lvl w:ilvl="1" w:tplc="C4521200" w:tentative="1">
      <w:start w:val="1"/>
      <w:numFmt w:val="bullet"/>
      <w:lvlText w:val="•"/>
      <w:lvlJc w:val="left"/>
      <w:pPr>
        <w:tabs>
          <w:tab w:val="num" w:pos="1440"/>
        </w:tabs>
        <w:ind w:left="1440" w:hanging="360"/>
      </w:pPr>
      <w:rPr>
        <w:rFonts w:ascii="Arial" w:hAnsi="Arial" w:hint="default"/>
      </w:rPr>
    </w:lvl>
    <w:lvl w:ilvl="2" w:tplc="D53E4EC4" w:tentative="1">
      <w:start w:val="1"/>
      <w:numFmt w:val="bullet"/>
      <w:lvlText w:val="•"/>
      <w:lvlJc w:val="left"/>
      <w:pPr>
        <w:tabs>
          <w:tab w:val="num" w:pos="2160"/>
        </w:tabs>
        <w:ind w:left="2160" w:hanging="360"/>
      </w:pPr>
      <w:rPr>
        <w:rFonts w:ascii="Arial" w:hAnsi="Arial" w:hint="default"/>
      </w:rPr>
    </w:lvl>
    <w:lvl w:ilvl="3" w:tplc="0742B4C2" w:tentative="1">
      <w:start w:val="1"/>
      <w:numFmt w:val="bullet"/>
      <w:lvlText w:val="•"/>
      <w:lvlJc w:val="left"/>
      <w:pPr>
        <w:tabs>
          <w:tab w:val="num" w:pos="2880"/>
        </w:tabs>
        <w:ind w:left="2880" w:hanging="360"/>
      </w:pPr>
      <w:rPr>
        <w:rFonts w:ascii="Arial" w:hAnsi="Arial" w:hint="default"/>
      </w:rPr>
    </w:lvl>
    <w:lvl w:ilvl="4" w:tplc="04B62496" w:tentative="1">
      <w:start w:val="1"/>
      <w:numFmt w:val="bullet"/>
      <w:lvlText w:val="•"/>
      <w:lvlJc w:val="left"/>
      <w:pPr>
        <w:tabs>
          <w:tab w:val="num" w:pos="3600"/>
        </w:tabs>
        <w:ind w:left="3600" w:hanging="360"/>
      </w:pPr>
      <w:rPr>
        <w:rFonts w:ascii="Arial" w:hAnsi="Arial" w:hint="default"/>
      </w:rPr>
    </w:lvl>
    <w:lvl w:ilvl="5" w:tplc="FCB6985A" w:tentative="1">
      <w:start w:val="1"/>
      <w:numFmt w:val="bullet"/>
      <w:lvlText w:val="•"/>
      <w:lvlJc w:val="left"/>
      <w:pPr>
        <w:tabs>
          <w:tab w:val="num" w:pos="4320"/>
        </w:tabs>
        <w:ind w:left="4320" w:hanging="360"/>
      </w:pPr>
      <w:rPr>
        <w:rFonts w:ascii="Arial" w:hAnsi="Arial" w:hint="default"/>
      </w:rPr>
    </w:lvl>
    <w:lvl w:ilvl="6" w:tplc="1B96C2F2" w:tentative="1">
      <w:start w:val="1"/>
      <w:numFmt w:val="bullet"/>
      <w:lvlText w:val="•"/>
      <w:lvlJc w:val="left"/>
      <w:pPr>
        <w:tabs>
          <w:tab w:val="num" w:pos="5040"/>
        </w:tabs>
        <w:ind w:left="5040" w:hanging="360"/>
      </w:pPr>
      <w:rPr>
        <w:rFonts w:ascii="Arial" w:hAnsi="Arial" w:hint="default"/>
      </w:rPr>
    </w:lvl>
    <w:lvl w:ilvl="7" w:tplc="414425E6" w:tentative="1">
      <w:start w:val="1"/>
      <w:numFmt w:val="bullet"/>
      <w:lvlText w:val="•"/>
      <w:lvlJc w:val="left"/>
      <w:pPr>
        <w:tabs>
          <w:tab w:val="num" w:pos="5760"/>
        </w:tabs>
        <w:ind w:left="5760" w:hanging="360"/>
      </w:pPr>
      <w:rPr>
        <w:rFonts w:ascii="Arial" w:hAnsi="Arial" w:hint="default"/>
      </w:rPr>
    </w:lvl>
    <w:lvl w:ilvl="8" w:tplc="54ACE2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A0425A"/>
    <w:multiLevelType w:val="hybridMultilevel"/>
    <w:tmpl w:val="610098DE"/>
    <w:lvl w:ilvl="0" w:tplc="12CEE158">
      <w:start w:val="1"/>
      <w:numFmt w:val="bullet"/>
      <w:lvlText w:val="•"/>
      <w:lvlJc w:val="left"/>
      <w:pPr>
        <w:tabs>
          <w:tab w:val="num" w:pos="720"/>
        </w:tabs>
        <w:ind w:left="720" w:hanging="360"/>
      </w:pPr>
      <w:rPr>
        <w:rFonts w:ascii="Arial" w:hAnsi="Arial" w:hint="default"/>
      </w:rPr>
    </w:lvl>
    <w:lvl w:ilvl="1" w:tplc="704A2674" w:tentative="1">
      <w:start w:val="1"/>
      <w:numFmt w:val="bullet"/>
      <w:lvlText w:val="•"/>
      <w:lvlJc w:val="left"/>
      <w:pPr>
        <w:tabs>
          <w:tab w:val="num" w:pos="1440"/>
        </w:tabs>
        <w:ind w:left="1440" w:hanging="360"/>
      </w:pPr>
      <w:rPr>
        <w:rFonts w:ascii="Arial" w:hAnsi="Arial" w:hint="default"/>
      </w:rPr>
    </w:lvl>
    <w:lvl w:ilvl="2" w:tplc="9B5EEE72" w:tentative="1">
      <w:start w:val="1"/>
      <w:numFmt w:val="bullet"/>
      <w:lvlText w:val="•"/>
      <w:lvlJc w:val="left"/>
      <w:pPr>
        <w:tabs>
          <w:tab w:val="num" w:pos="2160"/>
        </w:tabs>
        <w:ind w:left="2160" w:hanging="360"/>
      </w:pPr>
      <w:rPr>
        <w:rFonts w:ascii="Arial" w:hAnsi="Arial" w:hint="default"/>
      </w:rPr>
    </w:lvl>
    <w:lvl w:ilvl="3" w:tplc="4F4A63AA" w:tentative="1">
      <w:start w:val="1"/>
      <w:numFmt w:val="bullet"/>
      <w:lvlText w:val="•"/>
      <w:lvlJc w:val="left"/>
      <w:pPr>
        <w:tabs>
          <w:tab w:val="num" w:pos="2880"/>
        </w:tabs>
        <w:ind w:left="2880" w:hanging="360"/>
      </w:pPr>
      <w:rPr>
        <w:rFonts w:ascii="Arial" w:hAnsi="Arial" w:hint="default"/>
      </w:rPr>
    </w:lvl>
    <w:lvl w:ilvl="4" w:tplc="0F1E64DA" w:tentative="1">
      <w:start w:val="1"/>
      <w:numFmt w:val="bullet"/>
      <w:lvlText w:val="•"/>
      <w:lvlJc w:val="left"/>
      <w:pPr>
        <w:tabs>
          <w:tab w:val="num" w:pos="3600"/>
        </w:tabs>
        <w:ind w:left="3600" w:hanging="360"/>
      </w:pPr>
      <w:rPr>
        <w:rFonts w:ascii="Arial" w:hAnsi="Arial" w:hint="default"/>
      </w:rPr>
    </w:lvl>
    <w:lvl w:ilvl="5" w:tplc="7F0C92E0" w:tentative="1">
      <w:start w:val="1"/>
      <w:numFmt w:val="bullet"/>
      <w:lvlText w:val="•"/>
      <w:lvlJc w:val="left"/>
      <w:pPr>
        <w:tabs>
          <w:tab w:val="num" w:pos="4320"/>
        </w:tabs>
        <w:ind w:left="4320" w:hanging="360"/>
      </w:pPr>
      <w:rPr>
        <w:rFonts w:ascii="Arial" w:hAnsi="Arial" w:hint="default"/>
      </w:rPr>
    </w:lvl>
    <w:lvl w:ilvl="6" w:tplc="01DCD4AA" w:tentative="1">
      <w:start w:val="1"/>
      <w:numFmt w:val="bullet"/>
      <w:lvlText w:val="•"/>
      <w:lvlJc w:val="left"/>
      <w:pPr>
        <w:tabs>
          <w:tab w:val="num" w:pos="5040"/>
        </w:tabs>
        <w:ind w:left="5040" w:hanging="360"/>
      </w:pPr>
      <w:rPr>
        <w:rFonts w:ascii="Arial" w:hAnsi="Arial" w:hint="default"/>
      </w:rPr>
    </w:lvl>
    <w:lvl w:ilvl="7" w:tplc="265611FA" w:tentative="1">
      <w:start w:val="1"/>
      <w:numFmt w:val="bullet"/>
      <w:lvlText w:val="•"/>
      <w:lvlJc w:val="left"/>
      <w:pPr>
        <w:tabs>
          <w:tab w:val="num" w:pos="5760"/>
        </w:tabs>
        <w:ind w:left="5760" w:hanging="360"/>
      </w:pPr>
      <w:rPr>
        <w:rFonts w:ascii="Arial" w:hAnsi="Arial" w:hint="default"/>
      </w:rPr>
    </w:lvl>
    <w:lvl w:ilvl="8" w:tplc="2B9087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9F33E2B"/>
    <w:multiLevelType w:val="hybridMultilevel"/>
    <w:tmpl w:val="7C30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21169"/>
    <w:multiLevelType w:val="multilevel"/>
    <w:tmpl w:val="283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340339">
    <w:abstractNumId w:val="9"/>
  </w:num>
  <w:num w:numId="2" w16cid:durableId="992872932">
    <w:abstractNumId w:val="10"/>
  </w:num>
  <w:num w:numId="3" w16cid:durableId="763308254">
    <w:abstractNumId w:val="7"/>
  </w:num>
  <w:num w:numId="4" w16cid:durableId="1725978963">
    <w:abstractNumId w:val="0"/>
  </w:num>
  <w:num w:numId="5" w16cid:durableId="234819597">
    <w:abstractNumId w:val="3"/>
  </w:num>
  <w:num w:numId="6" w16cid:durableId="821237331">
    <w:abstractNumId w:val="12"/>
  </w:num>
  <w:num w:numId="7" w16cid:durableId="937639610">
    <w:abstractNumId w:val="5"/>
  </w:num>
  <w:num w:numId="8" w16cid:durableId="1029912109">
    <w:abstractNumId w:val="4"/>
  </w:num>
  <w:num w:numId="9" w16cid:durableId="351735126">
    <w:abstractNumId w:val="2"/>
  </w:num>
  <w:num w:numId="10" w16cid:durableId="1059592184">
    <w:abstractNumId w:val="8"/>
  </w:num>
  <w:num w:numId="11" w16cid:durableId="1870753443">
    <w:abstractNumId w:val="6"/>
  </w:num>
  <w:num w:numId="12" w16cid:durableId="1515537932">
    <w:abstractNumId w:val="1"/>
  </w:num>
  <w:num w:numId="13" w16cid:durableId="1452895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24"/>
    <w:rsid w:val="00000AD9"/>
    <w:rsid w:val="00000C21"/>
    <w:rsid w:val="00000D13"/>
    <w:rsid w:val="00000FDC"/>
    <w:rsid w:val="000013FA"/>
    <w:rsid w:val="00001796"/>
    <w:rsid w:val="0000201A"/>
    <w:rsid w:val="00002224"/>
    <w:rsid w:val="00002E05"/>
    <w:rsid w:val="000038A1"/>
    <w:rsid w:val="0000416E"/>
    <w:rsid w:val="00004299"/>
    <w:rsid w:val="000042FB"/>
    <w:rsid w:val="00004346"/>
    <w:rsid w:val="000044D2"/>
    <w:rsid w:val="000045A8"/>
    <w:rsid w:val="00004854"/>
    <w:rsid w:val="000050D2"/>
    <w:rsid w:val="0000555A"/>
    <w:rsid w:val="000056C2"/>
    <w:rsid w:val="00005E00"/>
    <w:rsid w:val="000060E8"/>
    <w:rsid w:val="00006D9B"/>
    <w:rsid w:val="00006E4C"/>
    <w:rsid w:val="000076B6"/>
    <w:rsid w:val="0000772C"/>
    <w:rsid w:val="00010C93"/>
    <w:rsid w:val="0001155A"/>
    <w:rsid w:val="00011798"/>
    <w:rsid w:val="0001212A"/>
    <w:rsid w:val="00012541"/>
    <w:rsid w:val="00012B9F"/>
    <w:rsid w:val="00012E78"/>
    <w:rsid w:val="0001306E"/>
    <w:rsid w:val="000142F3"/>
    <w:rsid w:val="0001468C"/>
    <w:rsid w:val="00014871"/>
    <w:rsid w:val="00015355"/>
    <w:rsid w:val="00015751"/>
    <w:rsid w:val="00015798"/>
    <w:rsid w:val="000166C9"/>
    <w:rsid w:val="00016DC3"/>
    <w:rsid w:val="00017187"/>
    <w:rsid w:val="0001722B"/>
    <w:rsid w:val="0001783D"/>
    <w:rsid w:val="0001784A"/>
    <w:rsid w:val="00017F20"/>
    <w:rsid w:val="0002024B"/>
    <w:rsid w:val="00020291"/>
    <w:rsid w:val="0002048B"/>
    <w:rsid w:val="000209A0"/>
    <w:rsid w:val="000214E5"/>
    <w:rsid w:val="00021727"/>
    <w:rsid w:val="00021B46"/>
    <w:rsid w:val="00021D13"/>
    <w:rsid w:val="00022AE5"/>
    <w:rsid w:val="00023178"/>
    <w:rsid w:val="00023544"/>
    <w:rsid w:val="000236FE"/>
    <w:rsid w:val="00023ABB"/>
    <w:rsid w:val="00023AE6"/>
    <w:rsid w:val="000242ED"/>
    <w:rsid w:val="00024C8B"/>
    <w:rsid w:val="00024FF6"/>
    <w:rsid w:val="00025A51"/>
    <w:rsid w:val="00025D2B"/>
    <w:rsid w:val="00025E8B"/>
    <w:rsid w:val="00025FA6"/>
    <w:rsid w:val="00026243"/>
    <w:rsid w:val="0002689B"/>
    <w:rsid w:val="00026AF0"/>
    <w:rsid w:val="000306EA"/>
    <w:rsid w:val="00030D8F"/>
    <w:rsid w:val="00031180"/>
    <w:rsid w:val="00031A4D"/>
    <w:rsid w:val="000320DC"/>
    <w:rsid w:val="0003229D"/>
    <w:rsid w:val="000323B6"/>
    <w:rsid w:val="00032687"/>
    <w:rsid w:val="000326FC"/>
    <w:rsid w:val="000327A6"/>
    <w:rsid w:val="00033567"/>
    <w:rsid w:val="00035184"/>
    <w:rsid w:val="000351D0"/>
    <w:rsid w:val="000354D9"/>
    <w:rsid w:val="000356FE"/>
    <w:rsid w:val="00035B56"/>
    <w:rsid w:val="000360C3"/>
    <w:rsid w:val="00037250"/>
    <w:rsid w:val="0003748D"/>
    <w:rsid w:val="00037724"/>
    <w:rsid w:val="000400BD"/>
    <w:rsid w:val="000401C9"/>
    <w:rsid w:val="00040784"/>
    <w:rsid w:val="00040875"/>
    <w:rsid w:val="0004101A"/>
    <w:rsid w:val="000417C2"/>
    <w:rsid w:val="0004183D"/>
    <w:rsid w:val="000427C6"/>
    <w:rsid w:val="00042B6A"/>
    <w:rsid w:val="0004313F"/>
    <w:rsid w:val="000435E1"/>
    <w:rsid w:val="00043BD5"/>
    <w:rsid w:val="00043F1A"/>
    <w:rsid w:val="00046275"/>
    <w:rsid w:val="000471A8"/>
    <w:rsid w:val="0004729E"/>
    <w:rsid w:val="000509DE"/>
    <w:rsid w:val="00051A29"/>
    <w:rsid w:val="00051C4D"/>
    <w:rsid w:val="00052783"/>
    <w:rsid w:val="00052DEA"/>
    <w:rsid w:val="00053055"/>
    <w:rsid w:val="00053640"/>
    <w:rsid w:val="0005424B"/>
    <w:rsid w:val="000549E9"/>
    <w:rsid w:val="00055167"/>
    <w:rsid w:val="00055CD3"/>
    <w:rsid w:val="0005612A"/>
    <w:rsid w:val="000563A4"/>
    <w:rsid w:val="000566C5"/>
    <w:rsid w:val="00057350"/>
    <w:rsid w:val="00057592"/>
    <w:rsid w:val="000577EC"/>
    <w:rsid w:val="00057FEC"/>
    <w:rsid w:val="000616D5"/>
    <w:rsid w:val="00061834"/>
    <w:rsid w:val="00061A12"/>
    <w:rsid w:val="00061C42"/>
    <w:rsid w:val="0006255F"/>
    <w:rsid w:val="0006277B"/>
    <w:rsid w:val="0006294D"/>
    <w:rsid w:val="000636F3"/>
    <w:rsid w:val="00063A48"/>
    <w:rsid w:val="000641F1"/>
    <w:rsid w:val="00064245"/>
    <w:rsid w:val="00064DB0"/>
    <w:rsid w:val="0006581D"/>
    <w:rsid w:val="00065B26"/>
    <w:rsid w:val="00066F1C"/>
    <w:rsid w:val="00067086"/>
    <w:rsid w:val="0006772F"/>
    <w:rsid w:val="00067A2F"/>
    <w:rsid w:val="00067FF3"/>
    <w:rsid w:val="00070020"/>
    <w:rsid w:val="00070E65"/>
    <w:rsid w:val="0007107F"/>
    <w:rsid w:val="00071E84"/>
    <w:rsid w:val="000720BF"/>
    <w:rsid w:val="00072B9E"/>
    <w:rsid w:val="00072C5B"/>
    <w:rsid w:val="00073C08"/>
    <w:rsid w:val="00074362"/>
    <w:rsid w:val="00074709"/>
    <w:rsid w:val="000747C4"/>
    <w:rsid w:val="00074BE4"/>
    <w:rsid w:val="00075100"/>
    <w:rsid w:val="000757EB"/>
    <w:rsid w:val="0007693B"/>
    <w:rsid w:val="000773FE"/>
    <w:rsid w:val="000776DB"/>
    <w:rsid w:val="00077993"/>
    <w:rsid w:val="00077F6F"/>
    <w:rsid w:val="0008028A"/>
    <w:rsid w:val="00080881"/>
    <w:rsid w:val="00080AB4"/>
    <w:rsid w:val="00080CD8"/>
    <w:rsid w:val="000823D8"/>
    <w:rsid w:val="00082B73"/>
    <w:rsid w:val="00083073"/>
    <w:rsid w:val="000831CE"/>
    <w:rsid w:val="00083A0A"/>
    <w:rsid w:val="00084512"/>
    <w:rsid w:val="000847E8"/>
    <w:rsid w:val="00084F96"/>
    <w:rsid w:val="00085307"/>
    <w:rsid w:val="00085494"/>
    <w:rsid w:val="00085805"/>
    <w:rsid w:val="000862A2"/>
    <w:rsid w:val="000862AA"/>
    <w:rsid w:val="00086A64"/>
    <w:rsid w:val="00086A93"/>
    <w:rsid w:val="00086CA9"/>
    <w:rsid w:val="00087065"/>
    <w:rsid w:val="00087224"/>
    <w:rsid w:val="00087D25"/>
    <w:rsid w:val="00087E90"/>
    <w:rsid w:val="00090835"/>
    <w:rsid w:val="00091E96"/>
    <w:rsid w:val="00091FB0"/>
    <w:rsid w:val="00092858"/>
    <w:rsid w:val="000936FA"/>
    <w:rsid w:val="00093815"/>
    <w:rsid w:val="00093B9E"/>
    <w:rsid w:val="0009524E"/>
    <w:rsid w:val="0009559E"/>
    <w:rsid w:val="000955CE"/>
    <w:rsid w:val="00096628"/>
    <w:rsid w:val="00096B73"/>
    <w:rsid w:val="00096BDD"/>
    <w:rsid w:val="00096F69"/>
    <w:rsid w:val="00097627"/>
    <w:rsid w:val="000A0006"/>
    <w:rsid w:val="000A01E3"/>
    <w:rsid w:val="000A0931"/>
    <w:rsid w:val="000A098C"/>
    <w:rsid w:val="000A0FE6"/>
    <w:rsid w:val="000A177B"/>
    <w:rsid w:val="000A1BA7"/>
    <w:rsid w:val="000A1F19"/>
    <w:rsid w:val="000A215C"/>
    <w:rsid w:val="000A3892"/>
    <w:rsid w:val="000A47F5"/>
    <w:rsid w:val="000A4B54"/>
    <w:rsid w:val="000A4B8A"/>
    <w:rsid w:val="000A4E11"/>
    <w:rsid w:val="000A4E31"/>
    <w:rsid w:val="000A5B31"/>
    <w:rsid w:val="000A6BF3"/>
    <w:rsid w:val="000B068A"/>
    <w:rsid w:val="000B1583"/>
    <w:rsid w:val="000B169E"/>
    <w:rsid w:val="000B20C7"/>
    <w:rsid w:val="000B24C7"/>
    <w:rsid w:val="000B2657"/>
    <w:rsid w:val="000B305B"/>
    <w:rsid w:val="000B3137"/>
    <w:rsid w:val="000B35CB"/>
    <w:rsid w:val="000B3712"/>
    <w:rsid w:val="000B38AE"/>
    <w:rsid w:val="000B42CD"/>
    <w:rsid w:val="000B46F2"/>
    <w:rsid w:val="000B4E7C"/>
    <w:rsid w:val="000B592A"/>
    <w:rsid w:val="000B5AD0"/>
    <w:rsid w:val="000B6351"/>
    <w:rsid w:val="000B6E39"/>
    <w:rsid w:val="000B7117"/>
    <w:rsid w:val="000B7C22"/>
    <w:rsid w:val="000C03B4"/>
    <w:rsid w:val="000C0851"/>
    <w:rsid w:val="000C090D"/>
    <w:rsid w:val="000C1514"/>
    <w:rsid w:val="000C1F2C"/>
    <w:rsid w:val="000C2082"/>
    <w:rsid w:val="000C2762"/>
    <w:rsid w:val="000C39D2"/>
    <w:rsid w:val="000C3BDD"/>
    <w:rsid w:val="000C5A96"/>
    <w:rsid w:val="000C6F0C"/>
    <w:rsid w:val="000C73F7"/>
    <w:rsid w:val="000C7CB4"/>
    <w:rsid w:val="000D02C6"/>
    <w:rsid w:val="000D0B5C"/>
    <w:rsid w:val="000D0FEC"/>
    <w:rsid w:val="000D10FE"/>
    <w:rsid w:val="000D116B"/>
    <w:rsid w:val="000D1BFC"/>
    <w:rsid w:val="000D244E"/>
    <w:rsid w:val="000D279A"/>
    <w:rsid w:val="000D3212"/>
    <w:rsid w:val="000D3306"/>
    <w:rsid w:val="000D337D"/>
    <w:rsid w:val="000D372D"/>
    <w:rsid w:val="000D39ED"/>
    <w:rsid w:val="000D3CBC"/>
    <w:rsid w:val="000D4417"/>
    <w:rsid w:val="000D4904"/>
    <w:rsid w:val="000D50B0"/>
    <w:rsid w:val="000D514F"/>
    <w:rsid w:val="000D667C"/>
    <w:rsid w:val="000D6A69"/>
    <w:rsid w:val="000D6E6E"/>
    <w:rsid w:val="000D6EFE"/>
    <w:rsid w:val="000E04DE"/>
    <w:rsid w:val="000E05E5"/>
    <w:rsid w:val="000E0801"/>
    <w:rsid w:val="000E08D6"/>
    <w:rsid w:val="000E14D0"/>
    <w:rsid w:val="000E16B9"/>
    <w:rsid w:val="000E1E41"/>
    <w:rsid w:val="000E306E"/>
    <w:rsid w:val="000E3740"/>
    <w:rsid w:val="000E3C29"/>
    <w:rsid w:val="000E3F27"/>
    <w:rsid w:val="000E423E"/>
    <w:rsid w:val="000E46FB"/>
    <w:rsid w:val="000E4A41"/>
    <w:rsid w:val="000E4C3C"/>
    <w:rsid w:val="000E59C1"/>
    <w:rsid w:val="000E6887"/>
    <w:rsid w:val="000E697D"/>
    <w:rsid w:val="000E70DA"/>
    <w:rsid w:val="000E7878"/>
    <w:rsid w:val="000E7D30"/>
    <w:rsid w:val="000F06D1"/>
    <w:rsid w:val="000F08FC"/>
    <w:rsid w:val="000F0AAC"/>
    <w:rsid w:val="000F1D58"/>
    <w:rsid w:val="000F29E6"/>
    <w:rsid w:val="000F2E9D"/>
    <w:rsid w:val="000F319B"/>
    <w:rsid w:val="000F394A"/>
    <w:rsid w:val="000F3B58"/>
    <w:rsid w:val="000F3C96"/>
    <w:rsid w:val="000F4599"/>
    <w:rsid w:val="000F4801"/>
    <w:rsid w:val="000F49CC"/>
    <w:rsid w:val="000F4A75"/>
    <w:rsid w:val="000F5CAC"/>
    <w:rsid w:val="000F5FAF"/>
    <w:rsid w:val="000F7FE1"/>
    <w:rsid w:val="001000FC"/>
    <w:rsid w:val="00100634"/>
    <w:rsid w:val="00100DE7"/>
    <w:rsid w:val="00101289"/>
    <w:rsid w:val="00101AEE"/>
    <w:rsid w:val="001024FD"/>
    <w:rsid w:val="00102B57"/>
    <w:rsid w:val="00102DC8"/>
    <w:rsid w:val="00103224"/>
    <w:rsid w:val="00103AAE"/>
    <w:rsid w:val="00103E43"/>
    <w:rsid w:val="00103FE4"/>
    <w:rsid w:val="0010403D"/>
    <w:rsid w:val="00104869"/>
    <w:rsid w:val="00104B10"/>
    <w:rsid w:val="00104F24"/>
    <w:rsid w:val="001058C2"/>
    <w:rsid w:val="00105A4F"/>
    <w:rsid w:val="00105E0E"/>
    <w:rsid w:val="001064C9"/>
    <w:rsid w:val="00106BB1"/>
    <w:rsid w:val="00106BB4"/>
    <w:rsid w:val="00106EBA"/>
    <w:rsid w:val="0010732D"/>
    <w:rsid w:val="00107F7F"/>
    <w:rsid w:val="00107FFC"/>
    <w:rsid w:val="00110E53"/>
    <w:rsid w:val="00110F2E"/>
    <w:rsid w:val="001112BA"/>
    <w:rsid w:val="001116ED"/>
    <w:rsid w:val="0011196C"/>
    <w:rsid w:val="00112538"/>
    <w:rsid w:val="00112842"/>
    <w:rsid w:val="00113862"/>
    <w:rsid w:val="00114038"/>
    <w:rsid w:val="00114498"/>
    <w:rsid w:val="00114755"/>
    <w:rsid w:val="00114DB5"/>
    <w:rsid w:val="001153BE"/>
    <w:rsid w:val="001157C5"/>
    <w:rsid w:val="00115957"/>
    <w:rsid w:val="0011598F"/>
    <w:rsid w:val="00116140"/>
    <w:rsid w:val="001161EC"/>
    <w:rsid w:val="0011639B"/>
    <w:rsid w:val="0012101B"/>
    <w:rsid w:val="00121098"/>
    <w:rsid w:val="00121281"/>
    <w:rsid w:val="00121320"/>
    <w:rsid w:val="00122F79"/>
    <w:rsid w:val="00123126"/>
    <w:rsid w:val="00123E1B"/>
    <w:rsid w:val="0012498A"/>
    <w:rsid w:val="0012533C"/>
    <w:rsid w:val="0012560F"/>
    <w:rsid w:val="0012575A"/>
    <w:rsid w:val="001265B7"/>
    <w:rsid w:val="00126C58"/>
    <w:rsid w:val="00127536"/>
    <w:rsid w:val="00127BFC"/>
    <w:rsid w:val="001300C9"/>
    <w:rsid w:val="0013031D"/>
    <w:rsid w:val="001308B8"/>
    <w:rsid w:val="00130AB1"/>
    <w:rsid w:val="00131220"/>
    <w:rsid w:val="001317E4"/>
    <w:rsid w:val="0013186A"/>
    <w:rsid w:val="001319B0"/>
    <w:rsid w:val="00131D22"/>
    <w:rsid w:val="001323AA"/>
    <w:rsid w:val="0013314E"/>
    <w:rsid w:val="001336F9"/>
    <w:rsid w:val="00133A16"/>
    <w:rsid w:val="00133A76"/>
    <w:rsid w:val="00133F90"/>
    <w:rsid w:val="0013442E"/>
    <w:rsid w:val="0013474D"/>
    <w:rsid w:val="00134A9F"/>
    <w:rsid w:val="00134B39"/>
    <w:rsid w:val="00134BB6"/>
    <w:rsid w:val="00135805"/>
    <w:rsid w:val="0013581B"/>
    <w:rsid w:val="001359F9"/>
    <w:rsid w:val="00136513"/>
    <w:rsid w:val="00136723"/>
    <w:rsid w:val="0013706F"/>
    <w:rsid w:val="0013723B"/>
    <w:rsid w:val="00137675"/>
    <w:rsid w:val="00137CBF"/>
    <w:rsid w:val="00140763"/>
    <w:rsid w:val="001415E8"/>
    <w:rsid w:val="00141918"/>
    <w:rsid w:val="00142BA4"/>
    <w:rsid w:val="00142F58"/>
    <w:rsid w:val="0014371A"/>
    <w:rsid w:val="00143A31"/>
    <w:rsid w:val="00143C45"/>
    <w:rsid w:val="00144107"/>
    <w:rsid w:val="00146543"/>
    <w:rsid w:val="001466F1"/>
    <w:rsid w:val="00146FBC"/>
    <w:rsid w:val="001472D9"/>
    <w:rsid w:val="00150240"/>
    <w:rsid w:val="001502DA"/>
    <w:rsid w:val="0015066F"/>
    <w:rsid w:val="0015103E"/>
    <w:rsid w:val="001510B4"/>
    <w:rsid w:val="001510E9"/>
    <w:rsid w:val="00151255"/>
    <w:rsid w:val="001519A9"/>
    <w:rsid w:val="00151EEA"/>
    <w:rsid w:val="0015212E"/>
    <w:rsid w:val="0015379D"/>
    <w:rsid w:val="00153C35"/>
    <w:rsid w:val="00153CAA"/>
    <w:rsid w:val="0015442D"/>
    <w:rsid w:val="0015479D"/>
    <w:rsid w:val="00155837"/>
    <w:rsid w:val="00155EB0"/>
    <w:rsid w:val="00156892"/>
    <w:rsid w:val="00157ABE"/>
    <w:rsid w:val="001601C8"/>
    <w:rsid w:val="001607D5"/>
    <w:rsid w:val="001611FC"/>
    <w:rsid w:val="0016135B"/>
    <w:rsid w:val="0016147C"/>
    <w:rsid w:val="00161B30"/>
    <w:rsid w:val="001621D3"/>
    <w:rsid w:val="0016232B"/>
    <w:rsid w:val="00162CDF"/>
    <w:rsid w:val="00163923"/>
    <w:rsid w:val="00163E05"/>
    <w:rsid w:val="001642C7"/>
    <w:rsid w:val="001660A4"/>
    <w:rsid w:val="001669D9"/>
    <w:rsid w:val="001670BD"/>
    <w:rsid w:val="00167D6F"/>
    <w:rsid w:val="00167EDC"/>
    <w:rsid w:val="00170980"/>
    <w:rsid w:val="0017188F"/>
    <w:rsid w:val="00171A17"/>
    <w:rsid w:val="001723B6"/>
    <w:rsid w:val="00173264"/>
    <w:rsid w:val="00173BDF"/>
    <w:rsid w:val="00174046"/>
    <w:rsid w:val="00174209"/>
    <w:rsid w:val="0017444C"/>
    <w:rsid w:val="0017486E"/>
    <w:rsid w:val="001767BD"/>
    <w:rsid w:val="00176B27"/>
    <w:rsid w:val="001771C6"/>
    <w:rsid w:val="001773A8"/>
    <w:rsid w:val="00180A63"/>
    <w:rsid w:val="00181AAD"/>
    <w:rsid w:val="00181CF3"/>
    <w:rsid w:val="00181D7E"/>
    <w:rsid w:val="00182095"/>
    <w:rsid w:val="00182257"/>
    <w:rsid w:val="0018269A"/>
    <w:rsid w:val="00182C67"/>
    <w:rsid w:val="00183237"/>
    <w:rsid w:val="0018326D"/>
    <w:rsid w:val="001843F6"/>
    <w:rsid w:val="001848D4"/>
    <w:rsid w:val="0018558B"/>
    <w:rsid w:val="00185C5E"/>
    <w:rsid w:val="00186717"/>
    <w:rsid w:val="00187D89"/>
    <w:rsid w:val="001913AB"/>
    <w:rsid w:val="001921E2"/>
    <w:rsid w:val="001925B4"/>
    <w:rsid w:val="0019282E"/>
    <w:rsid w:val="00192957"/>
    <w:rsid w:val="00192A4A"/>
    <w:rsid w:val="00192BD6"/>
    <w:rsid w:val="001932B4"/>
    <w:rsid w:val="00193850"/>
    <w:rsid w:val="00193AB5"/>
    <w:rsid w:val="001956DB"/>
    <w:rsid w:val="00195C0F"/>
    <w:rsid w:val="00195CA1"/>
    <w:rsid w:val="00196490"/>
    <w:rsid w:val="00196F58"/>
    <w:rsid w:val="00197319"/>
    <w:rsid w:val="00197E6F"/>
    <w:rsid w:val="00197F51"/>
    <w:rsid w:val="001A0266"/>
    <w:rsid w:val="001A0269"/>
    <w:rsid w:val="001A0678"/>
    <w:rsid w:val="001A0956"/>
    <w:rsid w:val="001A1630"/>
    <w:rsid w:val="001A1655"/>
    <w:rsid w:val="001A17AD"/>
    <w:rsid w:val="001A18F8"/>
    <w:rsid w:val="001A1A64"/>
    <w:rsid w:val="001A1FE4"/>
    <w:rsid w:val="001A22E7"/>
    <w:rsid w:val="001A2933"/>
    <w:rsid w:val="001A31BF"/>
    <w:rsid w:val="001A3D8F"/>
    <w:rsid w:val="001A454F"/>
    <w:rsid w:val="001A45E7"/>
    <w:rsid w:val="001A4878"/>
    <w:rsid w:val="001A4B41"/>
    <w:rsid w:val="001A51FB"/>
    <w:rsid w:val="001A5259"/>
    <w:rsid w:val="001A5C1F"/>
    <w:rsid w:val="001A6AD2"/>
    <w:rsid w:val="001A6E92"/>
    <w:rsid w:val="001A756A"/>
    <w:rsid w:val="001B02F2"/>
    <w:rsid w:val="001B1643"/>
    <w:rsid w:val="001B1A6A"/>
    <w:rsid w:val="001B2601"/>
    <w:rsid w:val="001B30E1"/>
    <w:rsid w:val="001B3524"/>
    <w:rsid w:val="001B3A95"/>
    <w:rsid w:val="001B3D45"/>
    <w:rsid w:val="001B5100"/>
    <w:rsid w:val="001B5B37"/>
    <w:rsid w:val="001B5D64"/>
    <w:rsid w:val="001B5DD4"/>
    <w:rsid w:val="001B7845"/>
    <w:rsid w:val="001B7CB1"/>
    <w:rsid w:val="001C0128"/>
    <w:rsid w:val="001C1147"/>
    <w:rsid w:val="001C1579"/>
    <w:rsid w:val="001C1671"/>
    <w:rsid w:val="001C168E"/>
    <w:rsid w:val="001C19AB"/>
    <w:rsid w:val="001C1A98"/>
    <w:rsid w:val="001C22AF"/>
    <w:rsid w:val="001C2E68"/>
    <w:rsid w:val="001C391C"/>
    <w:rsid w:val="001C3CB0"/>
    <w:rsid w:val="001C403A"/>
    <w:rsid w:val="001C4042"/>
    <w:rsid w:val="001C471B"/>
    <w:rsid w:val="001C4F02"/>
    <w:rsid w:val="001C545D"/>
    <w:rsid w:val="001C555E"/>
    <w:rsid w:val="001C5716"/>
    <w:rsid w:val="001C5739"/>
    <w:rsid w:val="001C5C8B"/>
    <w:rsid w:val="001C5EBA"/>
    <w:rsid w:val="001C677A"/>
    <w:rsid w:val="001C6BC5"/>
    <w:rsid w:val="001C6D4D"/>
    <w:rsid w:val="001C74A8"/>
    <w:rsid w:val="001C7574"/>
    <w:rsid w:val="001C7D92"/>
    <w:rsid w:val="001D044A"/>
    <w:rsid w:val="001D0BC2"/>
    <w:rsid w:val="001D13DA"/>
    <w:rsid w:val="001D24E7"/>
    <w:rsid w:val="001D2FF5"/>
    <w:rsid w:val="001D317A"/>
    <w:rsid w:val="001D365C"/>
    <w:rsid w:val="001D37C4"/>
    <w:rsid w:val="001D3D99"/>
    <w:rsid w:val="001D48E5"/>
    <w:rsid w:val="001D4934"/>
    <w:rsid w:val="001D4A35"/>
    <w:rsid w:val="001D4F74"/>
    <w:rsid w:val="001D5861"/>
    <w:rsid w:val="001D609A"/>
    <w:rsid w:val="001D60AA"/>
    <w:rsid w:val="001D6BFE"/>
    <w:rsid w:val="001D6CDF"/>
    <w:rsid w:val="001D6F3A"/>
    <w:rsid w:val="001D74DD"/>
    <w:rsid w:val="001E03F6"/>
    <w:rsid w:val="001E043F"/>
    <w:rsid w:val="001E08CB"/>
    <w:rsid w:val="001E106A"/>
    <w:rsid w:val="001E1D31"/>
    <w:rsid w:val="001E1E93"/>
    <w:rsid w:val="001E22C0"/>
    <w:rsid w:val="001E2555"/>
    <w:rsid w:val="001E27BE"/>
    <w:rsid w:val="001E2823"/>
    <w:rsid w:val="001E29CF"/>
    <w:rsid w:val="001E2EF1"/>
    <w:rsid w:val="001E378A"/>
    <w:rsid w:val="001E3797"/>
    <w:rsid w:val="001E3995"/>
    <w:rsid w:val="001E3DAB"/>
    <w:rsid w:val="001E4267"/>
    <w:rsid w:val="001E55B0"/>
    <w:rsid w:val="001E595A"/>
    <w:rsid w:val="001E6055"/>
    <w:rsid w:val="001E64D1"/>
    <w:rsid w:val="001E694F"/>
    <w:rsid w:val="001F07C5"/>
    <w:rsid w:val="001F10DF"/>
    <w:rsid w:val="001F12F8"/>
    <w:rsid w:val="001F211E"/>
    <w:rsid w:val="001F21C9"/>
    <w:rsid w:val="001F3A7C"/>
    <w:rsid w:val="001F3C72"/>
    <w:rsid w:val="001F4B70"/>
    <w:rsid w:val="001F5C83"/>
    <w:rsid w:val="001F6020"/>
    <w:rsid w:val="001F6077"/>
    <w:rsid w:val="001F6151"/>
    <w:rsid w:val="001F655B"/>
    <w:rsid w:val="001F6AB1"/>
    <w:rsid w:val="001F734A"/>
    <w:rsid w:val="00200446"/>
    <w:rsid w:val="00200A3A"/>
    <w:rsid w:val="00201529"/>
    <w:rsid w:val="002018D2"/>
    <w:rsid w:val="00201DE3"/>
    <w:rsid w:val="002026BA"/>
    <w:rsid w:val="0020286D"/>
    <w:rsid w:val="00202A60"/>
    <w:rsid w:val="00202A95"/>
    <w:rsid w:val="00202AF4"/>
    <w:rsid w:val="00202F5F"/>
    <w:rsid w:val="002031D3"/>
    <w:rsid w:val="002038A1"/>
    <w:rsid w:val="00204220"/>
    <w:rsid w:val="002045C5"/>
    <w:rsid w:val="00205F7F"/>
    <w:rsid w:val="00206ABD"/>
    <w:rsid w:val="00207024"/>
    <w:rsid w:val="00207973"/>
    <w:rsid w:val="002079DD"/>
    <w:rsid w:val="00207C73"/>
    <w:rsid w:val="002103F7"/>
    <w:rsid w:val="002109C9"/>
    <w:rsid w:val="00211A26"/>
    <w:rsid w:val="00212C46"/>
    <w:rsid w:val="00212F70"/>
    <w:rsid w:val="002133A1"/>
    <w:rsid w:val="00213BCF"/>
    <w:rsid w:val="0021414D"/>
    <w:rsid w:val="00214999"/>
    <w:rsid w:val="00214E7E"/>
    <w:rsid w:val="0021599A"/>
    <w:rsid w:val="0021636C"/>
    <w:rsid w:val="00217E89"/>
    <w:rsid w:val="00220A56"/>
    <w:rsid w:val="00220BC0"/>
    <w:rsid w:val="002213A8"/>
    <w:rsid w:val="0022291F"/>
    <w:rsid w:val="002229C5"/>
    <w:rsid w:val="00222BC7"/>
    <w:rsid w:val="00222DD2"/>
    <w:rsid w:val="002230B0"/>
    <w:rsid w:val="002232A4"/>
    <w:rsid w:val="0022344A"/>
    <w:rsid w:val="002235CE"/>
    <w:rsid w:val="00223889"/>
    <w:rsid w:val="00223D30"/>
    <w:rsid w:val="00223EC4"/>
    <w:rsid w:val="00223F20"/>
    <w:rsid w:val="002256F4"/>
    <w:rsid w:val="00225DDD"/>
    <w:rsid w:val="00226400"/>
    <w:rsid w:val="00226486"/>
    <w:rsid w:val="00226BBD"/>
    <w:rsid w:val="00226FF2"/>
    <w:rsid w:val="00227995"/>
    <w:rsid w:val="00227B92"/>
    <w:rsid w:val="00230C57"/>
    <w:rsid w:val="00230E10"/>
    <w:rsid w:val="002316A9"/>
    <w:rsid w:val="0023176F"/>
    <w:rsid w:val="00231E81"/>
    <w:rsid w:val="0023248A"/>
    <w:rsid w:val="00232D1E"/>
    <w:rsid w:val="002354CB"/>
    <w:rsid w:val="002361A6"/>
    <w:rsid w:val="0023676F"/>
    <w:rsid w:val="00236FD0"/>
    <w:rsid w:val="0023767F"/>
    <w:rsid w:val="00237916"/>
    <w:rsid w:val="00237C63"/>
    <w:rsid w:val="00237E03"/>
    <w:rsid w:val="002401FB"/>
    <w:rsid w:val="002409FE"/>
    <w:rsid w:val="002410F1"/>
    <w:rsid w:val="0024146B"/>
    <w:rsid w:val="0024197C"/>
    <w:rsid w:val="00241E84"/>
    <w:rsid w:val="0024237E"/>
    <w:rsid w:val="00242920"/>
    <w:rsid w:val="00242C3E"/>
    <w:rsid w:val="00242FFB"/>
    <w:rsid w:val="002430AE"/>
    <w:rsid w:val="00243C53"/>
    <w:rsid w:val="00243E51"/>
    <w:rsid w:val="00243E5B"/>
    <w:rsid w:val="00244071"/>
    <w:rsid w:val="002451F6"/>
    <w:rsid w:val="002463E6"/>
    <w:rsid w:val="002464BB"/>
    <w:rsid w:val="002464BE"/>
    <w:rsid w:val="00247253"/>
    <w:rsid w:val="002474C9"/>
    <w:rsid w:val="0024766F"/>
    <w:rsid w:val="00247F69"/>
    <w:rsid w:val="002506C0"/>
    <w:rsid w:val="002509F8"/>
    <w:rsid w:val="00250B6F"/>
    <w:rsid w:val="00250DD9"/>
    <w:rsid w:val="00252333"/>
    <w:rsid w:val="0025242B"/>
    <w:rsid w:val="002537C2"/>
    <w:rsid w:val="00253DF7"/>
    <w:rsid w:val="002541F3"/>
    <w:rsid w:val="002545CC"/>
    <w:rsid w:val="002545F5"/>
    <w:rsid w:val="0025460A"/>
    <w:rsid w:val="00254B54"/>
    <w:rsid w:val="002554BF"/>
    <w:rsid w:val="00255577"/>
    <w:rsid w:val="002560E6"/>
    <w:rsid w:val="002576B1"/>
    <w:rsid w:val="0026034E"/>
    <w:rsid w:val="002606DD"/>
    <w:rsid w:val="00261013"/>
    <w:rsid w:val="002610FD"/>
    <w:rsid w:val="00261A5F"/>
    <w:rsid w:val="00261CC1"/>
    <w:rsid w:val="00262D0E"/>
    <w:rsid w:val="002636EF"/>
    <w:rsid w:val="002642CA"/>
    <w:rsid w:val="0026442A"/>
    <w:rsid w:val="00264590"/>
    <w:rsid w:val="00264C6F"/>
    <w:rsid w:val="0026524F"/>
    <w:rsid w:val="00265301"/>
    <w:rsid w:val="00265B75"/>
    <w:rsid w:val="00265BFE"/>
    <w:rsid w:val="00266365"/>
    <w:rsid w:val="00266C55"/>
    <w:rsid w:val="00266C92"/>
    <w:rsid w:val="00266E37"/>
    <w:rsid w:val="0026701A"/>
    <w:rsid w:val="002670B7"/>
    <w:rsid w:val="00267295"/>
    <w:rsid w:val="00267479"/>
    <w:rsid w:val="00267888"/>
    <w:rsid w:val="00267F06"/>
    <w:rsid w:val="002700BF"/>
    <w:rsid w:val="00270CCA"/>
    <w:rsid w:val="00271005"/>
    <w:rsid w:val="002719AF"/>
    <w:rsid w:val="00271EFE"/>
    <w:rsid w:val="00272ADE"/>
    <w:rsid w:val="0027309F"/>
    <w:rsid w:val="002740C4"/>
    <w:rsid w:val="0027427E"/>
    <w:rsid w:val="0027442C"/>
    <w:rsid w:val="00274C8C"/>
    <w:rsid w:val="00274EF7"/>
    <w:rsid w:val="00274FD1"/>
    <w:rsid w:val="0027633F"/>
    <w:rsid w:val="002765AC"/>
    <w:rsid w:val="00276700"/>
    <w:rsid w:val="00276F55"/>
    <w:rsid w:val="00277066"/>
    <w:rsid w:val="0027721F"/>
    <w:rsid w:val="00280872"/>
    <w:rsid w:val="00281737"/>
    <w:rsid w:val="0028175A"/>
    <w:rsid w:val="00281B13"/>
    <w:rsid w:val="00281C5F"/>
    <w:rsid w:val="00281F8D"/>
    <w:rsid w:val="002821E4"/>
    <w:rsid w:val="002826AD"/>
    <w:rsid w:val="00283876"/>
    <w:rsid w:val="00284FBA"/>
    <w:rsid w:val="002858D8"/>
    <w:rsid w:val="00285A5A"/>
    <w:rsid w:val="0028648F"/>
    <w:rsid w:val="00286662"/>
    <w:rsid w:val="00286776"/>
    <w:rsid w:val="00286A29"/>
    <w:rsid w:val="00286D94"/>
    <w:rsid w:val="0028717A"/>
    <w:rsid w:val="00287222"/>
    <w:rsid w:val="00287908"/>
    <w:rsid w:val="00287D98"/>
    <w:rsid w:val="00287FAA"/>
    <w:rsid w:val="00290964"/>
    <w:rsid w:val="002915E9"/>
    <w:rsid w:val="0029160D"/>
    <w:rsid w:val="002919F4"/>
    <w:rsid w:val="00291B4F"/>
    <w:rsid w:val="00291E02"/>
    <w:rsid w:val="00292433"/>
    <w:rsid w:val="002924C3"/>
    <w:rsid w:val="00292BE9"/>
    <w:rsid w:val="00292DE2"/>
    <w:rsid w:val="00292E95"/>
    <w:rsid w:val="002939AE"/>
    <w:rsid w:val="002944F4"/>
    <w:rsid w:val="0029459C"/>
    <w:rsid w:val="00294777"/>
    <w:rsid w:val="00294BA6"/>
    <w:rsid w:val="00294C09"/>
    <w:rsid w:val="00294D24"/>
    <w:rsid w:val="00294E32"/>
    <w:rsid w:val="00295020"/>
    <w:rsid w:val="0029526B"/>
    <w:rsid w:val="0029535A"/>
    <w:rsid w:val="002955EE"/>
    <w:rsid w:val="0029566E"/>
    <w:rsid w:val="002957D6"/>
    <w:rsid w:val="00295851"/>
    <w:rsid w:val="002958CB"/>
    <w:rsid w:val="0029683F"/>
    <w:rsid w:val="00296D85"/>
    <w:rsid w:val="00296E0A"/>
    <w:rsid w:val="00297D1F"/>
    <w:rsid w:val="00297D7A"/>
    <w:rsid w:val="002A02A8"/>
    <w:rsid w:val="002A0B1E"/>
    <w:rsid w:val="002A0BFE"/>
    <w:rsid w:val="002A14B7"/>
    <w:rsid w:val="002A1E3C"/>
    <w:rsid w:val="002A2BF0"/>
    <w:rsid w:val="002A33BD"/>
    <w:rsid w:val="002A3A52"/>
    <w:rsid w:val="002A4731"/>
    <w:rsid w:val="002A5221"/>
    <w:rsid w:val="002A5583"/>
    <w:rsid w:val="002A56C5"/>
    <w:rsid w:val="002A5947"/>
    <w:rsid w:val="002A59CE"/>
    <w:rsid w:val="002A5F0D"/>
    <w:rsid w:val="002A5F38"/>
    <w:rsid w:val="002A627B"/>
    <w:rsid w:val="002A665D"/>
    <w:rsid w:val="002A6807"/>
    <w:rsid w:val="002A6CCF"/>
    <w:rsid w:val="002A6CE5"/>
    <w:rsid w:val="002A6F52"/>
    <w:rsid w:val="002A70AF"/>
    <w:rsid w:val="002A7387"/>
    <w:rsid w:val="002A7A06"/>
    <w:rsid w:val="002A7DEF"/>
    <w:rsid w:val="002B0675"/>
    <w:rsid w:val="002B0756"/>
    <w:rsid w:val="002B0A91"/>
    <w:rsid w:val="002B0D79"/>
    <w:rsid w:val="002B1AA4"/>
    <w:rsid w:val="002B1AB2"/>
    <w:rsid w:val="002B2280"/>
    <w:rsid w:val="002B253D"/>
    <w:rsid w:val="002B2595"/>
    <w:rsid w:val="002B4FBB"/>
    <w:rsid w:val="002B50BF"/>
    <w:rsid w:val="002B5304"/>
    <w:rsid w:val="002B7984"/>
    <w:rsid w:val="002C096F"/>
    <w:rsid w:val="002C0B8B"/>
    <w:rsid w:val="002C1AFE"/>
    <w:rsid w:val="002C21A4"/>
    <w:rsid w:val="002C2286"/>
    <w:rsid w:val="002C23E1"/>
    <w:rsid w:val="002C285A"/>
    <w:rsid w:val="002C2FD8"/>
    <w:rsid w:val="002C3067"/>
    <w:rsid w:val="002C46A8"/>
    <w:rsid w:val="002C4C2A"/>
    <w:rsid w:val="002C60BA"/>
    <w:rsid w:val="002C6D67"/>
    <w:rsid w:val="002C7A90"/>
    <w:rsid w:val="002C7CC2"/>
    <w:rsid w:val="002D03F6"/>
    <w:rsid w:val="002D0A46"/>
    <w:rsid w:val="002D24C6"/>
    <w:rsid w:val="002D24D1"/>
    <w:rsid w:val="002D436F"/>
    <w:rsid w:val="002D487A"/>
    <w:rsid w:val="002D5A2C"/>
    <w:rsid w:val="002D6131"/>
    <w:rsid w:val="002D64A9"/>
    <w:rsid w:val="002D6CF2"/>
    <w:rsid w:val="002D6EE2"/>
    <w:rsid w:val="002D74B5"/>
    <w:rsid w:val="002D7574"/>
    <w:rsid w:val="002D78C3"/>
    <w:rsid w:val="002D7F0E"/>
    <w:rsid w:val="002E0449"/>
    <w:rsid w:val="002E12FA"/>
    <w:rsid w:val="002E23AE"/>
    <w:rsid w:val="002E2996"/>
    <w:rsid w:val="002E3650"/>
    <w:rsid w:val="002E4758"/>
    <w:rsid w:val="002E5158"/>
    <w:rsid w:val="002E54D5"/>
    <w:rsid w:val="002E572A"/>
    <w:rsid w:val="002E5E5A"/>
    <w:rsid w:val="002E6A9B"/>
    <w:rsid w:val="002E6AC7"/>
    <w:rsid w:val="002E7D05"/>
    <w:rsid w:val="002F01A7"/>
    <w:rsid w:val="002F0865"/>
    <w:rsid w:val="002F0C3E"/>
    <w:rsid w:val="002F0C99"/>
    <w:rsid w:val="002F163C"/>
    <w:rsid w:val="002F1C11"/>
    <w:rsid w:val="002F252B"/>
    <w:rsid w:val="002F2C46"/>
    <w:rsid w:val="002F2D5C"/>
    <w:rsid w:val="002F36FB"/>
    <w:rsid w:val="002F39A9"/>
    <w:rsid w:val="002F4171"/>
    <w:rsid w:val="002F41D2"/>
    <w:rsid w:val="002F465F"/>
    <w:rsid w:val="002F4AD0"/>
    <w:rsid w:val="002F5B2F"/>
    <w:rsid w:val="002F5CE8"/>
    <w:rsid w:val="002F5DE4"/>
    <w:rsid w:val="002F6457"/>
    <w:rsid w:val="002F64F1"/>
    <w:rsid w:val="002F67B3"/>
    <w:rsid w:val="002F6816"/>
    <w:rsid w:val="002F7A07"/>
    <w:rsid w:val="003010A7"/>
    <w:rsid w:val="003016CC"/>
    <w:rsid w:val="00301BBD"/>
    <w:rsid w:val="00301F5B"/>
    <w:rsid w:val="00302F0D"/>
    <w:rsid w:val="0030314D"/>
    <w:rsid w:val="00303153"/>
    <w:rsid w:val="00303C0C"/>
    <w:rsid w:val="0030422A"/>
    <w:rsid w:val="003046B4"/>
    <w:rsid w:val="0030487A"/>
    <w:rsid w:val="00304884"/>
    <w:rsid w:val="00305C2B"/>
    <w:rsid w:val="00306886"/>
    <w:rsid w:val="003071AD"/>
    <w:rsid w:val="00307A87"/>
    <w:rsid w:val="00307BBB"/>
    <w:rsid w:val="00311069"/>
    <w:rsid w:val="0031156D"/>
    <w:rsid w:val="003122C3"/>
    <w:rsid w:val="003123AB"/>
    <w:rsid w:val="00312C41"/>
    <w:rsid w:val="00313191"/>
    <w:rsid w:val="00313A5E"/>
    <w:rsid w:val="00313CB9"/>
    <w:rsid w:val="00314442"/>
    <w:rsid w:val="003145DE"/>
    <w:rsid w:val="003146C2"/>
    <w:rsid w:val="00314F59"/>
    <w:rsid w:val="0031520B"/>
    <w:rsid w:val="003154EF"/>
    <w:rsid w:val="003155A2"/>
    <w:rsid w:val="00315D6C"/>
    <w:rsid w:val="00315D97"/>
    <w:rsid w:val="00316220"/>
    <w:rsid w:val="0031667D"/>
    <w:rsid w:val="00316947"/>
    <w:rsid w:val="00317694"/>
    <w:rsid w:val="003203EA"/>
    <w:rsid w:val="003205D4"/>
    <w:rsid w:val="003205E7"/>
    <w:rsid w:val="003208C2"/>
    <w:rsid w:val="0032141F"/>
    <w:rsid w:val="00321CF8"/>
    <w:rsid w:val="00321D5B"/>
    <w:rsid w:val="00321DFB"/>
    <w:rsid w:val="003220F2"/>
    <w:rsid w:val="00322781"/>
    <w:rsid w:val="00322B44"/>
    <w:rsid w:val="00322B95"/>
    <w:rsid w:val="00322F3D"/>
    <w:rsid w:val="0032405F"/>
    <w:rsid w:val="003242F6"/>
    <w:rsid w:val="00324B6A"/>
    <w:rsid w:val="003250C2"/>
    <w:rsid w:val="00325502"/>
    <w:rsid w:val="00325517"/>
    <w:rsid w:val="00325B06"/>
    <w:rsid w:val="00326A28"/>
    <w:rsid w:val="00326EFA"/>
    <w:rsid w:val="0032715D"/>
    <w:rsid w:val="00330369"/>
    <w:rsid w:val="00330736"/>
    <w:rsid w:val="00330AC5"/>
    <w:rsid w:val="00331230"/>
    <w:rsid w:val="00331748"/>
    <w:rsid w:val="00331AB8"/>
    <w:rsid w:val="00331C96"/>
    <w:rsid w:val="00331C9C"/>
    <w:rsid w:val="00331CA4"/>
    <w:rsid w:val="00331FA8"/>
    <w:rsid w:val="00332DAA"/>
    <w:rsid w:val="00333630"/>
    <w:rsid w:val="003337BF"/>
    <w:rsid w:val="00333A6D"/>
    <w:rsid w:val="00333E63"/>
    <w:rsid w:val="003344FB"/>
    <w:rsid w:val="003345F7"/>
    <w:rsid w:val="00334767"/>
    <w:rsid w:val="00334B79"/>
    <w:rsid w:val="00334DB9"/>
    <w:rsid w:val="00335227"/>
    <w:rsid w:val="00335E90"/>
    <w:rsid w:val="00336397"/>
    <w:rsid w:val="00336A50"/>
    <w:rsid w:val="003373DC"/>
    <w:rsid w:val="0034029A"/>
    <w:rsid w:val="0034076A"/>
    <w:rsid w:val="00340926"/>
    <w:rsid w:val="00340F8C"/>
    <w:rsid w:val="003413CB"/>
    <w:rsid w:val="00341BBB"/>
    <w:rsid w:val="0034338E"/>
    <w:rsid w:val="00343929"/>
    <w:rsid w:val="00343A93"/>
    <w:rsid w:val="00343C4E"/>
    <w:rsid w:val="00343FE4"/>
    <w:rsid w:val="00344179"/>
    <w:rsid w:val="0034421F"/>
    <w:rsid w:val="003449BC"/>
    <w:rsid w:val="00345015"/>
    <w:rsid w:val="00345201"/>
    <w:rsid w:val="003458B2"/>
    <w:rsid w:val="00346716"/>
    <w:rsid w:val="00347E82"/>
    <w:rsid w:val="003501C7"/>
    <w:rsid w:val="003504B3"/>
    <w:rsid w:val="003504BF"/>
    <w:rsid w:val="00351030"/>
    <w:rsid w:val="003510A5"/>
    <w:rsid w:val="00351B13"/>
    <w:rsid w:val="00353228"/>
    <w:rsid w:val="00354044"/>
    <w:rsid w:val="00355162"/>
    <w:rsid w:val="00355B71"/>
    <w:rsid w:val="00355FB4"/>
    <w:rsid w:val="003561FC"/>
    <w:rsid w:val="0035660A"/>
    <w:rsid w:val="00356C42"/>
    <w:rsid w:val="003575EF"/>
    <w:rsid w:val="00357712"/>
    <w:rsid w:val="00357D14"/>
    <w:rsid w:val="00360928"/>
    <w:rsid w:val="00360CC3"/>
    <w:rsid w:val="003611C5"/>
    <w:rsid w:val="00361771"/>
    <w:rsid w:val="00361DCA"/>
    <w:rsid w:val="00361FDF"/>
    <w:rsid w:val="0036226F"/>
    <w:rsid w:val="00362B6C"/>
    <w:rsid w:val="00363555"/>
    <w:rsid w:val="00363726"/>
    <w:rsid w:val="00363940"/>
    <w:rsid w:val="0036443C"/>
    <w:rsid w:val="00364A2A"/>
    <w:rsid w:val="00365524"/>
    <w:rsid w:val="0036565E"/>
    <w:rsid w:val="0036594D"/>
    <w:rsid w:val="003667E2"/>
    <w:rsid w:val="00366974"/>
    <w:rsid w:val="0036786B"/>
    <w:rsid w:val="003679E7"/>
    <w:rsid w:val="00367E3F"/>
    <w:rsid w:val="003702A5"/>
    <w:rsid w:val="00370E47"/>
    <w:rsid w:val="00370F16"/>
    <w:rsid w:val="0037117B"/>
    <w:rsid w:val="003715A9"/>
    <w:rsid w:val="0037187E"/>
    <w:rsid w:val="00371D4C"/>
    <w:rsid w:val="00371EE6"/>
    <w:rsid w:val="003726C8"/>
    <w:rsid w:val="00373EE3"/>
    <w:rsid w:val="003743E1"/>
    <w:rsid w:val="003757AE"/>
    <w:rsid w:val="00376141"/>
    <w:rsid w:val="0037633D"/>
    <w:rsid w:val="00376F48"/>
    <w:rsid w:val="00376FBD"/>
    <w:rsid w:val="0037703D"/>
    <w:rsid w:val="0037717B"/>
    <w:rsid w:val="0037731F"/>
    <w:rsid w:val="0037743F"/>
    <w:rsid w:val="00377898"/>
    <w:rsid w:val="0037792C"/>
    <w:rsid w:val="003811F8"/>
    <w:rsid w:val="00381292"/>
    <w:rsid w:val="00381330"/>
    <w:rsid w:val="0038183F"/>
    <w:rsid w:val="00381AEA"/>
    <w:rsid w:val="00382040"/>
    <w:rsid w:val="00382486"/>
    <w:rsid w:val="00382F3C"/>
    <w:rsid w:val="00383351"/>
    <w:rsid w:val="00384260"/>
    <w:rsid w:val="00385800"/>
    <w:rsid w:val="003858BD"/>
    <w:rsid w:val="00390866"/>
    <w:rsid w:val="00391367"/>
    <w:rsid w:val="003913AE"/>
    <w:rsid w:val="0039283C"/>
    <w:rsid w:val="00392A82"/>
    <w:rsid w:val="00392D34"/>
    <w:rsid w:val="00393B4E"/>
    <w:rsid w:val="00393DBF"/>
    <w:rsid w:val="00393FF6"/>
    <w:rsid w:val="003941D8"/>
    <w:rsid w:val="00395F67"/>
    <w:rsid w:val="0039637D"/>
    <w:rsid w:val="00396456"/>
    <w:rsid w:val="00396782"/>
    <w:rsid w:val="00396B2C"/>
    <w:rsid w:val="0039739C"/>
    <w:rsid w:val="00397B8F"/>
    <w:rsid w:val="00397FEF"/>
    <w:rsid w:val="003A0455"/>
    <w:rsid w:val="003A1414"/>
    <w:rsid w:val="003A1BC9"/>
    <w:rsid w:val="003A29E8"/>
    <w:rsid w:val="003A2C2B"/>
    <w:rsid w:val="003A2DC0"/>
    <w:rsid w:val="003A2EAD"/>
    <w:rsid w:val="003A3CC6"/>
    <w:rsid w:val="003A4ABA"/>
    <w:rsid w:val="003A5132"/>
    <w:rsid w:val="003A5ABD"/>
    <w:rsid w:val="003A5B15"/>
    <w:rsid w:val="003A5C83"/>
    <w:rsid w:val="003A5E26"/>
    <w:rsid w:val="003A67E8"/>
    <w:rsid w:val="003A6BBB"/>
    <w:rsid w:val="003A6CC7"/>
    <w:rsid w:val="003A7470"/>
    <w:rsid w:val="003A7787"/>
    <w:rsid w:val="003A7B28"/>
    <w:rsid w:val="003A7B39"/>
    <w:rsid w:val="003B0585"/>
    <w:rsid w:val="003B0628"/>
    <w:rsid w:val="003B0AC8"/>
    <w:rsid w:val="003B1278"/>
    <w:rsid w:val="003B1491"/>
    <w:rsid w:val="003B1E2E"/>
    <w:rsid w:val="003B237D"/>
    <w:rsid w:val="003B2A21"/>
    <w:rsid w:val="003B2A8E"/>
    <w:rsid w:val="003B3182"/>
    <w:rsid w:val="003B3C80"/>
    <w:rsid w:val="003B4084"/>
    <w:rsid w:val="003B4612"/>
    <w:rsid w:val="003B5634"/>
    <w:rsid w:val="003B5D55"/>
    <w:rsid w:val="003B6151"/>
    <w:rsid w:val="003B6290"/>
    <w:rsid w:val="003B69E9"/>
    <w:rsid w:val="003B6CB7"/>
    <w:rsid w:val="003B6D48"/>
    <w:rsid w:val="003C04F0"/>
    <w:rsid w:val="003C05D2"/>
    <w:rsid w:val="003C0DBE"/>
    <w:rsid w:val="003C158E"/>
    <w:rsid w:val="003C1BB7"/>
    <w:rsid w:val="003C23ED"/>
    <w:rsid w:val="003C45E0"/>
    <w:rsid w:val="003C4ACC"/>
    <w:rsid w:val="003C4B1D"/>
    <w:rsid w:val="003C57A8"/>
    <w:rsid w:val="003C5990"/>
    <w:rsid w:val="003C5CF7"/>
    <w:rsid w:val="003C5E33"/>
    <w:rsid w:val="003C6B54"/>
    <w:rsid w:val="003C6D87"/>
    <w:rsid w:val="003C78F5"/>
    <w:rsid w:val="003C7EDE"/>
    <w:rsid w:val="003D0117"/>
    <w:rsid w:val="003D03EE"/>
    <w:rsid w:val="003D057C"/>
    <w:rsid w:val="003D07A0"/>
    <w:rsid w:val="003D0FAC"/>
    <w:rsid w:val="003D15E9"/>
    <w:rsid w:val="003D193E"/>
    <w:rsid w:val="003D1CB6"/>
    <w:rsid w:val="003D1D64"/>
    <w:rsid w:val="003D2FB2"/>
    <w:rsid w:val="003D3034"/>
    <w:rsid w:val="003D325F"/>
    <w:rsid w:val="003D35C7"/>
    <w:rsid w:val="003D3ED3"/>
    <w:rsid w:val="003D51FE"/>
    <w:rsid w:val="003D5684"/>
    <w:rsid w:val="003D638C"/>
    <w:rsid w:val="003D680C"/>
    <w:rsid w:val="003D7227"/>
    <w:rsid w:val="003D7369"/>
    <w:rsid w:val="003D75FF"/>
    <w:rsid w:val="003D7BFB"/>
    <w:rsid w:val="003E042A"/>
    <w:rsid w:val="003E0BAC"/>
    <w:rsid w:val="003E1317"/>
    <w:rsid w:val="003E2848"/>
    <w:rsid w:val="003E4252"/>
    <w:rsid w:val="003E43E0"/>
    <w:rsid w:val="003E43E6"/>
    <w:rsid w:val="003E47DE"/>
    <w:rsid w:val="003E4EA2"/>
    <w:rsid w:val="003E520B"/>
    <w:rsid w:val="003E5B38"/>
    <w:rsid w:val="003E5B8E"/>
    <w:rsid w:val="003E5D6C"/>
    <w:rsid w:val="003E67F6"/>
    <w:rsid w:val="003E698A"/>
    <w:rsid w:val="003E6CC4"/>
    <w:rsid w:val="003E73E3"/>
    <w:rsid w:val="003E762E"/>
    <w:rsid w:val="003F0051"/>
    <w:rsid w:val="003F1C82"/>
    <w:rsid w:val="003F2332"/>
    <w:rsid w:val="003F2398"/>
    <w:rsid w:val="003F250E"/>
    <w:rsid w:val="003F2AA9"/>
    <w:rsid w:val="003F3AE8"/>
    <w:rsid w:val="003F43C5"/>
    <w:rsid w:val="003F4685"/>
    <w:rsid w:val="003F4C8A"/>
    <w:rsid w:val="003F4C99"/>
    <w:rsid w:val="003F50CE"/>
    <w:rsid w:val="003F52EC"/>
    <w:rsid w:val="003F59D3"/>
    <w:rsid w:val="003F5A3C"/>
    <w:rsid w:val="003F5B94"/>
    <w:rsid w:val="003F61E3"/>
    <w:rsid w:val="003F6872"/>
    <w:rsid w:val="00400E94"/>
    <w:rsid w:val="0040112E"/>
    <w:rsid w:val="004017F4"/>
    <w:rsid w:val="00401818"/>
    <w:rsid w:val="00401EA7"/>
    <w:rsid w:val="00402F0E"/>
    <w:rsid w:val="00403425"/>
    <w:rsid w:val="004038FD"/>
    <w:rsid w:val="00404130"/>
    <w:rsid w:val="0040454E"/>
    <w:rsid w:val="00404D43"/>
    <w:rsid w:val="004054CB"/>
    <w:rsid w:val="00405B5C"/>
    <w:rsid w:val="00405DDA"/>
    <w:rsid w:val="0040628D"/>
    <w:rsid w:val="004072F5"/>
    <w:rsid w:val="004075CA"/>
    <w:rsid w:val="004078CF"/>
    <w:rsid w:val="00407E42"/>
    <w:rsid w:val="00407EF9"/>
    <w:rsid w:val="00407F8E"/>
    <w:rsid w:val="00407FD8"/>
    <w:rsid w:val="0041001F"/>
    <w:rsid w:val="004106F1"/>
    <w:rsid w:val="00410860"/>
    <w:rsid w:val="00410DB0"/>
    <w:rsid w:val="00411918"/>
    <w:rsid w:val="00411FB3"/>
    <w:rsid w:val="004120CC"/>
    <w:rsid w:val="00412440"/>
    <w:rsid w:val="00412A9D"/>
    <w:rsid w:val="00412F75"/>
    <w:rsid w:val="0041345C"/>
    <w:rsid w:val="00413D08"/>
    <w:rsid w:val="004147CE"/>
    <w:rsid w:val="00414AC1"/>
    <w:rsid w:val="00414BF8"/>
    <w:rsid w:val="00414D22"/>
    <w:rsid w:val="00414D47"/>
    <w:rsid w:val="00415257"/>
    <w:rsid w:val="00415B40"/>
    <w:rsid w:val="00415C87"/>
    <w:rsid w:val="004167E5"/>
    <w:rsid w:val="004170A0"/>
    <w:rsid w:val="004177AC"/>
    <w:rsid w:val="00420BD4"/>
    <w:rsid w:val="00421181"/>
    <w:rsid w:val="00421352"/>
    <w:rsid w:val="00421E0C"/>
    <w:rsid w:val="00422ABA"/>
    <w:rsid w:val="00423175"/>
    <w:rsid w:val="004238B7"/>
    <w:rsid w:val="00423C3E"/>
    <w:rsid w:val="00424894"/>
    <w:rsid w:val="00424D42"/>
    <w:rsid w:val="00424ED4"/>
    <w:rsid w:val="004256CA"/>
    <w:rsid w:val="00425DC1"/>
    <w:rsid w:val="0042631B"/>
    <w:rsid w:val="00426E3E"/>
    <w:rsid w:val="00426E66"/>
    <w:rsid w:val="00431C26"/>
    <w:rsid w:val="00432151"/>
    <w:rsid w:val="00432308"/>
    <w:rsid w:val="004325CD"/>
    <w:rsid w:val="00432794"/>
    <w:rsid w:val="004332D1"/>
    <w:rsid w:val="00433CB2"/>
    <w:rsid w:val="00434046"/>
    <w:rsid w:val="00434DF7"/>
    <w:rsid w:val="00435679"/>
    <w:rsid w:val="00435D35"/>
    <w:rsid w:val="004367DB"/>
    <w:rsid w:val="00436A2B"/>
    <w:rsid w:val="00436D35"/>
    <w:rsid w:val="00437305"/>
    <w:rsid w:val="00437328"/>
    <w:rsid w:val="0043751C"/>
    <w:rsid w:val="004379E2"/>
    <w:rsid w:val="00437F17"/>
    <w:rsid w:val="00440675"/>
    <w:rsid w:val="00440E0C"/>
    <w:rsid w:val="00441603"/>
    <w:rsid w:val="00441739"/>
    <w:rsid w:val="00442901"/>
    <w:rsid w:val="004429E6"/>
    <w:rsid w:val="00442AD9"/>
    <w:rsid w:val="00442E6A"/>
    <w:rsid w:val="00443820"/>
    <w:rsid w:val="0044396E"/>
    <w:rsid w:val="00443A74"/>
    <w:rsid w:val="00444A2A"/>
    <w:rsid w:val="0044501F"/>
    <w:rsid w:val="00445424"/>
    <w:rsid w:val="00446236"/>
    <w:rsid w:val="00446412"/>
    <w:rsid w:val="004464B9"/>
    <w:rsid w:val="00447570"/>
    <w:rsid w:val="00447C73"/>
    <w:rsid w:val="00447E09"/>
    <w:rsid w:val="00450075"/>
    <w:rsid w:val="00450267"/>
    <w:rsid w:val="00450766"/>
    <w:rsid w:val="00451115"/>
    <w:rsid w:val="004512CC"/>
    <w:rsid w:val="004517EE"/>
    <w:rsid w:val="00451BD3"/>
    <w:rsid w:val="00451E69"/>
    <w:rsid w:val="004524B4"/>
    <w:rsid w:val="00453530"/>
    <w:rsid w:val="00453BFC"/>
    <w:rsid w:val="00453EBC"/>
    <w:rsid w:val="00454220"/>
    <w:rsid w:val="00454793"/>
    <w:rsid w:val="00454C9B"/>
    <w:rsid w:val="00455262"/>
    <w:rsid w:val="00455276"/>
    <w:rsid w:val="004553CE"/>
    <w:rsid w:val="004558BF"/>
    <w:rsid w:val="00455B0C"/>
    <w:rsid w:val="00456474"/>
    <w:rsid w:val="00456E04"/>
    <w:rsid w:val="00457271"/>
    <w:rsid w:val="00457752"/>
    <w:rsid w:val="00457BD6"/>
    <w:rsid w:val="00457DAE"/>
    <w:rsid w:val="00457E96"/>
    <w:rsid w:val="00457F4D"/>
    <w:rsid w:val="004609C8"/>
    <w:rsid w:val="004610CF"/>
    <w:rsid w:val="0046121D"/>
    <w:rsid w:val="004612CC"/>
    <w:rsid w:val="00461C02"/>
    <w:rsid w:val="00461D4C"/>
    <w:rsid w:val="00462241"/>
    <w:rsid w:val="0046422E"/>
    <w:rsid w:val="004646F0"/>
    <w:rsid w:val="00465B17"/>
    <w:rsid w:val="0046608D"/>
    <w:rsid w:val="00466B85"/>
    <w:rsid w:val="00467326"/>
    <w:rsid w:val="004677C7"/>
    <w:rsid w:val="00467D66"/>
    <w:rsid w:val="00467DC8"/>
    <w:rsid w:val="004703A6"/>
    <w:rsid w:val="00470B06"/>
    <w:rsid w:val="00470B21"/>
    <w:rsid w:val="004710CA"/>
    <w:rsid w:val="00471542"/>
    <w:rsid w:val="004716DA"/>
    <w:rsid w:val="00471F06"/>
    <w:rsid w:val="0047325F"/>
    <w:rsid w:val="00473582"/>
    <w:rsid w:val="00473AC1"/>
    <w:rsid w:val="004741A9"/>
    <w:rsid w:val="00474F87"/>
    <w:rsid w:val="0047513C"/>
    <w:rsid w:val="00475170"/>
    <w:rsid w:val="00475F79"/>
    <w:rsid w:val="00475FA8"/>
    <w:rsid w:val="00476831"/>
    <w:rsid w:val="004769DD"/>
    <w:rsid w:val="00477008"/>
    <w:rsid w:val="0047748B"/>
    <w:rsid w:val="00477DCB"/>
    <w:rsid w:val="00480572"/>
    <w:rsid w:val="0048058A"/>
    <w:rsid w:val="0048067C"/>
    <w:rsid w:val="0048076A"/>
    <w:rsid w:val="00480965"/>
    <w:rsid w:val="00480C68"/>
    <w:rsid w:val="0048119A"/>
    <w:rsid w:val="00482862"/>
    <w:rsid w:val="0048296F"/>
    <w:rsid w:val="00482B4F"/>
    <w:rsid w:val="00482DD6"/>
    <w:rsid w:val="00484902"/>
    <w:rsid w:val="00486241"/>
    <w:rsid w:val="00486A1F"/>
    <w:rsid w:val="004871C7"/>
    <w:rsid w:val="00487318"/>
    <w:rsid w:val="0048761E"/>
    <w:rsid w:val="00487A03"/>
    <w:rsid w:val="004908FE"/>
    <w:rsid w:val="00490D80"/>
    <w:rsid w:val="0049108C"/>
    <w:rsid w:val="00492033"/>
    <w:rsid w:val="0049216C"/>
    <w:rsid w:val="0049239F"/>
    <w:rsid w:val="0049256B"/>
    <w:rsid w:val="00493B6B"/>
    <w:rsid w:val="004945CB"/>
    <w:rsid w:val="00494B3C"/>
    <w:rsid w:val="004955C1"/>
    <w:rsid w:val="004955F8"/>
    <w:rsid w:val="004960FB"/>
    <w:rsid w:val="0049644F"/>
    <w:rsid w:val="0049671F"/>
    <w:rsid w:val="00497CBB"/>
    <w:rsid w:val="004A01A4"/>
    <w:rsid w:val="004A07A5"/>
    <w:rsid w:val="004A0B25"/>
    <w:rsid w:val="004A0BA6"/>
    <w:rsid w:val="004A0E98"/>
    <w:rsid w:val="004A1319"/>
    <w:rsid w:val="004A1805"/>
    <w:rsid w:val="004A194A"/>
    <w:rsid w:val="004A22BB"/>
    <w:rsid w:val="004A2919"/>
    <w:rsid w:val="004A3A89"/>
    <w:rsid w:val="004A4625"/>
    <w:rsid w:val="004A4848"/>
    <w:rsid w:val="004A4BC2"/>
    <w:rsid w:val="004A59AD"/>
    <w:rsid w:val="004A5B90"/>
    <w:rsid w:val="004A6295"/>
    <w:rsid w:val="004A65A9"/>
    <w:rsid w:val="004A6905"/>
    <w:rsid w:val="004A691E"/>
    <w:rsid w:val="004A7592"/>
    <w:rsid w:val="004B15A6"/>
    <w:rsid w:val="004B17DB"/>
    <w:rsid w:val="004B1F0A"/>
    <w:rsid w:val="004B2139"/>
    <w:rsid w:val="004B2207"/>
    <w:rsid w:val="004B2F76"/>
    <w:rsid w:val="004B3035"/>
    <w:rsid w:val="004B33A4"/>
    <w:rsid w:val="004B45DA"/>
    <w:rsid w:val="004B46AB"/>
    <w:rsid w:val="004B47E7"/>
    <w:rsid w:val="004B4D2E"/>
    <w:rsid w:val="004B5348"/>
    <w:rsid w:val="004B6223"/>
    <w:rsid w:val="004B65EF"/>
    <w:rsid w:val="004B71DA"/>
    <w:rsid w:val="004C0DC3"/>
    <w:rsid w:val="004C2564"/>
    <w:rsid w:val="004C3001"/>
    <w:rsid w:val="004C307D"/>
    <w:rsid w:val="004C3AFF"/>
    <w:rsid w:val="004C5309"/>
    <w:rsid w:val="004C5CC0"/>
    <w:rsid w:val="004C601F"/>
    <w:rsid w:val="004C633D"/>
    <w:rsid w:val="004C683B"/>
    <w:rsid w:val="004C6B5D"/>
    <w:rsid w:val="004C6F45"/>
    <w:rsid w:val="004D0BC9"/>
    <w:rsid w:val="004D1977"/>
    <w:rsid w:val="004D1BD4"/>
    <w:rsid w:val="004D1C88"/>
    <w:rsid w:val="004D21F9"/>
    <w:rsid w:val="004D27A9"/>
    <w:rsid w:val="004D2912"/>
    <w:rsid w:val="004D35D6"/>
    <w:rsid w:val="004D364E"/>
    <w:rsid w:val="004D379F"/>
    <w:rsid w:val="004D39AD"/>
    <w:rsid w:val="004D3BA0"/>
    <w:rsid w:val="004D3D0E"/>
    <w:rsid w:val="004D44EA"/>
    <w:rsid w:val="004D4539"/>
    <w:rsid w:val="004D493D"/>
    <w:rsid w:val="004D5E53"/>
    <w:rsid w:val="004D6774"/>
    <w:rsid w:val="004D6915"/>
    <w:rsid w:val="004D6B31"/>
    <w:rsid w:val="004D708E"/>
    <w:rsid w:val="004D78D7"/>
    <w:rsid w:val="004E0484"/>
    <w:rsid w:val="004E0530"/>
    <w:rsid w:val="004E0A44"/>
    <w:rsid w:val="004E0D10"/>
    <w:rsid w:val="004E1A71"/>
    <w:rsid w:val="004E1B9E"/>
    <w:rsid w:val="004E2936"/>
    <w:rsid w:val="004E2F8D"/>
    <w:rsid w:val="004E3764"/>
    <w:rsid w:val="004E40B0"/>
    <w:rsid w:val="004E428C"/>
    <w:rsid w:val="004E4541"/>
    <w:rsid w:val="004E5A81"/>
    <w:rsid w:val="004E5BC5"/>
    <w:rsid w:val="004E65CC"/>
    <w:rsid w:val="004E6D11"/>
    <w:rsid w:val="004E7160"/>
    <w:rsid w:val="004E7AC4"/>
    <w:rsid w:val="004E7E74"/>
    <w:rsid w:val="004E7ED0"/>
    <w:rsid w:val="004F0320"/>
    <w:rsid w:val="004F0B8C"/>
    <w:rsid w:val="004F1160"/>
    <w:rsid w:val="004F11CB"/>
    <w:rsid w:val="004F16D8"/>
    <w:rsid w:val="004F2366"/>
    <w:rsid w:val="004F2BEA"/>
    <w:rsid w:val="004F3D20"/>
    <w:rsid w:val="004F41EE"/>
    <w:rsid w:val="004F47DB"/>
    <w:rsid w:val="004F64DE"/>
    <w:rsid w:val="004F68A1"/>
    <w:rsid w:val="004F6F01"/>
    <w:rsid w:val="004F74D1"/>
    <w:rsid w:val="004F7AB9"/>
    <w:rsid w:val="00500020"/>
    <w:rsid w:val="00500A82"/>
    <w:rsid w:val="00500EB6"/>
    <w:rsid w:val="005013E8"/>
    <w:rsid w:val="005013EE"/>
    <w:rsid w:val="00501731"/>
    <w:rsid w:val="005017CF"/>
    <w:rsid w:val="00501DCA"/>
    <w:rsid w:val="00502046"/>
    <w:rsid w:val="00502C25"/>
    <w:rsid w:val="00503CDC"/>
    <w:rsid w:val="00503F89"/>
    <w:rsid w:val="0050442C"/>
    <w:rsid w:val="00504572"/>
    <w:rsid w:val="00504688"/>
    <w:rsid w:val="0050548C"/>
    <w:rsid w:val="00505D29"/>
    <w:rsid w:val="0050607C"/>
    <w:rsid w:val="005062AE"/>
    <w:rsid w:val="0050652D"/>
    <w:rsid w:val="00506E3B"/>
    <w:rsid w:val="00507775"/>
    <w:rsid w:val="00507944"/>
    <w:rsid w:val="00507AB2"/>
    <w:rsid w:val="00507E22"/>
    <w:rsid w:val="00507E5F"/>
    <w:rsid w:val="00507FCB"/>
    <w:rsid w:val="00510198"/>
    <w:rsid w:val="00510C94"/>
    <w:rsid w:val="00512485"/>
    <w:rsid w:val="00513096"/>
    <w:rsid w:val="00514472"/>
    <w:rsid w:val="00514B6D"/>
    <w:rsid w:val="00514B96"/>
    <w:rsid w:val="00514BB7"/>
    <w:rsid w:val="00514CF6"/>
    <w:rsid w:val="005153A4"/>
    <w:rsid w:val="0051573A"/>
    <w:rsid w:val="00515945"/>
    <w:rsid w:val="00515B58"/>
    <w:rsid w:val="0051786E"/>
    <w:rsid w:val="0052062B"/>
    <w:rsid w:val="00520BFF"/>
    <w:rsid w:val="00520CE4"/>
    <w:rsid w:val="00520ECE"/>
    <w:rsid w:val="005211CB"/>
    <w:rsid w:val="00521330"/>
    <w:rsid w:val="005213A7"/>
    <w:rsid w:val="00521490"/>
    <w:rsid w:val="00521993"/>
    <w:rsid w:val="0052306A"/>
    <w:rsid w:val="005230A1"/>
    <w:rsid w:val="005241BF"/>
    <w:rsid w:val="0052451C"/>
    <w:rsid w:val="00524537"/>
    <w:rsid w:val="005245B8"/>
    <w:rsid w:val="005246C8"/>
    <w:rsid w:val="005251B4"/>
    <w:rsid w:val="005252A2"/>
    <w:rsid w:val="00525DE0"/>
    <w:rsid w:val="0052607C"/>
    <w:rsid w:val="005261C7"/>
    <w:rsid w:val="0052635C"/>
    <w:rsid w:val="005269E6"/>
    <w:rsid w:val="00526C53"/>
    <w:rsid w:val="00526F25"/>
    <w:rsid w:val="005271DC"/>
    <w:rsid w:val="0052791A"/>
    <w:rsid w:val="00527ACD"/>
    <w:rsid w:val="0053035B"/>
    <w:rsid w:val="005303D4"/>
    <w:rsid w:val="00530E8F"/>
    <w:rsid w:val="00531C64"/>
    <w:rsid w:val="00531FE3"/>
    <w:rsid w:val="00532198"/>
    <w:rsid w:val="00532C44"/>
    <w:rsid w:val="0053321F"/>
    <w:rsid w:val="005332CC"/>
    <w:rsid w:val="00533845"/>
    <w:rsid w:val="005339F2"/>
    <w:rsid w:val="00533C61"/>
    <w:rsid w:val="005343FE"/>
    <w:rsid w:val="005346A2"/>
    <w:rsid w:val="00534D9F"/>
    <w:rsid w:val="00534E1B"/>
    <w:rsid w:val="00535E0E"/>
    <w:rsid w:val="00535EE1"/>
    <w:rsid w:val="00536591"/>
    <w:rsid w:val="00536746"/>
    <w:rsid w:val="0053692D"/>
    <w:rsid w:val="00537286"/>
    <w:rsid w:val="00537858"/>
    <w:rsid w:val="005378E5"/>
    <w:rsid w:val="005378FC"/>
    <w:rsid w:val="00537AFC"/>
    <w:rsid w:val="00537E44"/>
    <w:rsid w:val="005403DD"/>
    <w:rsid w:val="00540C15"/>
    <w:rsid w:val="00540DAF"/>
    <w:rsid w:val="00540FA3"/>
    <w:rsid w:val="0054157B"/>
    <w:rsid w:val="005417D2"/>
    <w:rsid w:val="00541A65"/>
    <w:rsid w:val="00541C5F"/>
    <w:rsid w:val="0054246A"/>
    <w:rsid w:val="0054283E"/>
    <w:rsid w:val="00542C71"/>
    <w:rsid w:val="00542DC1"/>
    <w:rsid w:val="00543858"/>
    <w:rsid w:val="00544E68"/>
    <w:rsid w:val="00545BD3"/>
    <w:rsid w:val="00545CA6"/>
    <w:rsid w:val="00546400"/>
    <w:rsid w:val="00547AB9"/>
    <w:rsid w:val="005504A2"/>
    <w:rsid w:val="00550838"/>
    <w:rsid w:val="00550E12"/>
    <w:rsid w:val="00551F64"/>
    <w:rsid w:val="00552006"/>
    <w:rsid w:val="00552816"/>
    <w:rsid w:val="0055317F"/>
    <w:rsid w:val="005532AA"/>
    <w:rsid w:val="00553482"/>
    <w:rsid w:val="00553690"/>
    <w:rsid w:val="0055380D"/>
    <w:rsid w:val="0055444A"/>
    <w:rsid w:val="00554748"/>
    <w:rsid w:val="00554CD1"/>
    <w:rsid w:val="0055512A"/>
    <w:rsid w:val="005555A5"/>
    <w:rsid w:val="00555972"/>
    <w:rsid w:val="00555CBA"/>
    <w:rsid w:val="00555D3F"/>
    <w:rsid w:val="00556B0F"/>
    <w:rsid w:val="00557394"/>
    <w:rsid w:val="005578A2"/>
    <w:rsid w:val="005601A5"/>
    <w:rsid w:val="00560565"/>
    <w:rsid w:val="00560CF6"/>
    <w:rsid w:val="00560E7D"/>
    <w:rsid w:val="005611B4"/>
    <w:rsid w:val="005616FD"/>
    <w:rsid w:val="005618B8"/>
    <w:rsid w:val="00561EA0"/>
    <w:rsid w:val="00562096"/>
    <w:rsid w:val="005630F6"/>
    <w:rsid w:val="00563573"/>
    <w:rsid w:val="00563F93"/>
    <w:rsid w:val="005643AA"/>
    <w:rsid w:val="00564676"/>
    <w:rsid w:val="00564E5E"/>
    <w:rsid w:val="005651B5"/>
    <w:rsid w:val="005655BF"/>
    <w:rsid w:val="0056651D"/>
    <w:rsid w:val="0056663A"/>
    <w:rsid w:val="00566FAD"/>
    <w:rsid w:val="00567961"/>
    <w:rsid w:val="00567A1C"/>
    <w:rsid w:val="005701AE"/>
    <w:rsid w:val="005703C8"/>
    <w:rsid w:val="0057054D"/>
    <w:rsid w:val="00570892"/>
    <w:rsid w:val="005709FC"/>
    <w:rsid w:val="00570C37"/>
    <w:rsid w:val="00570D93"/>
    <w:rsid w:val="0057140F"/>
    <w:rsid w:val="00572E4C"/>
    <w:rsid w:val="00572FF4"/>
    <w:rsid w:val="005731D6"/>
    <w:rsid w:val="00573482"/>
    <w:rsid w:val="005739A0"/>
    <w:rsid w:val="005743CB"/>
    <w:rsid w:val="005745E0"/>
    <w:rsid w:val="00574C8A"/>
    <w:rsid w:val="00574E48"/>
    <w:rsid w:val="005757C9"/>
    <w:rsid w:val="00575BCF"/>
    <w:rsid w:val="00575DF8"/>
    <w:rsid w:val="005761B3"/>
    <w:rsid w:val="0057652C"/>
    <w:rsid w:val="00577B6A"/>
    <w:rsid w:val="00577EAE"/>
    <w:rsid w:val="00580A2B"/>
    <w:rsid w:val="00580C53"/>
    <w:rsid w:val="005812C9"/>
    <w:rsid w:val="005814C9"/>
    <w:rsid w:val="005823DE"/>
    <w:rsid w:val="00583591"/>
    <w:rsid w:val="005836E2"/>
    <w:rsid w:val="005838D6"/>
    <w:rsid w:val="00583C89"/>
    <w:rsid w:val="00583ECC"/>
    <w:rsid w:val="005844AC"/>
    <w:rsid w:val="00584753"/>
    <w:rsid w:val="005857D9"/>
    <w:rsid w:val="00585861"/>
    <w:rsid w:val="00586113"/>
    <w:rsid w:val="005865F3"/>
    <w:rsid w:val="00586832"/>
    <w:rsid w:val="00586BA4"/>
    <w:rsid w:val="00586E69"/>
    <w:rsid w:val="005905F6"/>
    <w:rsid w:val="00590720"/>
    <w:rsid w:val="00591990"/>
    <w:rsid w:val="00591F0A"/>
    <w:rsid w:val="00591F71"/>
    <w:rsid w:val="00592A74"/>
    <w:rsid w:val="00592FBF"/>
    <w:rsid w:val="005933B5"/>
    <w:rsid w:val="005936A1"/>
    <w:rsid w:val="00594352"/>
    <w:rsid w:val="00594897"/>
    <w:rsid w:val="005961D4"/>
    <w:rsid w:val="00596A82"/>
    <w:rsid w:val="00596AB3"/>
    <w:rsid w:val="00596B59"/>
    <w:rsid w:val="00596D34"/>
    <w:rsid w:val="005970DF"/>
    <w:rsid w:val="005978C6"/>
    <w:rsid w:val="00597AAB"/>
    <w:rsid w:val="00597CBF"/>
    <w:rsid w:val="005A0D49"/>
    <w:rsid w:val="005A0E9A"/>
    <w:rsid w:val="005A0F3C"/>
    <w:rsid w:val="005A150A"/>
    <w:rsid w:val="005A16EA"/>
    <w:rsid w:val="005A1A17"/>
    <w:rsid w:val="005A1FC8"/>
    <w:rsid w:val="005A209F"/>
    <w:rsid w:val="005A2406"/>
    <w:rsid w:val="005A2DAD"/>
    <w:rsid w:val="005A35F2"/>
    <w:rsid w:val="005A3B95"/>
    <w:rsid w:val="005A3D2C"/>
    <w:rsid w:val="005A3DCE"/>
    <w:rsid w:val="005A3EE8"/>
    <w:rsid w:val="005A4744"/>
    <w:rsid w:val="005A47C8"/>
    <w:rsid w:val="005A5090"/>
    <w:rsid w:val="005A695F"/>
    <w:rsid w:val="005A6BB5"/>
    <w:rsid w:val="005A779A"/>
    <w:rsid w:val="005B05EC"/>
    <w:rsid w:val="005B10B6"/>
    <w:rsid w:val="005B1707"/>
    <w:rsid w:val="005B18D7"/>
    <w:rsid w:val="005B1BC5"/>
    <w:rsid w:val="005B1E1B"/>
    <w:rsid w:val="005B1FD5"/>
    <w:rsid w:val="005B21D7"/>
    <w:rsid w:val="005B2257"/>
    <w:rsid w:val="005B29AA"/>
    <w:rsid w:val="005B2EAD"/>
    <w:rsid w:val="005B3188"/>
    <w:rsid w:val="005B360C"/>
    <w:rsid w:val="005B3F9A"/>
    <w:rsid w:val="005B435F"/>
    <w:rsid w:val="005B442F"/>
    <w:rsid w:val="005B4CF8"/>
    <w:rsid w:val="005B575F"/>
    <w:rsid w:val="005B57B8"/>
    <w:rsid w:val="005B667C"/>
    <w:rsid w:val="005B6807"/>
    <w:rsid w:val="005B7117"/>
    <w:rsid w:val="005B7490"/>
    <w:rsid w:val="005C029A"/>
    <w:rsid w:val="005C0CB1"/>
    <w:rsid w:val="005C117C"/>
    <w:rsid w:val="005C11B7"/>
    <w:rsid w:val="005C1459"/>
    <w:rsid w:val="005C16B1"/>
    <w:rsid w:val="005C1818"/>
    <w:rsid w:val="005C1E75"/>
    <w:rsid w:val="005C1F27"/>
    <w:rsid w:val="005C20A6"/>
    <w:rsid w:val="005C29BC"/>
    <w:rsid w:val="005C2C5E"/>
    <w:rsid w:val="005C2EC0"/>
    <w:rsid w:val="005C3054"/>
    <w:rsid w:val="005C3638"/>
    <w:rsid w:val="005C3A82"/>
    <w:rsid w:val="005C3D43"/>
    <w:rsid w:val="005C4809"/>
    <w:rsid w:val="005C4F04"/>
    <w:rsid w:val="005C542A"/>
    <w:rsid w:val="005C5B7D"/>
    <w:rsid w:val="005C711C"/>
    <w:rsid w:val="005C727E"/>
    <w:rsid w:val="005C75D6"/>
    <w:rsid w:val="005C7D4B"/>
    <w:rsid w:val="005D0203"/>
    <w:rsid w:val="005D05FB"/>
    <w:rsid w:val="005D06C4"/>
    <w:rsid w:val="005D08D6"/>
    <w:rsid w:val="005D0A16"/>
    <w:rsid w:val="005D0A9D"/>
    <w:rsid w:val="005D0CBD"/>
    <w:rsid w:val="005D0FD1"/>
    <w:rsid w:val="005D132E"/>
    <w:rsid w:val="005D211D"/>
    <w:rsid w:val="005D2A20"/>
    <w:rsid w:val="005D2AE4"/>
    <w:rsid w:val="005D3067"/>
    <w:rsid w:val="005D346A"/>
    <w:rsid w:val="005D4655"/>
    <w:rsid w:val="005D5400"/>
    <w:rsid w:val="005D5803"/>
    <w:rsid w:val="005D6372"/>
    <w:rsid w:val="005D6424"/>
    <w:rsid w:val="005D6467"/>
    <w:rsid w:val="005D69F0"/>
    <w:rsid w:val="005D6BDE"/>
    <w:rsid w:val="005D6E64"/>
    <w:rsid w:val="005D6EDD"/>
    <w:rsid w:val="005D7518"/>
    <w:rsid w:val="005D7741"/>
    <w:rsid w:val="005E04E0"/>
    <w:rsid w:val="005E0D54"/>
    <w:rsid w:val="005E12A5"/>
    <w:rsid w:val="005E1CDE"/>
    <w:rsid w:val="005E1D2B"/>
    <w:rsid w:val="005E1D36"/>
    <w:rsid w:val="005E2F65"/>
    <w:rsid w:val="005E31A6"/>
    <w:rsid w:val="005E37ED"/>
    <w:rsid w:val="005E3971"/>
    <w:rsid w:val="005E3BD8"/>
    <w:rsid w:val="005E3D93"/>
    <w:rsid w:val="005E3DE2"/>
    <w:rsid w:val="005E3FB1"/>
    <w:rsid w:val="005E4509"/>
    <w:rsid w:val="005E4512"/>
    <w:rsid w:val="005E50AE"/>
    <w:rsid w:val="005E5419"/>
    <w:rsid w:val="005E5780"/>
    <w:rsid w:val="005E62D3"/>
    <w:rsid w:val="005E631E"/>
    <w:rsid w:val="005E6E53"/>
    <w:rsid w:val="005E726B"/>
    <w:rsid w:val="005F0DB5"/>
    <w:rsid w:val="005F1369"/>
    <w:rsid w:val="005F1AEB"/>
    <w:rsid w:val="005F1B33"/>
    <w:rsid w:val="005F1C7F"/>
    <w:rsid w:val="005F2848"/>
    <w:rsid w:val="005F2D4B"/>
    <w:rsid w:val="005F2E2E"/>
    <w:rsid w:val="005F2E8C"/>
    <w:rsid w:val="005F3121"/>
    <w:rsid w:val="005F3466"/>
    <w:rsid w:val="005F35B1"/>
    <w:rsid w:val="005F3868"/>
    <w:rsid w:val="005F3CF0"/>
    <w:rsid w:val="005F438A"/>
    <w:rsid w:val="005F43F8"/>
    <w:rsid w:val="005F45A4"/>
    <w:rsid w:val="005F4815"/>
    <w:rsid w:val="005F5F1B"/>
    <w:rsid w:val="005F6279"/>
    <w:rsid w:val="005F6CB1"/>
    <w:rsid w:val="00600591"/>
    <w:rsid w:val="00601138"/>
    <w:rsid w:val="006018E3"/>
    <w:rsid w:val="00601CD3"/>
    <w:rsid w:val="00602243"/>
    <w:rsid w:val="006022FD"/>
    <w:rsid w:val="00602B7E"/>
    <w:rsid w:val="00603039"/>
    <w:rsid w:val="00603171"/>
    <w:rsid w:val="006035B1"/>
    <w:rsid w:val="00604819"/>
    <w:rsid w:val="006051F9"/>
    <w:rsid w:val="00606072"/>
    <w:rsid w:val="00606350"/>
    <w:rsid w:val="00606502"/>
    <w:rsid w:val="00606E72"/>
    <w:rsid w:val="006073D9"/>
    <w:rsid w:val="0060752E"/>
    <w:rsid w:val="00607C0E"/>
    <w:rsid w:val="0061017D"/>
    <w:rsid w:val="00610BA1"/>
    <w:rsid w:val="00612954"/>
    <w:rsid w:val="00612A4F"/>
    <w:rsid w:val="00612E1B"/>
    <w:rsid w:val="00612F03"/>
    <w:rsid w:val="006130DC"/>
    <w:rsid w:val="006138BB"/>
    <w:rsid w:val="0061391B"/>
    <w:rsid w:val="00613BCA"/>
    <w:rsid w:val="00613F47"/>
    <w:rsid w:val="006146A5"/>
    <w:rsid w:val="00614777"/>
    <w:rsid w:val="0061487D"/>
    <w:rsid w:val="00614AB6"/>
    <w:rsid w:val="00615565"/>
    <w:rsid w:val="006158F1"/>
    <w:rsid w:val="00615A4F"/>
    <w:rsid w:val="00615FD2"/>
    <w:rsid w:val="00616D08"/>
    <w:rsid w:val="00616EA8"/>
    <w:rsid w:val="0061796E"/>
    <w:rsid w:val="00617D48"/>
    <w:rsid w:val="00620FE0"/>
    <w:rsid w:val="00621B9D"/>
    <w:rsid w:val="00623765"/>
    <w:rsid w:val="006237F3"/>
    <w:rsid w:val="0062404A"/>
    <w:rsid w:val="00624D54"/>
    <w:rsid w:val="00625502"/>
    <w:rsid w:val="0062578B"/>
    <w:rsid w:val="00625D19"/>
    <w:rsid w:val="00625F3E"/>
    <w:rsid w:val="006261AB"/>
    <w:rsid w:val="0062673E"/>
    <w:rsid w:val="006268A5"/>
    <w:rsid w:val="00626CD2"/>
    <w:rsid w:val="00626F52"/>
    <w:rsid w:val="00626FDA"/>
    <w:rsid w:val="0063004E"/>
    <w:rsid w:val="00631EA2"/>
    <w:rsid w:val="006323EA"/>
    <w:rsid w:val="00632646"/>
    <w:rsid w:val="00632EB4"/>
    <w:rsid w:val="00633497"/>
    <w:rsid w:val="0063354C"/>
    <w:rsid w:val="00633601"/>
    <w:rsid w:val="006336BB"/>
    <w:rsid w:val="0063370B"/>
    <w:rsid w:val="00634249"/>
    <w:rsid w:val="006343D0"/>
    <w:rsid w:val="0063457E"/>
    <w:rsid w:val="00634FE6"/>
    <w:rsid w:val="006350E1"/>
    <w:rsid w:val="00635492"/>
    <w:rsid w:val="00636136"/>
    <w:rsid w:val="00637855"/>
    <w:rsid w:val="00637900"/>
    <w:rsid w:val="00637C2D"/>
    <w:rsid w:val="00640535"/>
    <w:rsid w:val="0064099E"/>
    <w:rsid w:val="00641381"/>
    <w:rsid w:val="006421F4"/>
    <w:rsid w:val="0064273B"/>
    <w:rsid w:val="0064277B"/>
    <w:rsid w:val="00642BBB"/>
    <w:rsid w:val="00643D50"/>
    <w:rsid w:val="0064543D"/>
    <w:rsid w:val="00645580"/>
    <w:rsid w:val="00646FF1"/>
    <w:rsid w:val="006472A0"/>
    <w:rsid w:val="0064779D"/>
    <w:rsid w:val="006477B6"/>
    <w:rsid w:val="00650408"/>
    <w:rsid w:val="00651A1A"/>
    <w:rsid w:val="00652583"/>
    <w:rsid w:val="006534B9"/>
    <w:rsid w:val="00653513"/>
    <w:rsid w:val="00654A31"/>
    <w:rsid w:val="00654B01"/>
    <w:rsid w:val="00655387"/>
    <w:rsid w:val="006557BD"/>
    <w:rsid w:val="00655A31"/>
    <w:rsid w:val="00655A75"/>
    <w:rsid w:val="00655B97"/>
    <w:rsid w:val="0065600D"/>
    <w:rsid w:val="00656680"/>
    <w:rsid w:val="006567EC"/>
    <w:rsid w:val="00656D44"/>
    <w:rsid w:val="00656E73"/>
    <w:rsid w:val="006570B5"/>
    <w:rsid w:val="00657634"/>
    <w:rsid w:val="00657A78"/>
    <w:rsid w:val="00657B42"/>
    <w:rsid w:val="0066106D"/>
    <w:rsid w:val="00661103"/>
    <w:rsid w:val="006617D4"/>
    <w:rsid w:val="00661C24"/>
    <w:rsid w:val="00661F59"/>
    <w:rsid w:val="006637E3"/>
    <w:rsid w:val="00663A74"/>
    <w:rsid w:val="00663BF9"/>
    <w:rsid w:val="00664349"/>
    <w:rsid w:val="006644F9"/>
    <w:rsid w:val="00664798"/>
    <w:rsid w:val="0066532E"/>
    <w:rsid w:val="006659DF"/>
    <w:rsid w:val="0066624D"/>
    <w:rsid w:val="006665C4"/>
    <w:rsid w:val="00666D02"/>
    <w:rsid w:val="00667295"/>
    <w:rsid w:val="006675BD"/>
    <w:rsid w:val="00667919"/>
    <w:rsid w:val="00667A65"/>
    <w:rsid w:val="00667B05"/>
    <w:rsid w:val="00667F88"/>
    <w:rsid w:val="00667FBF"/>
    <w:rsid w:val="006704B3"/>
    <w:rsid w:val="00670C8D"/>
    <w:rsid w:val="0067160C"/>
    <w:rsid w:val="00671AEB"/>
    <w:rsid w:val="00671F75"/>
    <w:rsid w:val="00671FC6"/>
    <w:rsid w:val="006720BC"/>
    <w:rsid w:val="00672C9F"/>
    <w:rsid w:val="00672F18"/>
    <w:rsid w:val="006733F9"/>
    <w:rsid w:val="00674CBC"/>
    <w:rsid w:val="00674F14"/>
    <w:rsid w:val="006750C5"/>
    <w:rsid w:val="00675E7E"/>
    <w:rsid w:val="0067607D"/>
    <w:rsid w:val="0067616F"/>
    <w:rsid w:val="006765C3"/>
    <w:rsid w:val="00676638"/>
    <w:rsid w:val="00676BFD"/>
    <w:rsid w:val="006805A1"/>
    <w:rsid w:val="006805DC"/>
    <w:rsid w:val="00680EEA"/>
    <w:rsid w:val="00681D3E"/>
    <w:rsid w:val="00681EE8"/>
    <w:rsid w:val="00681FD1"/>
    <w:rsid w:val="006826BD"/>
    <w:rsid w:val="006855F2"/>
    <w:rsid w:val="0068579A"/>
    <w:rsid w:val="00685867"/>
    <w:rsid w:val="00686C5C"/>
    <w:rsid w:val="00687579"/>
    <w:rsid w:val="006876D0"/>
    <w:rsid w:val="006878D3"/>
    <w:rsid w:val="00687A2B"/>
    <w:rsid w:val="00690354"/>
    <w:rsid w:val="00690EB7"/>
    <w:rsid w:val="0069118E"/>
    <w:rsid w:val="00691389"/>
    <w:rsid w:val="0069213B"/>
    <w:rsid w:val="00692A1C"/>
    <w:rsid w:val="00692AA2"/>
    <w:rsid w:val="00692E28"/>
    <w:rsid w:val="006931E8"/>
    <w:rsid w:val="006935B5"/>
    <w:rsid w:val="0069422E"/>
    <w:rsid w:val="00695309"/>
    <w:rsid w:val="006962FC"/>
    <w:rsid w:val="0069681B"/>
    <w:rsid w:val="00696820"/>
    <w:rsid w:val="00696942"/>
    <w:rsid w:val="00696D9E"/>
    <w:rsid w:val="00697284"/>
    <w:rsid w:val="00697BE0"/>
    <w:rsid w:val="00697C57"/>
    <w:rsid w:val="006A07D1"/>
    <w:rsid w:val="006A099F"/>
    <w:rsid w:val="006A0DAC"/>
    <w:rsid w:val="006A1583"/>
    <w:rsid w:val="006A19BC"/>
    <w:rsid w:val="006A19CE"/>
    <w:rsid w:val="006A1B62"/>
    <w:rsid w:val="006A1F9B"/>
    <w:rsid w:val="006A2C50"/>
    <w:rsid w:val="006A2CD4"/>
    <w:rsid w:val="006A3407"/>
    <w:rsid w:val="006A4556"/>
    <w:rsid w:val="006A46A1"/>
    <w:rsid w:val="006A4755"/>
    <w:rsid w:val="006A4A50"/>
    <w:rsid w:val="006A4F43"/>
    <w:rsid w:val="006A57DB"/>
    <w:rsid w:val="006A5F5C"/>
    <w:rsid w:val="006A75B4"/>
    <w:rsid w:val="006B016F"/>
    <w:rsid w:val="006B06AA"/>
    <w:rsid w:val="006B0FFE"/>
    <w:rsid w:val="006B2029"/>
    <w:rsid w:val="006B2885"/>
    <w:rsid w:val="006B2F7D"/>
    <w:rsid w:val="006B304B"/>
    <w:rsid w:val="006B350C"/>
    <w:rsid w:val="006B3C9B"/>
    <w:rsid w:val="006B3EAE"/>
    <w:rsid w:val="006B4079"/>
    <w:rsid w:val="006B440E"/>
    <w:rsid w:val="006B4514"/>
    <w:rsid w:val="006B5B58"/>
    <w:rsid w:val="006B5F8A"/>
    <w:rsid w:val="006B5FEF"/>
    <w:rsid w:val="006B6A52"/>
    <w:rsid w:val="006B7A31"/>
    <w:rsid w:val="006B7F77"/>
    <w:rsid w:val="006C041A"/>
    <w:rsid w:val="006C087C"/>
    <w:rsid w:val="006C1143"/>
    <w:rsid w:val="006C1208"/>
    <w:rsid w:val="006C12F1"/>
    <w:rsid w:val="006C1E61"/>
    <w:rsid w:val="006C2391"/>
    <w:rsid w:val="006C2C03"/>
    <w:rsid w:val="006C359B"/>
    <w:rsid w:val="006C35DF"/>
    <w:rsid w:val="006C3B25"/>
    <w:rsid w:val="006C3EE2"/>
    <w:rsid w:val="006C404B"/>
    <w:rsid w:val="006C4247"/>
    <w:rsid w:val="006C42F9"/>
    <w:rsid w:val="006C4C52"/>
    <w:rsid w:val="006C4DDE"/>
    <w:rsid w:val="006C570D"/>
    <w:rsid w:val="006C668D"/>
    <w:rsid w:val="006C73F1"/>
    <w:rsid w:val="006C74D6"/>
    <w:rsid w:val="006D0470"/>
    <w:rsid w:val="006D05EA"/>
    <w:rsid w:val="006D0696"/>
    <w:rsid w:val="006D1272"/>
    <w:rsid w:val="006D1781"/>
    <w:rsid w:val="006D20DC"/>
    <w:rsid w:val="006D22BC"/>
    <w:rsid w:val="006D24F0"/>
    <w:rsid w:val="006D29B8"/>
    <w:rsid w:val="006D3691"/>
    <w:rsid w:val="006D5401"/>
    <w:rsid w:val="006D65AB"/>
    <w:rsid w:val="006D7692"/>
    <w:rsid w:val="006D79D3"/>
    <w:rsid w:val="006D7A4E"/>
    <w:rsid w:val="006E0D1D"/>
    <w:rsid w:val="006E11A1"/>
    <w:rsid w:val="006E1361"/>
    <w:rsid w:val="006E163C"/>
    <w:rsid w:val="006E1FE4"/>
    <w:rsid w:val="006E2250"/>
    <w:rsid w:val="006E424D"/>
    <w:rsid w:val="006E434E"/>
    <w:rsid w:val="006E43C0"/>
    <w:rsid w:val="006E45E2"/>
    <w:rsid w:val="006E47A7"/>
    <w:rsid w:val="006E5596"/>
    <w:rsid w:val="006E572F"/>
    <w:rsid w:val="006E5F1D"/>
    <w:rsid w:val="006E6C2F"/>
    <w:rsid w:val="006E6F96"/>
    <w:rsid w:val="006E74A9"/>
    <w:rsid w:val="006F019A"/>
    <w:rsid w:val="006F0A79"/>
    <w:rsid w:val="006F1D6D"/>
    <w:rsid w:val="006F24BA"/>
    <w:rsid w:val="006F2C3A"/>
    <w:rsid w:val="006F2F04"/>
    <w:rsid w:val="006F2F68"/>
    <w:rsid w:val="006F3189"/>
    <w:rsid w:val="006F319A"/>
    <w:rsid w:val="006F34DF"/>
    <w:rsid w:val="006F39A1"/>
    <w:rsid w:val="006F3F25"/>
    <w:rsid w:val="006F3FEA"/>
    <w:rsid w:val="006F5A26"/>
    <w:rsid w:val="006F5C33"/>
    <w:rsid w:val="006F5E71"/>
    <w:rsid w:val="006F6AF2"/>
    <w:rsid w:val="006F6D4C"/>
    <w:rsid w:val="006F6E28"/>
    <w:rsid w:val="006F707F"/>
    <w:rsid w:val="006F7147"/>
    <w:rsid w:val="006F7364"/>
    <w:rsid w:val="006F7882"/>
    <w:rsid w:val="006F7AE0"/>
    <w:rsid w:val="007001D4"/>
    <w:rsid w:val="00700E59"/>
    <w:rsid w:val="00700F07"/>
    <w:rsid w:val="0070106F"/>
    <w:rsid w:val="0070156B"/>
    <w:rsid w:val="007024C8"/>
    <w:rsid w:val="00703428"/>
    <w:rsid w:val="0070366F"/>
    <w:rsid w:val="0070391C"/>
    <w:rsid w:val="00703BBF"/>
    <w:rsid w:val="00703F13"/>
    <w:rsid w:val="00704A9C"/>
    <w:rsid w:val="00704E50"/>
    <w:rsid w:val="0070570C"/>
    <w:rsid w:val="00705A96"/>
    <w:rsid w:val="0070638E"/>
    <w:rsid w:val="007066F0"/>
    <w:rsid w:val="007069A7"/>
    <w:rsid w:val="00706A73"/>
    <w:rsid w:val="00711311"/>
    <w:rsid w:val="007122D7"/>
    <w:rsid w:val="0071278C"/>
    <w:rsid w:val="00712815"/>
    <w:rsid w:val="00713474"/>
    <w:rsid w:val="00714EC7"/>
    <w:rsid w:val="00715716"/>
    <w:rsid w:val="007157F4"/>
    <w:rsid w:val="00715A04"/>
    <w:rsid w:val="00715A3A"/>
    <w:rsid w:val="00715D2D"/>
    <w:rsid w:val="00716216"/>
    <w:rsid w:val="0071687F"/>
    <w:rsid w:val="00716928"/>
    <w:rsid w:val="0071794B"/>
    <w:rsid w:val="0072021C"/>
    <w:rsid w:val="007208E5"/>
    <w:rsid w:val="00720A03"/>
    <w:rsid w:val="00720CEA"/>
    <w:rsid w:val="00721074"/>
    <w:rsid w:val="00721E0D"/>
    <w:rsid w:val="00722338"/>
    <w:rsid w:val="00722457"/>
    <w:rsid w:val="0072265C"/>
    <w:rsid w:val="00722B19"/>
    <w:rsid w:val="007232C2"/>
    <w:rsid w:val="0072347C"/>
    <w:rsid w:val="00723887"/>
    <w:rsid w:val="00724034"/>
    <w:rsid w:val="00724669"/>
    <w:rsid w:val="0072484D"/>
    <w:rsid w:val="00725007"/>
    <w:rsid w:val="00725759"/>
    <w:rsid w:val="00725905"/>
    <w:rsid w:val="00725C54"/>
    <w:rsid w:val="00725CFE"/>
    <w:rsid w:val="0072702D"/>
    <w:rsid w:val="007277F9"/>
    <w:rsid w:val="00727A3B"/>
    <w:rsid w:val="00727D83"/>
    <w:rsid w:val="00730CCF"/>
    <w:rsid w:val="007331CA"/>
    <w:rsid w:val="00733698"/>
    <w:rsid w:val="00733BF7"/>
    <w:rsid w:val="00734F29"/>
    <w:rsid w:val="007354D4"/>
    <w:rsid w:val="00735D75"/>
    <w:rsid w:val="007366F4"/>
    <w:rsid w:val="00736C26"/>
    <w:rsid w:val="00736F0B"/>
    <w:rsid w:val="0073737D"/>
    <w:rsid w:val="007375A0"/>
    <w:rsid w:val="00737615"/>
    <w:rsid w:val="007378F3"/>
    <w:rsid w:val="00737CEA"/>
    <w:rsid w:val="00737EA1"/>
    <w:rsid w:val="007400A2"/>
    <w:rsid w:val="00740DDA"/>
    <w:rsid w:val="0074160B"/>
    <w:rsid w:val="00741973"/>
    <w:rsid w:val="00741FE6"/>
    <w:rsid w:val="007429CB"/>
    <w:rsid w:val="00742FB9"/>
    <w:rsid w:val="00743BE3"/>
    <w:rsid w:val="00743EDE"/>
    <w:rsid w:val="00744499"/>
    <w:rsid w:val="0074465E"/>
    <w:rsid w:val="00744AC9"/>
    <w:rsid w:val="00745F63"/>
    <w:rsid w:val="007461CD"/>
    <w:rsid w:val="0074643C"/>
    <w:rsid w:val="00746478"/>
    <w:rsid w:val="00746724"/>
    <w:rsid w:val="00746B20"/>
    <w:rsid w:val="00746BD9"/>
    <w:rsid w:val="00747FD6"/>
    <w:rsid w:val="00750806"/>
    <w:rsid w:val="00750EFE"/>
    <w:rsid w:val="00751351"/>
    <w:rsid w:val="00751B66"/>
    <w:rsid w:val="00751C29"/>
    <w:rsid w:val="00751E67"/>
    <w:rsid w:val="00752114"/>
    <w:rsid w:val="00752727"/>
    <w:rsid w:val="00752761"/>
    <w:rsid w:val="007528AD"/>
    <w:rsid w:val="00752A03"/>
    <w:rsid w:val="00752C52"/>
    <w:rsid w:val="007542B6"/>
    <w:rsid w:val="00754999"/>
    <w:rsid w:val="0075506F"/>
    <w:rsid w:val="00756608"/>
    <w:rsid w:val="00756616"/>
    <w:rsid w:val="00760ACC"/>
    <w:rsid w:val="00760AF3"/>
    <w:rsid w:val="007613CF"/>
    <w:rsid w:val="007618CE"/>
    <w:rsid w:val="00761BC1"/>
    <w:rsid w:val="00761C40"/>
    <w:rsid w:val="00762548"/>
    <w:rsid w:val="00764299"/>
    <w:rsid w:val="007651BC"/>
    <w:rsid w:val="00765309"/>
    <w:rsid w:val="00765D64"/>
    <w:rsid w:val="0076623E"/>
    <w:rsid w:val="00767033"/>
    <w:rsid w:val="007673DD"/>
    <w:rsid w:val="00767C64"/>
    <w:rsid w:val="00770609"/>
    <w:rsid w:val="00770F74"/>
    <w:rsid w:val="00771008"/>
    <w:rsid w:val="00771B8F"/>
    <w:rsid w:val="007734A2"/>
    <w:rsid w:val="00773759"/>
    <w:rsid w:val="00773F34"/>
    <w:rsid w:val="00774587"/>
    <w:rsid w:val="0077473A"/>
    <w:rsid w:val="00774C00"/>
    <w:rsid w:val="00774EF4"/>
    <w:rsid w:val="00774F4A"/>
    <w:rsid w:val="00775300"/>
    <w:rsid w:val="00776036"/>
    <w:rsid w:val="00776DA0"/>
    <w:rsid w:val="007770E8"/>
    <w:rsid w:val="00777839"/>
    <w:rsid w:val="00777891"/>
    <w:rsid w:val="00777FB4"/>
    <w:rsid w:val="00780115"/>
    <w:rsid w:val="00780475"/>
    <w:rsid w:val="00780A16"/>
    <w:rsid w:val="00780A42"/>
    <w:rsid w:val="007813F8"/>
    <w:rsid w:val="007813FB"/>
    <w:rsid w:val="00781826"/>
    <w:rsid w:val="00781F5D"/>
    <w:rsid w:val="00783050"/>
    <w:rsid w:val="007833B0"/>
    <w:rsid w:val="007834F3"/>
    <w:rsid w:val="007848C4"/>
    <w:rsid w:val="00784A1E"/>
    <w:rsid w:val="00784BCD"/>
    <w:rsid w:val="007850D2"/>
    <w:rsid w:val="00785B3A"/>
    <w:rsid w:val="00785E83"/>
    <w:rsid w:val="007862DC"/>
    <w:rsid w:val="00786639"/>
    <w:rsid w:val="00786929"/>
    <w:rsid w:val="00787100"/>
    <w:rsid w:val="0078726F"/>
    <w:rsid w:val="00787445"/>
    <w:rsid w:val="007908D9"/>
    <w:rsid w:val="00790F01"/>
    <w:rsid w:val="007922DF"/>
    <w:rsid w:val="00792FBD"/>
    <w:rsid w:val="0079329A"/>
    <w:rsid w:val="00793A43"/>
    <w:rsid w:val="00793C7C"/>
    <w:rsid w:val="007943A1"/>
    <w:rsid w:val="00794621"/>
    <w:rsid w:val="00794A23"/>
    <w:rsid w:val="00795077"/>
    <w:rsid w:val="0079558C"/>
    <w:rsid w:val="00795790"/>
    <w:rsid w:val="007958AC"/>
    <w:rsid w:val="00796C0A"/>
    <w:rsid w:val="00797E74"/>
    <w:rsid w:val="007A00B1"/>
    <w:rsid w:val="007A08B2"/>
    <w:rsid w:val="007A0E37"/>
    <w:rsid w:val="007A10E2"/>
    <w:rsid w:val="007A1167"/>
    <w:rsid w:val="007A141F"/>
    <w:rsid w:val="007A1F0B"/>
    <w:rsid w:val="007A218C"/>
    <w:rsid w:val="007A259A"/>
    <w:rsid w:val="007A2D95"/>
    <w:rsid w:val="007A3074"/>
    <w:rsid w:val="007A4F4D"/>
    <w:rsid w:val="007A52D9"/>
    <w:rsid w:val="007A54AF"/>
    <w:rsid w:val="007A57AF"/>
    <w:rsid w:val="007A5C2B"/>
    <w:rsid w:val="007A69E0"/>
    <w:rsid w:val="007A6F8A"/>
    <w:rsid w:val="007A7118"/>
    <w:rsid w:val="007A7293"/>
    <w:rsid w:val="007B0585"/>
    <w:rsid w:val="007B0596"/>
    <w:rsid w:val="007B08CD"/>
    <w:rsid w:val="007B08EF"/>
    <w:rsid w:val="007B1564"/>
    <w:rsid w:val="007B234A"/>
    <w:rsid w:val="007B326D"/>
    <w:rsid w:val="007B358F"/>
    <w:rsid w:val="007B41BE"/>
    <w:rsid w:val="007B4320"/>
    <w:rsid w:val="007B4B98"/>
    <w:rsid w:val="007B53AC"/>
    <w:rsid w:val="007B543B"/>
    <w:rsid w:val="007B5BC8"/>
    <w:rsid w:val="007B6124"/>
    <w:rsid w:val="007B63B4"/>
    <w:rsid w:val="007B63C1"/>
    <w:rsid w:val="007B6957"/>
    <w:rsid w:val="007B70A8"/>
    <w:rsid w:val="007B71E2"/>
    <w:rsid w:val="007B766F"/>
    <w:rsid w:val="007B7CCE"/>
    <w:rsid w:val="007B7EA3"/>
    <w:rsid w:val="007C0BC3"/>
    <w:rsid w:val="007C10E9"/>
    <w:rsid w:val="007C1236"/>
    <w:rsid w:val="007C1F20"/>
    <w:rsid w:val="007C2378"/>
    <w:rsid w:val="007C25A9"/>
    <w:rsid w:val="007C26B7"/>
    <w:rsid w:val="007C3498"/>
    <w:rsid w:val="007C349A"/>
    <w:rsid w:val="007C3764"/>
    <w:rsid w:val="007C3A55"/>
    <w:rsid w:val="007C3C9B"/>
    <w:rsid w:val="007C3E7D"/>
    <w:rsid w:val="007C3EC1"/>
    <w:rsid w:val="007C441F"/>
    <w:rsid w:val="007C4734"/>
    <w:rsid w:val="007C47AE"/>
    <w:rsid w:val="007C4E4E"/>
    <w:rsid w:val="007C5BB1"/>
    <w:rsid w:val="007C5F3F"/>
    <w:rsid w:val="007C688C"/>
    <w:rsid w:val="007C6F01"/>
    <w:rsid w:val="007C709A"/>
    <w:rsid w:val="007C75B5"/>
    <w:rsid w:val="007C75E6"/>
    <w:rsid w:val="007C770F"/>
    <w:rsid w:val="007C7725"/>
    <w:rsid w:val="007C7792"/>
    <w:rsid w:val="007C77C7"/>
    <w:rsid w:val="007C78A6"/>
    <w:rsid w:val="007D1048"/>
    <w:rsid w:val="007D1A7C"/>
    <w:rsid w:val="007D1C7F"/>
    <w:rsid w:val="007D21EC"/>
    <w:rsid w:val="007D2300"/>
    <w:rsid w:val="007D251E"/>
    <w:rsid w:val="007D438E"/>
    <w:rsid w:val="007D5087"/>
    <w:rsid w:val="007D5F22"/>
    <w:rsid w:val="007D6E23"/>
    <w:rsid w:val="007D7712"/>
    <w:rsid w:val="007E057A"/>
    <w:rsid w:val="007E15D4"/>
    <w:rsid w:val="007E185C"/>
    <w:rsid w:val="007E1CF8"/>
    <w:rsid w:val="007E223D"/>
    <w:rsid w:val="007E2603"/>
    <w:rsid w:val="007E281B"/>
    <w:rsid w:val="007E3061"/>
    <w:rsid w:val="007E4306"/>
    <w:rsid w:val="007E430F"/>
    <w:rsid w:val="007E4515"/>
    <w:rsid w:val="007E47F7"/>
    <w:rsid w:val="007E480E"/>
    <w:rsid w:val="007E4B5E"/>
    <w:rsid w:val="007E4B85"/>
    <w:rsid w:val="007E4BF6"/>
    <w:rsid w:val="007E6337"/>
    <w:rsid w:val="007E6393"/>
    <w:rsid w:val="007E672F"/>
    <w:rsid w:val="007E70CB"/>
    <w:rsid w:val="007E7821"/>
    <w:rsid w:val="007E7970"/>
    <w:rsid w:val="007E7D5E"/>
    <w:rsid w:val="007E7FDC"/>
    <w:rsid w:val="007F009A"/>
    <w:rsid w:val="007F0A56"/>
    <w:rsid w:val="007F0DB9"/>
    <w:rsid w:val="007F102A"/>
    <w:rsid w:val="007F196C"/>
    <w:rsid w:val="007F2C96"/>
    <w:rsid w:val="007F30FF"/>
    <w:rsid w:val="007F3155"/>
    <w:rsid w:val="007F339D"/>
    <w:rsid w:val="007F3E7A"/>
    <w:rsid w:val="007F3F49"/>
    <w:rsid w:val="007F4121"/>
    <w:rsid w:val="007F43E2"/>
    <w:rsid w:val="007F4702"/>
    <w:rsid w:val="007F5254"/>
    <w:rsid w:val="007F55A4"/>
    <w:rsid w:val="007F5790"/>
    <w:rsid w:val="007F602D"/>
    <w:rsid w:val="007F6088"/>
    <w:rsid w:val="007F68B7"/>
    <w:rsid w:val="007F6A13"/>
    <w:rsid w:val="007F789D"/>
    <w:rsid w:val="007F7941"/>
    <w:rsid w:val="007F79E5"/>
    <w:rsid w:val="007F7A24"/>
    <w:rsid w:val="007F7BEC"/>
    <w:rsid w:val="008003F9"/>
    <w:rsid w:val="008009F1"/>
    <w:rsid w:val="00800A27"/>
    <w:rsid w:val="00801155"/>
    <w:rsid w:val="008016E0"/>
    <w:rsid w:val="00801988"/>
    <w:rsid w:val="008022DE"/>
    <w:rsid w:val="00802771"/>
    <w:rsid w:val="00802B24"/>
    <w:rsid w:val="00802F51"/>
    <w:rsid w:val="00802F9F"/>
    <w:rsid w:val="0080381E"/>
    <w:rsid w:val="0080407B"/>
    <w:rsid w:val="008041FD"/>
    <w:rsid w:val="00805620"/>
    <w:rsid w:val="0080578B"/>
    <w:rsid w:val="00806368"/>
    <w:rsid w:val="00806F47"/>
    <w:rsid w:val="008072DA"/>
    <w:rsid w:val="008075DB"/>
    <w:rsid w:val="008109C0"/>
    <w:rsid w:val="00810D1E"/>
    <w:rsid w:val="008110E3"/>
    <w:rsid w:val="0081124B"/>
    <w:rsid w:val="00811349"/>
    <w:rsid w:val="008119EF"/>
    <w:rsid w:val="00811E78"/>
    <w:rsid w:val="0081251C"/>
    <w:rsid w:val="00813024"/>
    <w:rsid w:val="008138D5"/>
    <w:rsid w:val="0081435D"/>
    <w:rsid w:val="00814FE4"/>
    <w:rsid w:val="00815030"/>
    <w:rsid w:val="00815FBC"/>
    <w:rsid w:val="00816844"/>
    <w:rsid w:val="00816EE5"/>
    <w:rsid w:val="0082204E"/>
    <w:rsid w:val="00822105"/>
    <w:rsid w:val="008222CF"/>
    <w:rsid w:val="00822639"/>
    <w:rsid w:val="00822B8B"/>
    <w:rsid w:val="00822F83"/>
    <w:rsid w:val="00823248"/>
    <w:rsid w:val="00825F24"/>
    <w:rsid w:val="008264CE"/>
    <w:rsid w:val="008266FB"/>
    <w:rsid w:val="00826B6A"/>
    <w:rsid w:val="00827290"/>
    <w:rsid w:val="008277A3"/>
    <w:rsid w:val="00827EDB"/>
    <w:rsid w:val="0083036D"/>
    <w:rsid w:val="00830977"/>
    <w:rsid w:val="00830C53"/>
    <w:rsid w:val="00831330"/>
    <w:rsid w:val="00831499"/>
    <w:rsid w:val="00831795"/>
    <w:rsid w:val="008318EC"/>
    <w:rsid w:val="00832900"/>
    <w:rsid w:val="00832979"/>
    <w:rsid w:val="0083307E"/>
    <w:rsid w:val="008330DD"/>
    <w:rsid w:val="00833449"/>
    <w:rsid w:val="008344AA"/>
    <w:rsid w:val="00834645"/>
    <w:rsid w:val="00834B1A"/>
    <w:rsid w:val="00835463"/>
    <w:rsid w:val="00835752"/>
    <w:rsid w:val="00836058"/>
    <w:rsid w:val="008362F5"/>
    <w:rsid w:val="00836FC5"/>
    <w:rsid w:val="00837386"/>
    <w:rsid w:val="00837510"/>
    <w:rsid w:val="00840039"/>
    <w:rsid w:val="00840807"/>
    <w:rsid w:val="0084220B"/>
    <w:rsid w:val="00842344"/>
    <w:rsid w:val="008423D0"/>
    <w:rsid w:val="00842799"/>
    <w:rsid w:val="00843028"/>
    <w:rsid w:val="0084416E"/>
    <w:rsid w:val="008455BB"/>
    <w:rsid w:val="008457D5"/>
    <w:rsid w:val="008457F7"/>
    <w:rsid w:val="00845AAB"/>
    <w:rsid w:val="00845BBC"/>
    <w:rsid w:val="00845BE6"/>
    <w:rsid w:val="00845FB9"/>
    <w:rsid w:val="00846305"/>
    <w:rsid w:val="00846629"/>
    <w:rsid w:val="00847B5C"/>
    <w:rsid w:val="00847CF2"/>
    <w:rsid w:val="008505A1"/>
    <w:rsid w:val="008509E6"/>
    <w:rsid w:val="008518B0"/>
    <w:rsid w:val="00851E1A"/>
    <w:rsid w:val="00851E97"/>
    <w:rsid w:val="00852146"/>
    <w:rsid w:val="00852677"/>
    <w:rsid w:val="00852760"/>
    <w:rsid w:val="008539FA"/>
    <w:rsid w:val="008549F6"/>
    <w:rsid w:val="00854ED6"/>
    <w:rsid w:val="00855D31"/>
    <w:rsid w:val="008563AA"/>
    <w:rsid w:val="008566F1"/>
    <w:rsid w:val="00856AFB"/>
    <w:rsid w:val="00857F19"/>
    <w:rsid w:val="00857FBB"/>
    <w:rsid w:val="00860292"/>
    <w:rsid w:val="00860E42"/>
    <w:rsid w:val="0086208A"/>
    <w:rsid w:val="00862F46"/>
    <w:rsid w:val="008639AB"/>
    <w:rsid w:val="00863A7F"/>
    <w:rsid w:val="0086475A"/>
    <w:rsid w:val="00864A97"/>
    <w:rsid w:val="00864BB6"/>
    <w:rsid w:val="00865494"/>
    <w:rsid w:val="008657C7"/>
    <w:rsid w:val="0086628E"/>
    <w:rsid w:val="008674B7"/>
    <w:rsid w:val="00870221"/>
    <w:rsid w:val="00870660"/>
    <w:rsid w:val="00870695"/>
    <w:rsid w:val="00870C29"/>
    <w:rsid w:val="00870DDC"/>
    <w:rsid w:val="008721F4"/>
    <w:rsid w:val="00872518"/>
    <w:rsid w:val="0087321E"/>
    <w:rsid w:val="00873304"/>
    <w:rsid w:val="00873E13"/>
    <w:rsid w:val="00874642"/>
    <w:rsid w:val="00874992"/>
    <w:rsid w:val="008753C5"/>
    <w:rsid w:val="0087542F"/>
    <w:rsid w:val="00875646"/>
    <w:rsid w:val="00875842"/>
    <w:rsid w:val="0087642E"/>
    <w:rsid w:val="008805E6"/>
    <w:rsid w:val="0088079E"/>
    <w:rsid w:val="00880EFA"/>
    <w:rsid w:val="0088106B"/>
    <w:rsid w:val="00881692"/>
    <w:rsid w:val="008819BF"/>
    <w:rsid w:val="0088233D"/>
    <w:rsid w:val="00882506"/>
    <w:rsid w:val="00882595"/>
    <w:rsid w:val="00883803"/>
    <w:rsid w:val="00883AD2"/>
    <w:rsid w:val="00883DD8"/>
    <w:rsid w:val="008844A1"/>
    <w:rsid w:val="00884570"/>
    <w:rsid w:val="008847CF"/>
    <w:rsid w:val="008848C6"/>
    <w:rsid w:val="00884BC5"/>
    <w:rsid w:val="00884FE8"/>
    <w:rsid w:val="00885FF7"/>
    <w:rsid w:val="0088685B"/>
    <w:rsid w:val="008868EC"/>
    <w:rsid w:val="0088695B"/>
    <w:rsid w:val="00887169"/>
    <w:rsid w:val="00890591"/>
    <w:rsid w:val="0089066E"/>
    <w:rsid w:val="00890CE4"/>
    <w:rsid w:val="008911AF"/>
    <w:rsid w:val="008919BD"/>
    <w:rsid w:val="0089218C"/>
    <w:rsid w:val="008931EB"/>
    <w:rsid w:val="00893C9B"/>
    <w:rsid w:val="00893CEE"/>
    <w:rsid w:val="008957AF"/>
    <w:rsid w:val="00895851"/>
    <w:rsid w:val="008965A5"/>
    <w:rsid w:val="0089662B"/>
    <w:rsid w:val="008966F0"/>
    <w:rsid w:val="00896A2C"/>
    <w:rsid w:val="00897597"/>
    <w:rsid w:val="0089792E"/>
    <w:rsid w:val="008A0B0A"/>
    <w:rsid w:val="008A0D70"/>
    <w:rsid w:val="008A1535"/>
    <w:rsid w:val="008A158C"/>
    <w:rsid w:val="008A1632"/>
    <w:rsid w:val="008A20EF"/>
    <w:rsid w:val="008A2D73"/>
    <w:rsid w:val="008A35F3"/>
    <w:rsid w:val="008A4EBE"/>
    <w:rsid w:val="008A5CBC"/>
    <w:rsid w:val="008A69F6"/>
    <w:rsid w:val="008A6AAA"/>
    <w:rsid w:val="008A6AEF"/>
    <w:rsid w:val="008A6BE2"/>
    <w:rsid w:val="008A6EC0"/>
    <w:rsid w:val="008A7CF6"/>
    <w:rsid w:val="008A7DF4"/>
    <w:rsid w:val="008B02C1"/>
    <w:rsid w:val="008B03A6"/>
    <w:rsid w:val="008B0802"/>
    <w:rsid w:val="008B08CE"/>
    <w:rsid w:val="008B113D"/>
    <w:rsid w:val="008B1243"/>
    <w:rsid w:val="008B3CE9"/>
    <w:rsid w:val="008B4B4B"/>
    <w:rsid w:val="008B4BA0"/>
    <w:rsid w:val="008B54F8"/>
    <w:rsid w:val="008B6DF8"/>
    <w:rsid w:val="008B7D2F"/>
    <w:rsid w:val="008C0203"/>
    <w:rsid w:val="008C06EF"/>
    <w:rsid w:val="008C0899"/>
    <w:rsid w:val="008C09C1"/>
    <w:rsid w:val="008C0AC9"/>
    <w:rsid w:val="008C0B06"/>
    <w:rsid w:val="008C0E23"/>
    <w:rsid w:val="008C11AB"/>
    <w:rsid w:val="008C1384"/>
    <w:rsid w:val="008C1B0A"/>
    <w:rsid w:val="008C1FFC"/>
    <w:rsid w:val="008C2FFB"/>
    <w:rsid w:val="008C453B"/>
    <w:rsid w:val="008C4EE9"/>
    <w:rsid w:val="008C553C"/>
    <w:rsid w:val="008C582F"/>
    <w:rsid w:val="008C5A08"/>
    <w:rsid w:val="008C6FC6"/>
    <w:rsid w:val="008C70C0"/>
    <w:rsid w:val="008C7ECD"/>
    <w:rsid w:val="008D08BF"/>
    <w:rsid w:val="008D0EB5"/>
    <w:rsid w:val="008D102E"/>
    <w:rsid w:val="008D131D"/>
    <w:rsid w:val="008D155D"/>
    <w:rsid w:val="008D1E54"/>
    <w:rsid w:val="008D28A2"/>
    <w:rsid w:val="008D2BE3"/>
    <w:rsid w:val="008D2E71"/>
    <w:rsid w:val="008D37D5"/>
    <w:rsid w:val="008D3862"/>
    <w:rsid w:val="008D3EF6"/>
    <w:rsid w:val="008D43A3"/>
    <w:rsid w:val="008D47A9"/>
    <w:rsid w:val="008D4AAD"/>
    <w:rsid w:val="008D5182"/>
    <w:rsid w:val="008D5460"/>
    <w:rsid w:val="008D6257"/>
    <w:rsid w:val="008D62BC"/>
    <w:rsid w:val="008D6C72"/>
    <w:rsid w:val="008D706B"/>
    <w:rsid w:val="008D7081"/>
    <w:rsid w:val="008E00EF"/>
    <w:rsid w:val="008E0694"/>
    <w:rsid w:val="008E0872"/>
    <w:rsid w:val="008E09E9"/>
    <w:rsid w:val="008E0D3C"/>
    <w:rsid w:val="008E11B8"/>
    <w:rsid w:val="008E1524"/>
    <w:rsid w:val="008E15C6"/>
    <w:rsid w:val="008E1A1A"/>
    <w:rsid w:val="008E1A5E"/>
    <w:rsid w:val="008E27FF"/>
    <w:rsid w:val="008E2976"/>
    <w:rsid w:val="008E39FE"/>
    <w:rsid w:val="008E464F"/>
    <w:rsid w:val="008E4806"/>
    <w:rsid w:val="008E4D09"/>
    <w:rsid w:val="008E4D7E"/>
    <w:rsid w:val="008E4E80"/>
    <w:rsid w:val="008E561D"/>
    <w:rsid w:val="008E6D1F"/>
    <w:rsid w:val="008E6FEF"/>
    <w:rsid w:val="008E7498"/>
    <w:rsid w:val="008E7D49"/>
    <w:rsid w:val="008F02CC"/>
    <w:rsid w:val="008F12B9"/>
    <w:rsid w:val="008F25F0"/>
    <w:rsid w:val="008F2D74"/>
    <w:rsid w:val="008F3513"/>
    <w:rsid w:val="008F372D"/>
    <w:rsid w:val="008F4648"/>
    <w:rsid w:val="008F4706"/>
    <w:rsid w:val="008F4AE6"/>
    <w:rsid w:val="008F5B36"/>
    <w:rsid w:val="008F5E80"/>
    <w:rsid w:val="008F6726"/>
    <w:rsid w:val="008F6ADD"/>
    <w:rsid w:val="008F6D31"/>
    <w:rsid w:val="008F7245"/>
    <w:rsid w:val="008F7557"/>
    <w:rsid w:val="008F761E"/>
    <w:rsid w:val="008F7759"/>
    <w:rsid w:val="008F7BC3"/>
    <w:rsid w:val="00900232"/>
    <w:rsid w:val="00900404"/>
    <w:rsid w:val="009004D3"/>
    <w:rsid w:val="00900D34"/>
    <w:rsid w:val="00900F85"/>
    <w:rsid w:val="009012CC"/>
    <w:rsid w:val="0090138A"/>
    <w:rsid w:val="0090171E"/>
    <w:rsid w:val="0090190F"/>
    <w:rsid w:val="00902254"/>
    <w:rsid w:val="00902862"/>
    <w:rsid w:val="00902FE0"/>
    <w:rsid w:val="00903325"/>
    <w:rsid w:val="0090376C"/>
    <w:rsid w:val="00904393"/>
    <w:rsid w:val="009045F0"/>
    <w:rsid w:val="00905689"/>
    <w:rsid w:val="009057C0"/>
    <w:rsid w:val="009058E2"/>
    <w:rsid w:val="00905E62"/>
    <w:rsid w:val="0090630A"/>
    <w:rsid w:val="00906821"/>
    <w:rsid w:val="00907799"/>
    <w:rsid w:val="00907AB2"/>
    <w:rsid w:val="00910958"/>
    <w:rsid w:val="00910B70"/>
    <w:rsid w:val="00911EB1"/>
    <w:rsid w:val="00912D10"/>
    <w:rsid w:val="00913259"/>
    <w:rsid w:val="0091462B"/>
    <w:rsid w:val="009148B7"/>
    <w:rsid w:val="00914B34"/>
    <w:rsid w:val="0091588C"/>
    <w:rsid w:val="009174EB"/>
    <w:rsid w:val="009179D6"/>
    <w:rsid w:val="00917D22"/>
    <w:rsid w:val="00917E7B"/>
    <w:rsid w:val="00917F3D"/>
    <w:rsid w:val="0092030A"/>
    <w:rsid w:val="00921AA9"/>
    <w:rsid w:val="00922AC6"/>
    <w:rsid w:val="0092310B"/>
    <w:rsid w:val="00923408"/>
    <w:rsid w:val="0092381D"/>
    <w:rsid w:val="009238F1"/>
    <w:rsid w:val="0092397A"/>
    <w:rsid w:val="00924EA4"/>
    <w:rsid w:val="00925087"/>
    <w:rsid w:val="009250CC"/>
    <w:rsid w:val="009257D5"/>
    <w:rsid w:val="00925BA6"/>
    <w:rsid w:val="0092619E"/>
    <w:rsid w:val="009261D6"/>
    <w:rsid w:val="009262C9"/>
    <w:rsid w:val="009266C6"/>
    <w:rsid w:val="00926AC1"/>
    <w:rsid w:val="00926E15"/>
    <w:rsid w:val="00927109"/>
    <w:rsid w:val="0092716C"/>
    <w:rsid w:val="00927A81"/>
    <w:rsid w:val="00931219"/>
    <w:rsid w:val="009325C0"/>
    <w:rsid w:val="0093270E"/>
    <w:rsid w:val="00932A32"/>
    <w:rsid w:val="00932E34"/>
    <w:rsid w:val="009331A6"/>
    <w:rsid w:val="009335F8"/>
    <w:rsid w:val="009336D6"/>
    <w:rsid w:val="009340B3"/>
    <w:rsid w:val="009340FB"/>
    <w:rsid w:val="00934418"/>
    <w:rsid w:val="00934CE7"/>
    <w:rsid w:val="0093653C"/>
    <w:rsid w:val="00936E16"/>
    <w:rsid w:val="00936FD7"/>
    <w:rsid w:val="00937482"/>
    <w:rsid w:val="009377B5"/>
    <w:rsid w:val="00937A90"/>
    <w:rsid w:val="00940300"/>
    <w:rsid w:val="0094049E"/>
    <w:rsid w:val="00940DAC"/>
    <w:rsid w:val="00940F6B"/>
    <w:rsid w:val="009414CF"/>
    <w:rsid w:val="009415DA"/>
    <w:rsid w:val="00941B2E"/>
    <w:rsid w:val="00942349"/>
    <w:rsid w:val="009423BE"/>
    <w:rsid w:val="009425DA"/>
    <w:rsid w:val="009427D0"/>
    <w:rsid w:val="00942B1F"/>
    <w:rsid w:val="009439C6"/>
    <w:rsid w:val="00943C66"/>
    <w:rsid w:val="009446AE"/>
    <w:rsid w:val="009448E6"/>
    <w:rsid w:val="00944970"/>
    <w:rsid w:val="00945F3A"/>
    <w:rsid w:val="00946941"/>
    <w:rsid w:val="00946F8F"/>
    <w:rsid w:val="00947192"/>
    <w:rsid w:val="00947652"/>
    <w:rsid w:val="009478B5"/>
    <w:rsid w:val="00951DEE"/>
    <w:rsid w:val="009521DC"/>
    <w:rsid w:val="009523B3"/>
    <w:rsid w:val="009527B3"/>
    <w:rsid w:val="00952B87"/>
    <w:rsid w:val="00952F4A"/>
    <w:rsid w:val="009538E5"/>
    <w:rsid w:val="009539F2"/>
    <w:rsid w:val="009546F7"/>
    <w:rsid w:val="0095583C"/>
    <w:rsid w:val="00955A6E"/>
    <w:rsid w:val="00956142"/>
    <w:rsid w:val="0095643D"/>
    <w:rsid w:val="00956C2F"/>
    <w:rsid w:val="0096072C"/>
    <w:rsid w:val="009609D2"/>
    <w:rsid w:val="00960C88"/>
    <w:rsid w:val="00960DD9"/>
    <w:rsid w:val="00960DDC"/>
    <w:rsid w:val="009610C0"/>
    <w:rsid w:val="00961F6D"/>
    <w:rsid w:val="00962531"/>
    <w:rsid w:val="0096296F"/>
    <w:rsid w:val="00962B8C"/>
    <w:rsid w:val="00962E5F"/>
    <w:rsid w:val="009639C0"/>
    <w:rsid w:val="00963BCD"/>
    <w:rsid w:val="00964817"/>
    <w:rsid w:val="00967252"/>
    <w:rsid w:val="00967277"/>
    <w:rsid w:val="009679D8"/>
    <w:rsid w:val="009702D1"/>
    <w:rsid w:val="00971B5A"/>
    <w:rsid w:val="00971C78"/>
    <w:rsid w:val="00972FB8"/>
    <w:rsid w:val="00972FFC"/>
    <w:rsid w:val="00973358"/>
    <w:rsid w:val="00973677"/>
    <w:rsid w:val="00974629"/>
    <w:rsid w:val="00974BAD"/>
    <w:rsid w:val="00974C50"/>
    <w:rsid w:val="00975877"/>
    <w:rsid w:val="0097594B"/>
    <w:rsid w:val="00976102"/>
    <w:rsid w:val="0097694F"/>
    <w:rsid w:val="00976C5A"/>
    <w:rsid w:val="00977713"/>
    <w:rsid w:val="00977943"/>
    <w:rsid w:val="009806C5"/>
    <w:rsid w:val="00981752"/>
    <w:rsid w:val="0098373A"/>
    <w:rsid w:val="00984CA2"/>
    <w:rsid w:val="00984EA6"/>
    <w:rsid w:val="00984FBC"/>
    <w:rsid w:val="0098510C"/>
    <w:rsid w:val="00985C98"/>
    <w:rsid w:val="00985E04"/>
    <w:rsid w:val="0098635A"/>
    <w:rsid w:val="00986C04"/>
    <w:rsid w:val="00986C2E"/>
    <w:rsid w:val="00987335"/>
    <w:rsid w:val="009873D6"/>
    <w:rsid w:val="00987E4F"/>
    <w:rsid w:val="00990114"/>
    <w:rsid w:val="009903F2"/>
    <w:rsid w:val="009907B3"/>
    <w:rsid w:val="009913C7"/>
    <w:rsid w:val="009923DE"/>
    <w:rsid w:val="00992478"/>
    <w:rsid w:val="009926DD"/>
    <w:rsid w:val="009930B7"/>
    <w:rsid w:val="00993512"/>
    <w:rsid w:val="00993BFD"/>
    <w:rsid w:val="00993DA5"/>
    <w:rsid w:val="009943AB"/>
    <w:rsid w:val="00994511"/>
    <w:rsid w:val="00994665"/>
    <w:rsid w:val="00994954"/>
    <w:rsid w:val="00994ADC"/>
    <w:rsid w:val="00994E51"/>
    <w:rsid w:val="009952C8"/>
    <w:rsid w:val="00995350"/>
    <w:rsid w:val="009953B5"/>
    <w:rsid w:val="00995940"/>
    <w:rsid w:val="009959D6"/>
    <w:rsid w:val="00995A55"/>
    <w:rsid w:val="0099662A"/>
    <w:rsid w:val="00996718"/>
    <w:rsid w:val="0099797F"/>
    <w:rsid w:val="009A0A2C"/>
    <w:rsid w:val="009A0BC0"/>
    <w:rsid w:val="009A0FF1"/>
    <w:rsid w:val="009A1EBC"/>
    <w:rsid w:val="009A2042"/>
    <w:rsid w:val="009A25AA"/>
    <w:rsid w:val="009A3EFC"/>
    <w:rsid w:val="009A41E9"/>
    <w:rsid w:val="009A4746"/>
    <w:rsid w:val="009A4916"/>
    <w:rsid w:val="009A4A36"/>
    <w:rsid w:val="009A5BFE"/>
    <w:rsid w:val="009A6B0F"/>
    <w:rsid w:val="009A749D"/>
    <w:rsid w:val="009A7D28"/>
    <w:rsid w:val="009B0547"/>
    <w:rsid w:val="009B0BF5"/>
    <w:rsid w:val="009B10E2"/>
    <w:rsid w:val="009B13FB"/>
    <w:rsid w:val="009B1B09"/>
    <w:rsid w:val="009B1CAC"/>
    <w:rsid w:val="009B1D58"/>
    <w:rsid w:val="009B1F70"/>
    <w:rsid w:val="009B2381"/>
    <w:rsid w:val="009B264A"/>
    <w:rsid w:val="009B2DF3"/>
    <w:rsid w:val="009B2FAB"/>
    <w:rsid w:val="009B3AB1"/>
    <w:rsid w:val="009B4379"/>
    <w:rsid w:val="009B55F1"/>
    <w:rsid w:val="009B5D12"/>
    <w:rsid w:val="009B5E49"/>
    <w:rsid w:val="009B6D1F"/>
    <w:rsid w:val="009B77CC"/>
    <w:rsid w:val="009C0091"/>
    <w:rsid w:val="009C052D"/>
    <w:rsid w:val="009C09FF"/>
    <w:rsid w:val="009C0CA3"/>
    <w:rsid w:val="009C1125"/>
    <w:rsid w:val="009C14A4"/>
    <w:rsid w:val="009C1AD9"/>
    <w:rsid w:val="009C1B62"/>
    <w:rsid w:val="009C1F41"/>
    <w:rsid w:val="009C20BF"/>
    <w:rsid w:val="009C267B"/>
    <w:rsid w:val="009C29DE"/>
    <w:rsid w:val="009C2E33"/>
    <w:rsid w:val="009C308A"/>
    <w:rsid w:val="009C3B74"/>
    <w:rsid w:val="009C5743"/>
    <w:rsid w:val="009C69F4"/>
    <w:rsid w:val="009C740D"/>
    <w:rsid w:val="009C74D6"/>
    <w:rsid w:val="009C7903"/>
    <w:rsid w:val="009D0456"/>
    <w:rsid w:val="009D0E70"/>
    <w:rsid w:val="009D1338"/>
    <w:rsid w:val="009D1E48"/>
    <w:rsid w:val="009D2257"/>
    <w:rsid w:val="009D34AF"/>
    <w:rsid w:val="009D3BB0"/>
    <w:rsid w:val="009D3C71"/>
    <w:rsid w:val="009D40C5"/>
    <w:rsid w:val="009D4B2D"/>
    <w:rsid w:val="009D50CE"/>
    <w:rsid w:val="009D55B4"/>
    <w:rsid w:val="009D723A"/>
    <w:rsid w:val="009E03F9"/>
    <w:rsid w:val="009E24B3"/>
    <w:rsid w:val="009E33F2"/>
    <w:rsid w:val="009E392A"/>
    <w:rsid w:val="009E3EF9"/>
    <w:rsid w:val="009E4003"/>
    <w:rsid w:val="009E4238"/>
    <w:rsid w:val="009E54D0"/>
    <w:rsid w:val="009E58B1"/>
    <w:rsid w:val="009E5DA5"/>
    <w:rsid w:val="009E77B5"/>
    <w:rsid w:val="009E7E66"/>
    <w:rsid w:val="009E7E69"/>
    <w:rsid w:val="009F01FD"/>
    <w:rsid w:val="009F02B7"/>
    <w:rsid w:val="009F07D3"/>
    <w:rsid w:val="009F0A87"/>
    <w:rsid w:val="009F11BC"/>
    <w:rsid w:val="009F18C3"/>
    <w:rsid w:val="009F2AD1"/>
    <w:rsid w:val="009F37B7"/>
    <w:rsid w:val="009F4205"/>
    <w:rsid w:val="009F4338"/>
    <w:rsid w:val="009F4634"/>
    <w:rsid w:val="009F4A46"/>
    <w:rsid w:val="009F4BEF"/>
    <w:rsid w:val="009F528E"/>
    <w:rsid w:val="009F5382"/>
    <w:rsid w:val="009F543C"/>
    <w:rsid w:val="009F5A0F"/>
    <w:rsid w:val="009F71F4"/>
    <w:rsid w:val="009F7E5F"/>
    <w:rsid w:val="00A016C6"/>
    <w:rsid w:val="00A03626"/>
    <w:rsid w:val="00A0371D"/>
    <w:rsid w:val="00A03CAC"/>
    <w:rsid w:val="00A03DEF"/>
    <w:rsid w:val="00A04487"/>
    <w:rsid w:val="00A04E48"/>
    <w:rsid w:val="00A04E4B"/>
    <w:rsid w:val="00A04FF6"/>
    <w:rsid w:val="00A05279"/>
    <w:rsid w:val="00A0571C"/>
    <w:rsid w:val="00A05AF0"/>
    <w:rsid w:val="00A06B4F"/>
    <w:rsid w:val="00A07EB1"/>
    <w:rsid w:val="00A104E4"/>
    <w:rsid w:val="00A10603"/>
    <w:rsid w:val="00A10CD3"/>
    <w:rsid w:val="00A110CE"/>
    <w:rsid w:val="00A115B9"/>
    <w:rsid w:val="00A12854"/>
    <w:rsid w:val="00A12E03"/>
    <w:rsid w:val="00A135B3"/>
    <w:rsid w:val="00A13D5B"/>
    <w:rsid w:val="00A1574D"/>
    <w:rsid w:val="00A161E4"/>
    <w:rsid w:val="00A16A44"/>
    <w:rsid w:val="00A16FA1"/>
    <w:rsid w:val="00A1720E"/>
    <w:rsid w:val="00A173D5"/>
    <w:rsid w:val="00A1771E"/>
    <w:rsid w:val="00A17AE4"/>
    <w:rsid w:val="00A20868"/>
    <w:rsid w:val="00A211C8"/>
    <w:rsid w:val="00A21265"/>
    <w:rsid w:val="00A215C2"/>
    <w:rsid w:val="00A219A1"/>
    <w:rsid w:val="00A21DDF"/>
    <w:rsid w:val="00A21E08"/>
    <w:rsid w:val="00A22610"/>
    <w:rsid w:val="00A229E7"/>
    <w:rsid w:val="00A22C40"/>
    <w:rsid w:val="00A242AD"/>
    <w:rsid w:val="00A2612D"/>
    <w:rsid w:val="00A2667B"/>
    <w:rsid w:val="00A266B3"/>
    <w:rsid w:val="00A26F67"/>
    <w:rsid w:val="00A27C35"/>
    <w:rsid w:val="00A3027C"/>
    <w:rsid w:val="00A306CF"/>
    <w:rsid w:val="00A3098F"/>
    <w:rsid w:val="00A30F96"/>
    <w:rsid w:val="00A31063"/>
    <w:rsid w:val="00A3165F"/>
    <w:rsid w:val="00A320A7"/>
    <w:rsid w:val="00A3300A"/>
    <w:rsid w:val="00A33A6D"/>
    <w:rsid w:val="00A34CA4"/>
    <w:rsid w:val="00A34F3C"/>
    <w:rsid w:val="00A351FE"/>
    <w:rsid w:val="00A35B3C"/>
    <w:rsid w:val="00A35C3E"/>
    <w:rsid w:val="00A37E25"/>
    <w:rsid w:val="00A37E91"/>
    <w:rsid w:val="00A40C6C"/>
    <w:rsid w:val="00A41741"/>
    <w:rsid w:val="00A419E5"/>
    <w:rsid w:val="00A42790"/>
    <w:rsid w:val="00A4296F"/>
    <w:rsid w:val="00A4348A"/>
    <w:rsid w:val="00A43916"/>
    <w:rsid w:val="00A4578B"/>
    <w:rsid w:val="00A4612F"/>
    <w:rsid w:val="00A466CE"/>
    <w:rsid w:val="00A46A58"/>
    <w:rsid w:val="00A46CF4"/>
    <w:rsid w:val="00A46D3A"/>
    <w:rsid w:val="00A46FE2"/>
    <w:rsid w:val="00A47085"/>
    <w:rsid w:val="00A4723E"/>
    <w:rsid w:val="00A50B76"/>
    <w:rsid w:val="00A51264"/>
    <w:rsid w:val="00A513BD"/>
    <w:rsid w:val="00A5154C"/>
    <w:rsid w:val="00A51D7E"/>
    <w:rsid w:val="00A528B1"/>
    <w:rsid w:val="00A53262"/>
    <w:rsid w:val="00A53BBB"/>
    <w:rsid w:val="00A54586"/>
    <w:rsid w:val="00A54780"/>
    <w:rsid w:val="00A548ED"/>
    <w:rsid w:val="00A549CC"/>
    <w:rsid w:val="00A549FB"/>
    <w:rsid w:val="00A56156"/>
    <w:rsid w:val="00A56933"/>
    <w:rsid w:val="00A573D3"/>
    <w:rsid w:val="00A575E5"/>
    <w:rsid w:val="00A57E78"/>
    <w:rsid w:val="00A60297"/>
    <w:rsid w:val="00A603C7"/>
    <w:rsid w:val="00A60528"/>
    <w:rsid w:val="00A609F4"/>
    <w:rsid w:val="00A60EB6"/>
    <w:rsid w:val="00A61194"/>
    <w:rsid w:val="00A618B5"/>
    <w:rsid w:val="00A6222D"/>
    <w:rsid w:val="00A628E0"/>
    <w:rsid w:val="00A63071"/>
    <w:rsid w:val="00A63B2D"/>
    <w:rsid w:val="00A63E0D"/>
    <w:rsid w:val="00A64506"/>
    <w:rsid w:val="00A6451D"/>
    <w:rsid w:val="00A6498A"/>
    <w:rsid w:val="00A6686C"/>
    <w:rsid w:val="00A675E8"/>
    <w:rsid w:val="00A7003D"/>
    <w:rsid w:val="00A703BB"/>
    <w:rsid w:val="00A7058A"/>
    <w:rsid w:val="00A70C0E"/>
    <w:rsid w:val="00A70D28"/>
    <w:rsid w:val="00A7150A"/>
    <w:rsid w:val="00A71638"/>
    <w:rsid w:val="00A719B5"/>
    <w:rsid w:val="00A720F9"/>
    <w:rsid w:val="00A72456"/>
    <w:rsid w:val="00A728DD"/>
    <w:rsid w:val="00A730E1"/>
    <w:rsid w:val="00A7377D"/>
    <w:rsid w:val="00A73A2A"/>
    <w:rsid w:val="00A73AE9"/>
    <w:rsid w:val="00A741A8"/>
    <w:rsid w:val="00A741B7"/>
    <w:rsid w:val="00A74E4E"/>
    <w:rsid w:val="00A7598D"/>
    <w:rsid w:val="00A761D4"/>
    <w:rsid w:val="00A76681"/>
    <w:rsid w:val="00A76BF6"/>
    <w:rsid w:val="00A76C3A"/>
    <w:rsid w:val="00A76CAE"/>
    <w:rsid w:val="00A76DB0"/>
    <w:rsid w:val="00A77B5B"/>
    <w:rsid w:val="00A8006E"/>
    <w:rsid w:val="00A80B23"/>
    <w:rsid w:val="00A80F7A"/>
    <w:rsid w:val="00A81071"/>
    <w:rsid w:val="00A81253"/>
    <w:rsid w:val="00A8158D"/>
    <w:rsid w:val="00A8169D"/>
    <w:rsid w:val="00A82C87"/>
    <w:rsid w:val="00A82EF0"/>
    <w:rsid w:val="00A832E4"/>
    <w:rsid w:val="00A83AC7"/>
    <w:rsid w:val="00A84877"/>
    <w:rsid w:val="00A849A9"/>
    <w:rsid w:val="00A84A74"/>
    <w:rsid w:val="00A85086"/>
    <w:rsid w:val="00A85459"/>
    <w:rsid w:val="00A861EC"/>
    <w:rsid w:val="00A86D8A"/>
    <w:rsid w:val="00A8751C"/>
    <w:rsid w:val="00A878B5"/>
    <w:rsid w:val="00A87CB5"/>
    <w:rsid w:val="00A87D83"/>
    <w:rsid w:val="00A90120"/>
    <w:rsid w:val="00A902CC"/>
    <w:rsid w:val="00A90559"/>
    <w:rsid w:val="00A90CE7"/>
    <w:rsid w:val="00A90CF7"/>
    <w:rsid w:val="00A90E1F"/>
    <w:rsid w:val="00A91ACD"/>
    <w:rsid w:val="00A91D3E"/>
    <w:rsid w:val="00A92851"/>
    <w:rsid w:val="00A9353A"/>
    <w:rsid w:val="00A938F0"/>
    <w:rsid w:val="00A93C51"/>
    <w:rsid w:val="00A94299"/>
    <w:rsid w:val="00A952F5"/>
    <w:rsid w:val="00A955F6"/>
    <w:rsid w:val="00A95C8F"/>
    <w:rsid w:val="00A95FFF"/>
    <w:rsid w:val="00A96395"/>
    <w:rsid w:val="00A96774"/>
    <w:rsid w:val="00A96D4B"/>
    <w:rsid w:val="00A96E04"/>
    <w:rsid w:val="00A9784F"/>
    <w:rsid w:val="00A9792E"/>
    <w:rsid w:val="00A97F0A"/>
    <w:rsid w:val="00AA0122"/>
    <w:rsid w:val="00AA0193"/>
    <w:rsid w:val="00AA1097"/>
    <w:rsid w:val="00AA1678"/>
    <w:rsid w:val="00AA1F88"/>
    <w:rsid w:val="00AA2283"/>
    <w:rsid w:val="00AA3467"/>
    <w:rsid w:val="00AA36C2"/>
    <w:rsid w:val="00AA382D"/>
    <w:rsid w:val="00AA3D31"/>
    <w:rsid w:val="00AA3E47"/>
    <w:rsid w:val="00AA3F63"/>
    <w:rsid w:val="00AA415F"/>
    <w:rsid w:val="00AA43EA"/>
    <w:rsid w:val="00AA52B9"/>
    <w:rsid w:val="00AA5894"/>
    <w:rsid w:val="00AA5C2C"/>
    <w:rsid w:val="00AA62A4"/>
    <w:rsid w:val="00AA6484"/>
    <w:rsid w:val="00AA64F4"/>
    <w:rsid w:val="00AA6720"/>
    <w:rsid w:val="00AA68C1"/>
    <w:rsid w:val="00AA6AEB"/>
    <w:rsid w:val="00AA6EC5"/>
    <w:rsid w:val="00AA6F3C"/>
    <w:rsid w:val="00AA73CF"/>
    <w:rsid w:val="00AB01EE"/>
    <w:rsid w:val="00AB077B"/>
    <w:rsid w:val="00AB1185"/>
    <w:rsid w:val="00AB14A1"/>
    <w:rsid w:val="00AB19F6"/>
    <w:rsid w:val="00AB259C"/>
    <w:rsid w:val="00AB2FB5"/>
    <w:rsid w:val="00AB31B0"/>
    <w:rsid w:val="00AB3AF6"/>
    <w:rsid w:val="00AB444C"/>
    <w:rsid w:val="00AB4A21"/>
    <w:rsid w:val="00AB4DD7"/>
    <w:rsid w:val="00AB57F5"/>
    <w:rsid w:val="00AB606F"/>
    <w:rsid w:val="00AB659C"/>
    <w:rsid w:val="00AB67F4"/>
    <w:rsid w:val="00AC035E"/>
    <w:rsid w:val="00AC06AE"/>
    <w:rsid w:val="00AC0733"/>
    <w:rsid w:val="00AC08ED"/>
    <w:rsid w:val="00AC0A8C"/>
    <w:rsid w:val="00AC0FA6"/>
    <w:rsid w:val="00AC1274"/>
    <w:rsid w:val="00AC1C1F"/>
    <w:rsid w:val="00AC3122"/>
    <w:rsid w:val="00AC376D"/>
    <w:rsid w:val="00AC3BFA"/>
    <w:rsid w:val="00AC4048"/>
    <w:rsid w:val="00AC4423"/>
    <w:rsid w:val="00AC45A8"/>
    <w:rsid w:val="00AC5052"/>
    <w:rsid w:val="00AC6023"/>
    <w:rsid w:val="00AC6CE0"/>
    <w:rsid w:val="00AC72C9"/>
    <w:rsid w:val="00AC7442"/>
    <w:rsid w:val="00AC7ED1"/>
    <w:rsid w:val="00AC7FC3"/>
    <w:rsid w:val="00AD17E7"/>
    <w:rsid w:val="00AD19E1"/>
    <w:rsid w:val="00AD1BED"/>
    <w:rsid w:val="00AD2380"/>
    <w:rsid w:val="00AD32C0"/>
    <w:rsid w:val="00AD33A1"/>
    <w:rsid w:val="00AD3C02"/>
    <w:rsid w:val="00AD3D60"/>
    <w:rsid w:val="00AD4CC3"/>
    <w:rsid w:val="00AD4F18"/>
    <w:rsid w:val="00AD582F"/>
    <w:rsid w:val="00AD5D81"/>
    <w:rsid w:val="00AD5E16"/>
    <w:rsid w:val="00AD6D20"/>
    <w:rsid w:val="00AD721E"/>
    <w:rsid w:val="00AE022A"/>
    <w:rsid w:val="00AE09F4"/>
    <w:rsid w:val="00AE1089"/>
    <w:rsid w:val="00AE126A"/>
    <w:rsid w:val="00AE1498"/>
    <w:rsid w:val="00AE198B"/>
    <w:rsid w:val="00AE1EC3"/>
    <w:rsid w:val="00AE27D2"/>
    <w:rsid w:val="00AE310F"/>
    <w:rsid w:val="00AE43EC"/>
    <w:rsid w:val="00AE48E3"/>
    <w:rsid w:val="00AE62ED"/>
    <w:rsid w:val="00AE673C"/>
    <w:rsid w:val="00AE6CDD"/>
    <w:rsid w:val="00AE7968"/>
    <w:rsid w:val="00AE7E59"/>
    <w:rsid w:val="00AF0719"/>
    <w:rsid w:val="00AF0C04"/>
    <w:rsid w:val="00AF1888"/>
    <w:rsid w:val="00AF19DE"/>
    <w:rsid w:val="00AF1EAF"/>
    <w:rsid w:val="00AF2096"/>
    <w:rsid w:val="00AF20E0"/>
    <w:rsid w:val="00AF270F"/>
    <w:rsid w:val="00AF2A74"/>
    <w:rsid w:val="00AF2AF9"/>
    <w:rsid w:val="00AF2F69"/>
    <w:rsid w:val="00AF4069"/>
    <w:rsid w:val="00AF440D"/>
    <w:rsid w:val="00AF45A2"/>
    <w:rsid w:val="00AF4FE3"/>
    <w:rsid w:val="00AF52C9"/>
    <w:rsid w:val="00AF54A4"/>
    <w:rsid w:val="00AF56EF"/>
    <w:rsid w:val="00AF5B32"/>
    <w:rsid w:val="00AF6210"/>
    <w:rsid w:val="00AF6307"/>
    <w:rsid w:val="00AF6355"/>
    <w:rsid w:val="00B00045"/>
    <w:rsid w:val="00B00203"/>
    <w:rsid w:val="00B010AF"/>
    <w:rsid w:val="00B0183F"/>
    <w:rsid w:val="00B01995"/>
    <w:rsid w:val="00B01D88"/>
    <w:rsid w:val="00B020F5"/>
    <w:rsid w:val="00B02A17"/>
    <w:rsid w:val="00B02C73"/>
    <w:rsid w:val="00B02D25"/>
    <w:rsid w:val="00B0319C"/>
    <w:rsid w:val="00B032B2"/>
    <w:rsid w:val="00B03484"/>
    <w:rsid w:val="00B04112"/>
    <w:rsid w:val="00B043E8"/>
    <w:rsid w:val="00B04ABD"/>
    <w:rsid w:val="00B051ED"/>
    <w:rsid w:val="00B0525D"/>
    <w:rsid w:val="00B05418"/>
    <w:rsid w:val="00B06ED3"/>
    <w:rsid w:val="00B0787B"/>
    <w:rsid w:val="00B104E8"/>
    <w:rsid w:val="00B10876"/>
    <w:rsid w:val="00B10C57"/>
    <w:rsid w:val="00B111A4"/>
    <w:rsid w:val="00B11905"/>
    <w:rsid w:val="00B11923"/>
    <w:rsid w:val="00B11D1B"/>
    <w:rsid w:val="00B12A8B"/>
    <w:rsid w:val="00B1385B"/>
    <w:rsid w:val="00B139FC"/>
    <w:rsid w:val="00B13C69"/>
    <w:rsid w:val="00B13C77"/>
    <w:rsid w:val="00B14637"/>
    <w:rsid w:val="00B148F0"/>
    <w:rsid w:val="00B161DA"/>
    <w:rsid w:val="00B16371"/>
    <w:rsid w:val="00B16783"/>
    <w:rsid w:val="00B16A48"/>
    <w:rsid w:val="00B16D13"/>
    <w:rsid w:val="00B16D94"/>
    <w:rsid w:val="00B176AF"/>
    <w:rsid w:val="00B178D0"/>
    <w:rsid w:val="00B20340"/>
    <w:rsid w:val="00B20846"/>
    <w:rsid w:val="00B21F26"/>
    <w:rsid w:val="00B22117"/>
    <w:rsid w:val="00B222AF"/>
    <w:rsid w:val="00B22602"/>
    <w:rsid w:val="00B22AB8"/>
    <w:rsid w:val="00B22E93"/>
    <w:rsid w:val="00B238A3"/>
    <w:rsid w:val="00B23CBB"/>
    <w:rsid w:val="00B240D0"/>
    <w:rsid w:val="00B242A8"/>
    <w:rsid w:val="00B2645F"/>
    <w:rsid w:val="00B26CC2"/>
    <w:rsid w:val="00B26D39"/>
    <w:rsid w:val="00B26EB5"/>
    <w:rsid w:val="00B2768E"/>
    <w:rsid w:val="00B27CFB"/>
    <w:rsid w:val="00B27ED0"/>
    <w:rsid w:val="00B300DE"/>
    <w:rsid w:val="00B30283"/>
    <w:rsid w:val="00B306A0"/>
    <w:rsid w:val="00B313BC"/>
    <w:rsid w:val="00B31566"/>
    <w:rsid w:val="00B31787"/>
    <w:rsid w:val="00B324D0"/>
    <w:rsid w:val="00B325DE"/>
    <w:rsid w:val="00B32C67"/>
    <w:rsid w:val="00B33315"/>
    <w:rsid w:val="00B33A0C"/>
    <w:rsid w:val="00B33C1B"/>
    <w:rsid w:val="00B33CA3"/>
    <w:rsid w:val="00B34077"/>
    <w:rsid w:val="00B34B17"/>
    <w:rsid w:val="00B34C70"/>
    <w:rsid w:val="00B352DE"/>
    <w:rsid w:val="00B35411"/>
    <w:rsid w:val="00B360BA"/>
    <w:rsid w:val="00B367F8"/>
    <w:rsid w:val="00B36C53"/>
    <w:rsid w:val="00B370DC"/>
    <w:rsid w:val="00B37DA4"/>
    <w:rsid w:val="00B4035A"/>
    <w:rsid w:val="00B40C6C"/>
    <w:rsid w:val="00B42016"/>
    <w:rsid w:val="00B4223D"/>
    <w:rsid w:val="00B422C3"/>
    <w:rsid w:val="00B42333"/>
    <w:rsid w:val="00B427FA"/>
    <w:rsid w:val="00B42C0C"/>
    <w:rsid w:val="00B43008"/>
    <w:rsid w:val="00B43876"/>
    <w:rsid w:val="00B441C1"/>
    <w:rsid w:val="00B44627"/>
    <w:rsid w:val="00B4476E"/>
    <w:rsid w:val="00B449F1"/>
    <w:rsid w:val="00B44B60"/>
    <w:rsid w:val="00B44B76"/>
    <w:rsid w:val="00B44D52"/>
    <w:rsid w:val="00B4548A"/>
    <w:rsid w:val="00B4565A"/>
    <w:rsid w:val="00B50256"/>
    <w:rsid w:val="00B51630"/>
    <w:rsid w:val="00B51650"/>
    <w:rsid w:val="00B5173C"/>
    <w:rsid w:val="00B519A0"/>
    <w:rsid w:val="00B52978"/>
    <w:rsid w:val="00B52C71"/>
    <w:rsid w:val="00B52EB5"/>
    <w:rsid w:val="00B53BEC"/>
    <w:rsid w:val="00B53F08"/>
    <w:rsid w:val="00B53F31"/>
    <w:rsid w:val="00B54159"/>
    <w:rsid w:val="00B545B8"/>
    <w:rsid w:val="00B549C9"/>
    <w:rsid w:val="00B54D31"/>
    <w:rsid w:val="00B54E66"/>
    <w:rsid w:val="00B550FA"/>
    <w:rsid w:val="00B551A7"/>
    <w:rsid w:val="00B56A22"/>
    <w:rsid w:val="00B56B47"/>
    <w:rsid w:val="00B56B86"/>
    <w:rsid w:val="00B570B9"/>
    <w:rsid w:val="00B57337"/>
    <w:rsid w:val="00B57CBF"/>
    <w:rsid w:val="00B60814"/>
    <w:rsid w:val="00B60A88"/>
    <w:rsid w:val="00B614F5"/>
    <w:rsid w:val="00B62584"/>
    <w:rsid w:val="00B62590"/>
    <w:rsid w:val="00B626F3"/>
    <w:rsid w:val="00B62C0F"/>
    <w:rsid w:val="00B62EF6"/>
    <w:rsid w:val="00B635E7"/>
    <w:rsid w:val="00B637A4"/>
    <w:rsid w:val="00B63AE4"/>
    <w:rsid w:val="00B63B53"/>
    <w:rsid w:val="00B63D36"/>
    <w:rsid w:val="00B641F9"/>
    <w:rsid w:val="00B64A10"/>
    <w:rsid w:val="00B64AAA"/>
    <w:rsid w:val="00B64B18"/>
    <w:rsid w:val="00B650AB"/>
    <w:rsid w:val="00B652CF"/>
    <w:rsid w:val="00B657CF"/>
    <w:rsid w:val="00B66436"/>
    <w:rsid w:val="00B66DE1"/>
    <w:rsid w:val="00B6759F"/>
    <w:rsid w:val="00B67708"/>
    <w:rsid w:val="00B678A0"/>
    <w:rsid w:val="00B67C94"/>
    <w:rsid w:val="00B67D78"/>
    <w:rsid w:val="00B67EFD"/>
    <w:rsid w:val="00B70634"/>
    <w:rsid w:val="00B706FA"/>
    <w:rsid w:val="00B70E64"/>
    <w:rsid w:val="00B71997"/>
    <w:rsid w:val="00B73115"/>
    <w:rsid w:val="00B7321D"/>
    <w:rsid w:val="00B73F24"/>
    <w:rsid w:val="00B74059"/>
    <w:rsid w:val="00B740CA"/>
    <w:rsid w:val="00B74475"/>
    <w:rsid w:val="00B74688"/>
    <w:rsid w:val="00B74782"/>
    <w:rsid w:val="00B7525C"/>
    <w:rsid w:val="00B75F64"/>
    <w:rsid w:val="00B76F4E"/>
    <w:rsid w:val="00B77155"/>
    <w:rsid w:val="00B77AAA"/>
    <w:rsid w:val="00B77FCA"/>
    <w:rsid w:val="00B8039F"/>
    <w:rsid w:val="00B80B0B"/>
    <w:rsid w:val="00B82145"/>
    <w:rsid w:val="00B82851"/>
    <w:rsid w:val="00B82CD0"/>
    <w:rsid w:val="00B82D21"/>
    <w:rsid w:val="00B838BF"/>
    <w:rsid w:val="00B83BDB"/>
    <w:rsid w:val="00B83E54"/>
    <w:rsid w:val="00B84159"/>
    <w:rsid w:val="00B855A6"/>
    <w:rsid w:val="00B85662"/>
    <w:rsid w:val="00B85D22"/>
    <w:rsid w:val="00B863BD"/>
    <w:rsid w:val="00B86AA4"/>
    <w:rsid w:val="00B87144"/>
    <w:rsid w:val="00B87788"/>
    <w:rsid w:val="00B90DFF"/>
    <w:rsid w:val="00B90EA6"/>
    <w:rsid w:val="00B91127"/>
    <w:rsid w:val="00B915D0"/>
    <w:rsid w:val="00B917F0"/>
    <w:rsid w:val="00B9233E"/>
    <w:rsid w:val="00B923D6"/>
    <w:rsid w:val="00B93647"/>
    <w:rsid w:val="00B93B90"/>
    <w:rsid w:val="00B94760"/>
    <w:rsid w:val="00B94827"/>
    <w:rsid w:val="00B95F13"/>
    <w:rsid w:val="00B960C9"/>
    <w:rsid w:val="00B965B7"/>
    <w:rsid w:val="00B96C90"/>
    <w:rsid w:val="00B97017"/>
    <w:rsid w:val="00B976F5"/>
    <w:rsid w:val="00BA01B9"/>
    <w:rsid w:val="00BA03FD"/>
    <w:rsid w:val="00BA097D"/>
    <w:rsid w:val="00BA0B29"/>
    <w:rsid w:val="00BA0FF4"/>
    <w:rsid w:val="00BA11BB"/>
    <w:rsid w:val="00BA18D6"/>
    <w:rsid w:val="00BA2029"/>
    <w:rsid w:val="00BA259F"/>
    <w:rsid w:val="00BA2603"/>
    <w:rsid w:val="00BA29CC"/>
    <w:rsid w:val="00BA2B3A"/>
    <w:rsid w:val="00BA2B95"/>
    <w:rsid w:val="00BA2E55"/>
    <w:rsid w:val="00BA4C7A"/>
    <w:rsid w:val="00BA5294"/>
    <w:rsid w:val="00BA572F"/>
    <w:rsid w:val="00BA58AA"/>
    <w:rsid w:val="00BA5981"/>
    <w:rsid w:val="00BA64CD"/>
    <w:rsid w:val="00BA7F90"/>
    <w:rsid w:val="00BB0AFC"/>
    <w:rsid w:val="00BB0B0E"/>
    <w:rsid w:val="00BB1C93"/>
    <w:rsid w:val="00BB270A"/>
    <w:rsid w:val="00BB357C"/>
    <w:rsid w:val="00BB38B4"/>
    <w:rsid w:val="00BB409B"/>
    <w:rsid w:val="00BB428C"/>
    <w:rsid w:val="00BB4E59"/>
    <w:rsid w:val="00BB555C"/>
    <w:rsid w:val="00BB5609"/>
    <w:rsid w:val="00BB6B86"/>
    <w:rsid w:val="00BB6FCB"/>
    <w:rsid w:val="00BB7218"/>
    <w:rsid w:val="00BB7551"/>
    <w:rsid w:val="00BC0DE7"/>
    <w:rsid w:val="00BC170D"/>
    <w:rsid w:val="00BC1981"/>
    <w:rsid w:val="00BC23F8"/>
    <w:rsid w:val="00BC32CC"/>
    <w:rsid w:val="00BC3369"/>
    <w:rsid w:val="00BC34FE"/>
    <w:rsid w:val="00BC4474"/>
    <w:rsid w:val="00BC5388"/>
    <w:rsid w:val="00BC53B8"/>
    <w:rsid w:val="00BC576E"/>
    <w:rsid w:val="00BC665E"/>
    <w:rsid w:val="00BC6B2E"/>
    <w:rsid w:val="00BC745E"/>
    <w:rsid w:val="00BC7E2F"/>
    <w:rsid w:val="00BD0CFF"/>
    <w:rsid w:val="00BD145F"/>
    <w:rsid w:val="00BD1570"/>
    <w:rsid w:val="00BD1886"/>
    <w:rsid w:val="00BD18A0"/>
    <w:rsid w:val="00BD1FEB"/>
    <w:rsid w:val="00BD27D7"/>
    <w:rsid w:val="00BD3615"/>
    <w:rsid w:val="00BD3752"/>
    <w:rsid w:val="00BD3BBC"/>
    <w:rsid w:val="00BD3D6E"/>
    <w:rsid w:val="00BD44E1"/>
    <w:rsid w:val="00BD472F"/>
    <w:rsid w:val="00BD4A51"/>
    <w:rsid w:val="00BD54F5"/>
    <w:rsid w:val="00BD6C7F"/>
    <w:rsid w:val="00BD760F"/>
    <w:rsid w:val="00BD7A11"/>
    <w:rsid w:val="00BD7C5D"/>
    <w:rsid w:val="00BE01F4"/>
    <w:rsid w:val="00BE03BD"/>
    <w:rsid w:val="00BE0DDC"/>
    <w:rsid w:val="00BE1577"/>
    <w:rsid w:val="00BE1E4B"/>
    <w:rsid w:val="00BE2122"/>
    <w:rsid w:val="00BE22F3"/>
    <w:rsid w:val="00BE2CB6"/>
    <w:rsid w:val="00BE2F5A"/>
    <w:rsid w:val="00BE31AC"/>
    <w:rsid w:val="00BE3409"/>
    <w:rsid w:val="00BE5587"/>
    <w:rsid w:val="00BE5649"/>
    <w:rsid w:val="00BE57B6"/>
    <w:rsid w:val="00BE5955"/>
    <w:rsid w:val="00BE5F8F"/>
    <w:rsid w:val="00BE6AE4"/>
    <w:rsid w:val="00BE71AB"/>
    <w:rsid w:val="00BE7A9F"/>
    <w:rsid w:val="00BE7F81"/>
    <w:rsid w:val="00BF0A16"/>
    <w:rsid w:val="00BF0E98"/>
    <w:rsid w:val="00BF2104"/>
    <w:rsid w:val="00BF2192"/>
    <w:rsid w:val="00BF26C8"/>
    <w:rsid w:val="00BF4023"/>
    <w:rsid w:val="00BF490C"/>
    <w:rsid w:val="00BF4B02"/>
    <w:rsid w:val="00BF4F7D"/>
    <w:rsid w:val="00BF4FC3"/>
    <w:rsid w:val="00BF5A4F"/>
    <w:rsid w:val="00BF69B5"/>
    <w:rsid w:val="00BF7392"/>
    <w:rsid w:val="00BF77AB"/>
    <w:rsid w:val="00BF797B"/>
    <w:rsid w:val="00BF7A72"/>
    <w:rsid w:val="00BF7F32"/>
    <w:rsid w:val="00C0084C"/>
    <w:rsid w:val="00C008E1"/>
    <w:rsid w:val="00C01465"/>
    <w:rsid w:val="00C01C51"/>
    <w:rsid w:val="00C02260"/>
    <w:rsid w:val="00C022B7"/>
    <w:rsid w:val="00C02333"/>
    <w:rsid w:val="00C023C5"/>
    <w:rsid w:val="00C02C6A"/>
    <w:rsid w:val="00C042E6"/>
    <w:rsid w:val="00C04D0A"/>
    <w:rsid w:val="00C0573A"/>
    <w:rsid w:val="00C05B8D"/>
    <w:rsid w:val="00C060C3"/>
    <w:rsid w:val="00C06111"/>
    <w:rsid w:val="00C06A76"/>
    <w:rsid w:val="00C07098"/>
    <w:rsid w:val="00C07256"/>
    <w:rsid w:val="00C07281"/>
    <w:rsid w:val="00C07488"/>
    <w:rsid w:val="00C074E1"/>
    <w:rsid w:val="00C1005C"/>
    <w:rsid w:val="00C10460"/>
    <w:rsid w:val="00C10A40"/>
    <w:rsid w:val="00C11297"/>
    <w:rsid w:val="00C11753"/>
    <w:rsid w:val="00C12736"/>
    <w:rsid w:val="00C132E5"/>
    <w:rsid w:val="00C13699"/>
    <w:rsid w:val="00C14373"/>
    <w:rsid w:val="00C1500F"/>
    <w:rsid w:val="00C164FD"/>
    <w:rsid w:val="00C16BD3"/>
    <w:rsid w:val="00C16DBF"/>
    <w:rsid w:val="00C16FA0"/>
    <w:rsid w:val="00C1704C"/>
    <w:rsid w:val="00C17150"/>
    <w:rsid w:val="00C20829"/>
    <w:rsid w:val="00C20B69"/>
    <w:rsid w:val="00C22728"/>
    <w:rsid w:val="00C22944"/>
    <w:rsid w:val="00C23208"/>
    <w:rsid w:val="00C23464"/>
    <w:rsid w:val="00C23D62"/>
    <w:rsid w:val="00C24332"/>
    <w:rsid w:val="00C2433C"/>
    <w:rsid w:val="00C2464E"/>
    <w:rsid w:val="00C24ACC"/>
    <w:rsid w:val="00C24DD0"/>
    <w:rsid w:val="00C25731"/>
    <w:rsid w:val="00C25E41"/>
    <w:rsid w:val="00C261A6"/>
    <w:rsid w:val="00C2672D"/>
    <w:rsid w:val="00C26BD1"/>
    <w:rsid w:val="00C27B61"/>
    <w:rsid w:val="00C31C75"/>
    <w:rsid w:val="00C3236F"/>
    <w:rsid w:val="00C32519"/>
    <w:rsid w:val="00C328DE"/>
    <w:rsid w:val="00C3291E"/>
    <w:rsid w:val="00C330C1"/>
    <w:rsid w:val="00C3427F"/>
    <w:rsid w:val="00C34386"/>
    <w:rsid w:val="00C34F22"/>
    <w:rsid w:val="00C350FF"/>
    <w:rsid w:val="00C35BAC"/>
    <w:rsid w:val="00C36025"/>
    <w:rsid w:val="00C36CBB"/>
    <w:rsid w:val="00C36E05"/>
    <w:rsid w:val="00C3718E"/>
    <w:rsid w:val="00C378F0"/>
    <w:rsid w:val="00C37E93"/>
    <w:rsid w:val="00C407D9"/>
    <w:rsid w:val="00C4083D"/>
    <w:rsid w:val="00C40A41"/>
    <w:rsid w:val="00C41142"/>
    <w:rsid w:val="00C412B4"/>
    <w:rsid w:val="00C42085"/>
    <w:rsid w:val="00C42AAD"/>
    <w:rsid w:val="00C42E4C"/>
    <w:rsid w:val="00C43323"/>
    <w:rsid w:val="00C43DB3"/>
    <w:rsid w:val="00C43F3D"/>
    <w:rsid w:val="00C441BC"/>
    <w:rsid w:val="00C4489D"/>
    <w:rsid w:val="00C44977"/>
    <w:rsid w:val="00C44E27"/>
    <w:rsid w:val="00C4512A"/>
    <w:rsid w:val="00C4567A"/>
    <w:rsid w:val="00C4695C"/>
    <w:rsid w:val="00C47C26"/>
    <w:rsid w:val="00C50914"/>
    <w:rsid w:val="00C50B14"/>
    <w:rsid w:val="00C50B43"/>
    <w:rsid w:val="00C50D0C"/>
    <w:rsid w:val="00C50D80"/>
    <w:rsid w:val="00C5179A"/>
    <w:rsid w:val="00C522A6"/>
    <w:rsid w:val="00C524CC"/>
    <w:rsid w:val="00C52CCA"/>
    <w:rsid w:val="00C52F59"/>
    <w:rsid w:val="00C539C0"/>
    <w:rsid w:val="00C539CB"/>
    <w:rsid w:val="00C53AA9"/>
    <w:rsid w:val="00C54411"/>
    <w:rsid w:val="00C54AFF"/>
    <w:rsid w:val="00C55849"/>
    <w:rsid w:val="00C55C84"/>
    <w:rsid w:val="00C55D8D"/>
    <w:rsid w:val="00C56654"/>
    <w:rsid w:val="00C56754"/>
    <w:rsid w:val="00C568E8"/>
    <w:rsid w:val="00C56F1A"/>
    <w:rsid w:val="00C57BA6"/>
    <w:rsid w:val="00C57BA9"/>
    <w:rsid w:val="00C6038D"/>
    <w:rsid w:val="00C60973"/>
    <w:rsid w:val="00C61211"/>
    <w:rsid w:val="00C61D96"/>
    <w:rsid w:val="00C6204D"/>
    <w:rsid w:val="00C6223D"/>
    <w:rsid w:val="00C623E9"/>
    <w:rsid w:val="00C62AEC"/>
    <w:rsid w:val="00C62BBB"/>
    <w:rsid w:val="00C62D4E"/>
    <w:rsid w:val="00C62F5E"/>
    <w:rsid w:val="00C63907"/>
    <w:rsid w:val="00C63B63"/>
    <w:rsid w:val="00C63E1F"/>
    <w:rsid w:val="00C646A5"/>
    <w:rsid w:val="00C651CA"/>
    <w:rsid w:val="00C654F3"/>
    <w:rsid w:val="00C65696"/>
    <w:rsid w:val="00C662CF"/>
    <w:rsid w:val="00C6663F"/>
    <w:rsid w:val="00C67E1A"/>
    <w:rsid w:val="00C67EC9"/>
    <w:rsid w:val="00C7006F"/>
    <w:rsid w:val="00C7046F"/>
    <w:rsid w:val="00C705E4"/>
    <w:rsid w:val="00C70908"/>
    <w:rsid w:val="00C709A8"/>
    <w:rsid w:val="00C70A17"/>
    <w:rsid w:val="00C7197C"/>
    <w:rsid w:val="00C725C5"/>
    <w:rsid w:val="00C725EA"/>
    <w:rsid w:val="00C732E5"/>
    <w:rsid w:val="00C736D1"/>
    <w:rsid w:val="00C747FF"/>
    <w:rsid w:val="00C74D14"/>
    <w:rsid w:val="00C75E3E"/>
    <w:rsid w:val="00C765F8"/>
    <w:rsid w:val="00C76783"/>
    <w:rsid w:val="00C76C28"/>
    <w:rsid w:val="00C77E1D"/>
    <w:rsid w:val="00C77F2C"/>
    <w:rsid w:val="00C80C15"/>
    <w:rsid w:val="00C80D90"/>
    <w:rsid w:val="00C81197"/>
    <w:rsid w:val="00C81EAB"/>
    <w:rsid w:val="00C81FAB"/>
    <w:rsid w:val="00C83AFA"/>
    <w:rsid w:val="00C849EA"/>
    <w:rsid w:val="00C84ACF"/>
    <w:rsid w:val="00C85557"/>
    <w:rsid w:val="00C85ABB"/>
    <w:rsid w:val="00C85C1B"/>
    <w:rsid w:val="00C85F38"/>
    <w:rsid w:val="00C860F3"/>
    <w:rsid w:val="00C861E4"/>
    <w:rsid w:val="00C873C2"/>
    <w:rsid w:val="00C874DE"/>
    <w:rsid w:val="00C87E42"/>
    <w:rsid w:val="00C90199"/>
    <w:rsid w:val="00C91CF1"/>
    <w:rsid w:val="00C92848"/>
    <w:rsid w:val="00C9357D"/>
    <w:rsid w:val="00C93A0C"/>
    <w:rsid w:val="00C94CF7"/>
    <w:rsid w:val="00C95AB1"/>
    <w:rsid w:val="00C95C58"/>
    <w:rsid w:val="00C96F68"/>
    <w:rsid w:val="00C979CA"/>
    <w:rsid w:val="00C97DB6"/>
    <w:rsid w:val="00CA0FB4"/>
    <w:rsid w:val="00CA117F"/>
    <w:rsid w:val="00CA1EFD"/>
    <w:rsid w:val="00CA1FA7"/>
    <w:rsid w:val="00CA2B11"/>
    <w:rsid w:val="00CA318F"/>
    <w:rsid w:val="00CA380E"/>
    <w:rsid w:val="00CA3E40"/>
    <w:rsid w:val="00CA4E54"/>
    <w:rsid w:val="00CA50F8"/>
    <w:rsid w:val="00CA55DF"/>
    <w:rsid w:val="00CA5F01"/>
    <w:rsid w:val="00CA7116"/>
    <w:rsid w:val="00CA79AD"/>
    <w:rsid w:val="00CA7A86"/>
    <w:rsid w:val="00CA7AB0"/>
    <w:rsid w:val="00CA7E8E"/>
    <w:rsid w:val="00CA7EB2"/>
    <w:rsid w:val="00CA7FC5"/>
    <w:rsid w:val="00CB0D52"/>
    <w:rsid w:val="00CB0FFD"/>
    <w:rsid w:val="00CB11BE"/>
    <w:rsid w:val="00CB1458"/>
    <w:rsid w:val="00CB17A4"/>
    <w:rsid w:val="00CB18D3"/>
    <w:rsid w:val="00CB2F6B"/>
    <w:rsid w:val="00CB2F97"/>
    <w:rsid w:val="00CB323B"/>
    <w:rsid w:val="00CB33F3"/>
    <w:rsid w:val="00CB3A30"/>
    <w:rsid w:val="00CB3C29"/>
    <w:rsid w:val="00CB4141"/>
    <w:rsid w:val="00CB4673"/>
    <w:rsid w:val="00CB47BE"/>
    <w:rsid w:val="00CB4844"/>
    <w:rsid w:val="00CB4CD1"/>
    <w:rsid w:val="00CB52A4"/>
    <w:rsid w:val="00CB579A"/>
    <w:rsid w:val="00CB5A9C"/>
    <w:rsid w:val="00CB5D68"/>
    <w:rsid w:val="00CB61A5"/>
    <w:rsid w:val="00CB685B"/>
    <w:rsid w:val="00CB6B84"/>
    <w:rsid w:val="00CB7497"/>
    <w:rsid w:val="00CC027D"/>
    <w:rsid w:val="00CC04F9"/>
    <w:rsid w:val="00CC0610"/>
    <w:rsid w:val="00CC126C"/>
    <w:rsid w:val="00CC1672"/>
    <w:rsid w:val="00CC176B"/>
    <w:rsid w:val="00CC181A"/>
    <w:rsid w:val="00CC2060"/>
    <w:rsid w:val="00CC286B"/>
    <w:rsid w:val="00CC2903"/>
    <w:rsid w:val="00CC2E6A"/>
    <w:rsid w:val="00CC2F92"/>
    <w:rsid w:val="00CC31C9"/>
    <w:rsid w:val="00CC3F1A"/>
    <w:rsid w:val="00CC4806"/>
    <w:rsid w:val="00CC48FB"/>
    <w:rsid w:val="00CC4F2B"/>
    <w:rsid w:val="00CC5127"/>
    <w:rsid w:val="00CC545E"/>
    <w:rsid w:val="00CC5623"/>
    <w:rsid w:val="00CC5FE1"/>
    <w:rsid w:val="00CC63EA"/>
    <w:rsid w:val="00CC643D"/>
    <w:rsid w:val="00CC68D4"/>
    <w:rsid w:val="00CC6C44"/>
    <w:rsid w:val="00CC78DA"/>
    <w:rsid w:val="00CD02AC"/>
    <w:rsid w:val="00CD042B"/>
    <w:rsid w:val="00CD08F1"/>
    <w:rsid w:val="00CD0935"/>
    <w:rsid w:val="00CD0BE4"/>
    <w:rsid w:val="00CD104F"/>
    <w:rsid w:val="00CD17DA"/>
    <w:rsid w:val="00CD27E7"/>
    <w:rsid w:val="00CD3826"/>
    <w:rsid w:val="00CD3B3B"/>
    <w:rsid w:val="00CD3D4B"/>
    <w:rsid w:val="00CD4A23"/>
    <w:rsid w:val="00CD5D87"/>
    <w:rsid w:val="00CD5EF7"/>
    <w:rsid w:val="00CD640B"/>
    <w:rsid w:val="00CD6856"/>
    <w:rsid w:val="00CD78AD"/>
    <w:rsid w:val="00CD7C30"/>
    <w:rsid w:val="00CE0368"/>
    <w:rsid w:val="00CE0908"/>
    <w:rsid w:val="00CE0BBA"/>
    <w:rsid w:val="00CE0F63"/>
    <w:rsid w:val="00CE2046"/>
    <w:rsid w:val="00CE2F9C"/>
    <w:rsid w:val="00CE391E"/>
    <w:rsid w:val="00CE393C"/>
    <w:rsid w:val="00CE50A9"/>
    <w:rsid w:val="00CE5420"/>
    <w:rsid w:val="00CE59A5"/>
    <w:rsid w:val="00CE6712"/>
    <w:rsid w:val="00CE6B1A"/>
    <w:rsid w:val="00CE70EE"/>
    <w:rsid w:val="00CE7108"/>
    <w:rsid w:val="00CE7187"/>
    <w:rsid w:val="00CE73AA"/>
    <w:rsid w:val="00CE7D31"/>
    <w:rsid w:val="00CF000C"/>
    <w:rsid w:val="00CF0F77"/>
    <w:rsid w:val="00CF1024"/>
    <w:rsid w:val="00CF104C"/>
    <w:rsid w:val="00CF12B5"/>
    <w:rsid w:val="00CF1CF2"/>
    <w:rsid w:val="00CF26B2"/>
    <w:rsid w:val="00CF2D53"/>
    <w:rsid w:val="00CF3238"/>
    <w:rsid w:val="00CF3546"/>
    <w:rsid w:val="00CF3C56"/>
    <w:rsid w:val="00CF416E"/>
    <w:rsid w:val="00CF41FB"/>
    <w:rsid w:val="00CF4F35"/>
    <w:rsid w:val="00CF641F"/>
    <w:rsid w:val="00CF64C5"/>
    <w:rsid w:val="00CF66F0"/>
    <w:rsid w:val="00CF6A17"/>
    <w:rsid w:val="00CF6FD2"/>
    <w:rsid w:val="00D0007D"/>
    <w:rsid w:val="00D0088A"/>
    <w:rsid w:val="00D00B86"/>
    <w:rsid w:val="00D010AE"/>
    <w:rsid w:val="00D01316"/>
    <w:rsid w:val="00D02207"/>
    <w:rsid w:val="00D024CD"/>
    <w:rsid w:val="00D03506"/>
    <w:rsid w:val="00D037CC"/>
    <w:rsid w:val="00D03D9D"/>
    <w:rsid w:val="00D03D9E"/>
    <w:rsid w:val="00D0484C"/>
    <w:rsid w:val="00D04D4E"/>
    <w:rsid w:val="00D054A3"/>
    <w:rsid w:val="00D05905"/>
    <w:rsid w:val="00D05E43"/>
    <w:rsid w:val="00D05F28"/>
    <w:rsid w:val="00D0710B"/>
    <w:rsid w:val="00D0715E"/>
    <w:rsid w:val="00D105E1"/>
    <w:rsid w:val="00D117A9"/>
    <w:rsid w:val="00D11811"/>
    <w:rsid w:val="00D119E7"/>
    <w:rsid w:val="00D11E34"/>
    <w:rsid w:val="00D121E7"/>
    <w:rsid w:val="00D12204"/>
    <w:rsid w:val="00D13008"/>
    <w:rsid w:val="00D13269"/>
    <w:rsid w:val="00D13665"/>
    <w:rsid w:val="00D14E67"/>
    <w:rsid w:val="00D14EBF"/>
    <w:rsid w:val="00D1501B"/>
    <w:rsid w:val="00D15444"/>
    <w:rsid w:val="00D15757"/>
    <w:rsid w:val="00D157EB"/>
    <w:rsid w:val="00D15D62"/>
    <w:rsid w:val="00D166E7"/>
    <w:rsid w:val="00D16816"/>
    <w:rsid w:val="00D171E8"/>
    <w:rsid w:val="00D17AD6"/>
    <w:rsid w:val="00D17F2A"/>
    <w:rsid w:val="00D20654"/>
    <w:rsid w:val="00D20915"/>
    <w:rsid w:val="00D215D7"/>
    <w:rsid w:val="00D22541"/>
    <w:rsid w:val="00D22CBB"/>
    <w:rsid w:val="00D22FD9"/>
    <w:rsid w:val="00D23E76"/>
    <w:rsid w:val="00D24795"/>
    <w:rsid w:val="00D24C0F"/>
    <w:rsid w:val="00D25103"/>
    <w:rsid w:val="00D256BD"/>
    <w:rsid w:val="00D25C2B"/>
    <w:rsid w:val="00D25DDF"/>
    <w:rsid w:val="00D25DEC"/>
    <w:rsid w:val="00D2630E"/>
    <w:rsid w:val="00D265A2"/>
    <w:rsid w:val="00D267D2"/>
    <w:rsid w:val="00D267EB"/>
    <w:rsid w:val="00D272CF"/>
    <w:rsid w:val="00D27420"/>
    <w:rsid w:val="00D278C9"/>
    <w:rsid w:val="00D27D5E"/>
    <w:rsid w:val="00D30F4E"/>
    <w:rsid w:val="00D30F55"/>
    <w:rsid w:val="00D31628"/>
    <w:rsid w:val="00D31EA6"/>
    <w:rsid w:val="00D335C9"/>
    <w:rsid w:val="00D336E0"/>
    <w:rsid w:val="00D33B3C"/>
    <w:rsid w:val="00D34AFC"/>
    <w:rsid w:val="00D358FE"/>
    <w:rsid w:val="00D36ABC"/>
    <w:rsid w:val="00D36AD9"/>
    <w:rsid w:val="00D36D59"/>
    <w:rsid w:val="00D40521"/>
    <w:rsid w:val="00D416D1"/>
    <w:rsid w:val="00D41A02"/>
    <w:rsid w:val="00D41CC6"/>
    <w:rsid w:val="00D42352"/>
    <w:rsid w:val="00D42F1F"/>
    <w:rsid w:val="00D43917"/>
    <w:rsid w:val="00D43921"/>
    <w:rsid w:val="00D43975"/>
    <w:rsid w:val="00D439F2"/>
    <w:rsid w:val="00D43C4D"/>
    <w:rsid w:val="00D43D9C"/>
    <w:rsid w:val="00D43F21"/>
    <w:rsid w:val="00D441E1"/>
    <w:rsid w:val="00D445AC"/>
    <w:rsid w:val="00D44798"/>
    <w:rsid w:val="00D44A24"/>
    <w:rsid w:val="00D45BF5"/>
    <w:rsid w:val="00D45C07"/>
    <w:rsid w:val="00D45DA1"/>
    <w:rsid w:val="00D45E03"/>
    <w:rsid w:val="00D46883"/>
    <w:rsid w:val="00D46B2B"/>
    <w:rsid w:val="00D47319"/>
    <w:rsid w:val="00D4739E"/>
    <w:rsid w:val="00D5076F"/>
    <w:rsid w:val="00D5188D"/>
    <w:rsid w:val="00D51D43"/>
    <w:rsid w:val="00D524B6"/>
    <w:rsid w:val="00D52A5F"/>
    <w:rsid w:val="00D52AD8"/>
    <w:rsid w:val="00D53D26"/>
    <w:rsid w:val="00D53FD7"/>
    <w:rsid w:val="00D54108"/>
    <w:rsid w:val="00D54A01"/>
    <w:rsid w:val="00D55024"/>
    <w:rsid w:val="00D55054"/>
    <w:rsid w:val="00D554E0"/>
    <w:rsid w:val="00D55743"/>
    <w:rsid w:val="00D55C76"/>
    <w:rsid w:val="00D56116"/>
    <w:rsid w:val="00D5630F"/>
    <w:rsid w:val="00D56B7A"/>
    <w:rsid w:val="00D56FF9"/>
    <w:rsid w:val="00D607C1"/>
    <w:rsid w:val="00D60E31"/>
    <w:rsid w:val="00D60F39"/>
    <w:rsid w:val="00D612CF"/>
    <w:rsid w:val="00D61CB2"/>
    <w:rsid w:val="00D62099"/>
    <w:rsid w:val="00D62316"/>
    <w:rsid w:val="00D6284F"/>
    <w:rsid w:val="00D62CA9"/>
    <w:rsid w:val="00D62CCC"/>
    <w:rsid w:val="00D62D96"/>
    <w:rsid w:val="00D62FA6"/>
    <w:rsid w:val="00D62FAA"/>
    <w:rsid w:val="00D6303D"/>
    <w:rsid w:val="00D6378D"/>
    <w:rsid w:val="00D63DC3"/>
    <w:rsid w:val="00D65DCE"/>
    <w:rsid w:val="00D668D9"/>
    <w:rsid w:val="00D66D90"/>
    <w:rsid w:val="00D670B6"/>
    <w:rsid w:val="00D672CA"/>
    <w:rsid w:val="00D674C8"/>
    <w:rsid w:val="00D6774D"/>
    <w:rsid w:val="00D705A9"/>
    <w:rsid w:val="00D71194"/>
    <w:rsid w:val="00D71355"/>
    <w:rsid w:val="00D71B19"/>
    <w:rsid w:val="00D71BB0"/>
    <w:rsid w:val="00D71D03"/>
    <w:rsid w:val="00D72793"/>
    <w:rsid w:val="00D72985"/>
    <w:rsid w:val="00D72E2B"/>
    <w:rsid w:val="00D731B4"/>
    <w:rsid w:val="00D736CF"/>
    <w:rsid w:val="00D73BD6"/>
    <w:rsid w:val="00D73F04"/>
    <w:rsid w:val="00D7472B"/>
    <w:rsid w:val="00D7521E"/>
    <w:rsid w:val="00D7554D"/>
    <w:rsid w:val="00D75755"/>
    <w:rsid w:val="00D7606E"/>
    <w:rsid w:val="00D76928"/>
    <w:rsid w:val="00D77258"/>
    <w:rsid w:val="00D77614"/>
    <w:rsid w:val="00D77B35"/>
    <w:rsid w:val="00D77F05"/>
    <w:rsid w:val="00D806B9"/>
    <w:rsid w:val="00D8161B"/>
    <w:rsid w:val="00D816C4"/>
    <w:rsid w:val="00D82646"/>
    <w:rsid w:val="00D82755"/>
    <w:rsid w:val="00D82E8F"/>
    <w:rsid w:val="00D82F1D"/>
    <w:rsid w:val="00D83990"/>
    <w:rsid w:val="00D84965"/>
    <w:rsid w:val="00D84DEA"/>
    <w:rsid w:val="00D85127"/>
    <w:rsid w:val="00D86389"/>
    <w:rsid w:val="00D863DA"/>
    <w:rsid w:val="00D86463"/>
    <w:rsid w:val="00D87CD9"/>
    <w:rsid w:val="00D87DEE"/>
    <w:rsid w:val="00D87E3A"/>
    <w:rsid w:val="00D901B8"/>
    <w:rsid w:val="00D90B51"/>
    <w:rsid w:val="00D919F4"/>
    <w:rsid w:val="00D92018"/>
    <w:rsid w:val="00D92B43"/>
    <w:rsid w:val="00D92B69"/>
    <w:rsid w:val="00D92FA7"/>
    <w:rsid w:val="00D93843"/>
    <w:rsid w:val="00D93868"/>
    <w:rsid w:val="00D938CC"/>
    <w:rsid w:val="00D9424D"/>
    <w:rsid w:val="00D95415"/>
    <w:rsid w:val="00D95538"/>
    <w:rsid w:val="00D95847"/>
    <w:rsid w:val="00D95A2C"/>
    <w:rsid w:val="00D95B21"/>
    <w:rsid w:val="00D95F0D"/>
    <w:rsid w:val="00D977D3"/>
    <w:rsid w:val="00DA056C"/>
    <w:rsid w:val="00DA0F0A"/>
    <w:rsid w:val="00DA0F61"/>
    <w:rsid w:val="00DA21B2"/>
    <w:rsid w:val="00DA2820"/>
    <w:rsid w:val="00DA2884"/>
    <w:rsid w:val="00DA31B4"/>
    <w:rsid w:val="00DA4443"/>
    <w:rsid w:val="00DA45DA"/>
    <w:rsid w:val="00DA4A25"/>
    <w:rsid w:val="00DA4E1D"/>
    <w:rsid w:val="00DA5210"/>
    <w:rsid w:val="00DA59B7"/>
    <w:rsid w:val="00DA6C83"/>
    <w:rsid w:val="00DA6D03"/>
    <w:rsid w:val="00DA6E37"/>
    <w:rsid w:val="00DA7518"/>
    <w:rsid w:val="00DA763A"/>
    <w:rsid w:val="00DA7B96"/>
    <w:rsid w:val="00DA7C5D"/>
    <w:rsid w:val="00DA7FC0"/>
    <w:rsid w:val="00DB0432"/>
    <w:rsid w:val="00DB068E"/>
    <w:rsid w:val="00DB0D29"/>
    <w:rsid w:val="00DB0F73"/>
    <w:rsid w:val="00DB124C"/>
    <w:rsid w:val="00DB1CAF"/>
    <w:rsid w:val="00DB2762"/>
    <w:rsid w:val="00DB2E70"/>
    <w:rsid w:val="00DB37EE"/>
    <w:rsid w:val="00DB39C3"/>
    <w:rsid w:val="00DB4DAF"/>
    <w:rsid w:val="00DB4F00"/>
    <w:rsid w:val="00DB5897"/>
    <w:rsid w:val="00DB5E17"/>
    <w:rsid w:val="00DB67AA"/>
    <w:rsid w:val="00DB6C99"/>
    <w:rsid w:val="00DB78A3"/>
    <w:rsid w:val="00DC0331"/>
    <w:rsid w:val="00DC0530"/>
    <w:rsid w:val="00DC06FA"/>
    <w:rsid w:val="00DC0C11"/>
    <w:rsid w:val="00DC0D81"/>
    <w:rsid w:val="00DC0DA1"/>
    <w:rsid w:val="00DC1BCE"/>
    <w:rsid w:val="00DC24E1"/>
    <w:rsid w:val="00DC2BB2"/>
    <w:rsid w:val="00DC2EE8"/>
    <w:rsid w:val="00DC369C"/>
    <w:rsid w:val="00DC3F38"/>
    <w:rsid w:val="00DC4D01"/>
    <w:rsid w:val="00DC5322"/>
    <w:rsid w:val="00DC5495"/>
    <w:rsid w:val="00DC569E"/>
    <w:rsid w:val="00DC5774"/>
    <w:rsid w:val="00DC5B69"/>
    <w:rsid w:val="00DC6B05"/>
    <w:rsid w:val="00DC6DBC"/>
    <w:rsid w:val="00DC6DCB"/>
    <w:rsid w:val="00DC747F"/>
    <w:rsid w:val="00DC74E4"/>
    <w:rsid w:val="00DC75B4"/>
    <w:rsid w:val="00DD0102"/>
    <w:rsid w:val="00DD0905"/>
    <w:rsid w:val="00DD09CF"/>
    <w:rsid w:val="00DD0DE5"/>
    <w:rsid w:val="00DD17BB"/>
    <w:rsid w:val="00DD1C81"/>
    <w:rsid w:val="00DD2207"/>
    <w:rsid w:val="00DD3507"/>
    <w:rsid w:val="00DD39CA"/>
    <w:rsid w:val="00DD3C68"/>
    <w:rsid w:val="00DD425F"/>
    <w:rsid w:val="00DD4C34"/>
    <w:rsid w:val="00DD5AB3"/>
    <w:rsid w:val="00DD6110"/>
    <w:rsid w:val="00DD6463"/>
    <w:rsid w:val="00DD64E1"/>
    <w:rsid w:val="00DD6531"/>
    <w:rsid w:val="00DD6FD6"/>
    <w:rsid w:val="00DD70BA"/>
    <w:rsid w:val="00DD7D1C"/>
    <w:rsid w:val="00DE0780"/>
    <w:rsid w:val="00DE096E"/>
    <w:rsid w:val="00DE0D2A"/>
    <w:rsid w:val="00DE14B1"/>
    <w:rsid w:val="00DE14BE"/>
    <w:rsid w:val="00DE18CB"/>
    <w:rsid w:val="00DE202C"/>
    <w:rsid w:val="00DE2555"/>
    <w:rsid w:val="00DE2F7D"/>
    <w:rsid w:val="00DE324B"/>
    <w:rsid w:val="00DE339E"/>
    <w:rsid w:val="00DE443B"/>
    <w:rsid w:val="00DE49B2"/>
    <w:rsid w:val="00DE4B4B"/>
    <w:rsid w:val="00DE4FE9"/>
    <w:rsid w:val="00DE713C"/>
    <w:rsid w:val="00DE7759"/>
    <w:rsid w:val="00DE7CB0"/>
    <w:rsid w:val="00DF01F0"/>
    <w:rsid w:val="00DF13D0"/>
    <w:rsid w:val="00DF25CC"/>
    <w:rsid w:val="00DF2E99"/>
    <w:rsid w:val="00DF3190"/>
    <w:rsid w:val="00DF3259"/>
    <w:rsid w:val="00DF3D03"/>
    <w:rsid w:val="00DF459D"/>
    <w:rsid w:val="00DF5ACD"/>
    <w:rsid w:val="00DF5F31"/>
    <w:rsid w:val="00DF72E2"/>
    <w:rsid w:val="00DF7F90"/>
    <w:rsid w:val="00E001FD"/>
    <w:rsid w:val="00E00FC8"/>
    <w:rsid w:val="00E017D4"/>
    <w:rsid w:val="00E018BE"/>
    <w:rsid w:val="00E01CD2"/>
    <w:rsid w:val="00E01FD4"/>
    <w:rsid w:val="00E01FDE"/>
    <w:rsid w:val="00E0315B"/>
    <w:rsid w:val="00E03779"/>
    <w:rsid w:val="00E03D21"/>
    <w:rsid w:val="00E03F0D"/>
    <w:rsid w:val="00E04152"/>
    <w:rsid w:val="00E0484F"/>
    <w:rsid w:val="00E05A01"/>
    <w:rsid w:val="00E05DBE"/>
    <w:rsid w:val="00E06782"/>
    <w:rsid w:val="00E06A98"/>
    <w:rsid w:val="00E06E2C"/>
    <w:rsid w:val="00E06FDF"/>
    <w:rsid w:val="00E07268"/>
    <w:rsid w:val="00E07B13"/>
    <w:rsid w:val="00E107A2"/>
    <w:rsid w:val="00E107C3"/>
    <w:rsid w:val="00E108C3"/>
    <w:rsid w:val="00E1187B"/>
    <w:rsid w:val="00E11AF9"/>
    <w:rsid w:val="00E11B8C"/>
    <w:rsid w:val="00E12278"/>
    <w:rsid w:val="00E12D10"/>
    <w:rsid w:val="00E1459C"/>
    <w:rsid w:val="00E14BCA"/>
    <w:rsid w:val="00E151D9"/>
    <w:rsid w:val="00E1568D"/>
    <w:rsid w:val="00E15695"/>
    <w:rsid w:val="00E15EAF"/>
    <w:rsid w:val="00E17309"/>
    <w:rsid w:val="00E17740"/>
    <w:rsid w:val="00E214A3"/>
    <w:rsid w:val="00E214C0"/>
    <w:rsid w:val="00E21579"/>
    <w:rsid w:val="00E21B70"/>
    <w:rsid w:val="00E21DD9"/>
    <w:rsid w:val="00E22499"/>
    <w:rsid w:val="00E2323C"/>
    <w:rsid w:val="00E233FF"/>
    <w:rsid w:val="00E245B9"/>
    <w:rsid w:val="00E24A04"/>
    <w:rsid w:val="00E25152"/>
    <w:rsid w:val="00E256A7"/>
    <w:rsid w:val="00E26B7C"/>
    <w:rsid w:val="00E27224"/>
    <w:rsid w:val="00E272D8"/>
    <w:rsid w:val="00E27340"/>
    <w:rsid w:val="00E27880"/>
    <w:rsid w:val="00E27A27"/>
    <w:rsid w:val="00E27EC6"/>
    <w:rsid w:val="00E305E7"/>
    <w:rsid w:val="00E30A2B"/>
    <w:rsid w:val="00E316D3"/>
    <w:rsid w:val="00E31834"/>
    <w:rsid w:val="00E319B5"/>
    <w:rsid w:val="00E31C01"/>
    <w:rsid w:val="00E31CA0"/>
    <w:rsid w:val="00E323C7"/>
    <w:rsid w:val="00E329D8"/>
    <w:rsid w:val="00E32AEB"/>
    <w:rsid w:val="00E32D51"/>
    <w:rsid w:val="00E33501"/>
    <w:rsid w:val="00E33699"/>
    <w:rsid w:val="00E33D9E"/>
    <w:rsid w:val="00E33E92"/>
    <w:rsid w:val="00E351B2"/>
    <w:rsid w:val="00E3568C"/>
    <w:rsid w:val="00E35841"/>
    <w:rsid w:val="00E3623A"/>
    <w:rsid w:val="00E3692F"/>
    <w:rsid w:val="00E36C28"/>
    <w:rsid w:val="00E377EF"/>
    <w:rsid w:val="00E41045"/>
    <w:rsid w:val="00E41227"/>
    <w:rsid w:val="00E4191E"/>
    <w:rsid w:val="00E41AC4"/>
    <w:rsid w:val="00E41AEC"/>
    <w:rsid w:val="00E41EBC"/>
    <w:rsid w:val="00E420C5"/>
    <w:rsid w:val="00E42230"/>
    <w:rsid w:val="00E42833"/>
    <w:rsid w:val="00E4290D"/>
    <w:rsid w:val="00E43E1F"/>
    <w:rsid w:val="00E44F10"/>
    <w:rsid w:val="00E453D3"/>
    <w:rsid w:val="00E45593"/>
    <w:rsid w:val="00E45D39"/>
    <w:rsid w:val="00E45DFD"/>
    <w:rsid w:val="00E471DB"/>
    <w:rsid w:val="00E472AF"/>
    <w:rsid w:val="00E474F3"/>
    <w:rsid w:val="00E47BF5"/>
    <w:rsid w:val="00E503B0"/>
    <w:rsid w:val="00E511AB"/>
    <w:rsid w:val="00E511F5"/>
    <w:rsid w:val="00E5266F"/>
    <w:rsid w:val="00E5273D"/>
    <w:rsid w:val="00E52747"/>
    <w:rsid w:val="00E52FC9"/>
    <w:rsid w:val="00E5327D"/>
    <w:rsid w:val="00E5342F"/>
    <w:rsid w:val="00E5343F"/>
    <w:rsid w:val="00E53ABF"/>
    <w:rsid w:val="00E54B00"/>
    <w:rsid w:val="00E54BA4"/>
    <w:rsid w:val="00E54CEB"/>
    <w:rsid w:val="00E55028"/>
    <w:rsid w:val="00E559D8"/>
    <w:rsid w:val="00E55BCB"/>
    <w:rsid w:val="00E5666A"/>
    <w:rsid w:val="00E57435"/>
    <w:rsid w:val="00E6008D"/>
    <w:rsid w:val="00E60293"/>
    <w:rsid w:val="00E60474"/>
    <w:rsid w:val="00E609F9"/>
    <w:rsid w:val="00E60B11"/>
    <w:rsid w:val="00E60BDA"/>
    <w:rsid w:val="00E613F2"/>
    <w:rsid w:val="00E650F8"/>
    <w:rsid w:val="00E65A48"/>
    <w:rsid w:val="00E665CA"/>
    <w:rsid w:val="00E66F10"/>
    <w:rsid w:val="00E676BA"/>
    <w:rsid w:val="00E6781D"/>
    <w:rsid w:val="00E70076"/>
    <w:rsid w:val="00E70E61"/>
    <w:rsid w:val="00E70EC6"/>
    <w:rsid w:val="00E713F3"/>
    <w:rsid w:val="00E7207B"/>
    <w:rsid w:val="00E732F1"/>
    <w:rsid w:val="00E73575"/>
    <w:rsid w:val="00E735A3"/>
    <w:rsid w:val="00E738F0"/>
    <w:rsid w:val="00E73A96"/>
    <w:rsid w:val="00E73B00"/>
    <w:rsid w:val="00E73E25"/>
    <w:rsid w:val="00E74918"/>
    <w:rsid w:val="00E74A48"/>
    <w:rsid w:val="00E756CE"/>
    <w:rsid w:val="00E757BC"/>
    <w:rsid w:val="00E760E9"/>
    <w:rsid w:val="00E76556"/>
    <w:rsid w:val="00E77A52"/>
    <w:rsid w:val="00E77CD9"/>
    <w:rsid w:val="00E80127"/>
    <w:rsid w:val="00E8016D"/>
    <w:rsid w:val="00E80642"/>
    <w:rsid w:val="00E806D7"/>
    <w:rsid w:val="00E810B2"/>
    <w:rsid w:val="00E812B5"/>
    <w:rsid w:val="00E81BF7"/>
    <w:rsid w:val="00E8238A"/>
    <w:rsid w:val="00E825ED"/>
    <w:rsid w:val="00E82CA5"/>
    <w:rsid w:val="00E83E93"/>
    <w:rsid w:val="00E84077"/>
    <w:rsid w:val="00E84D0E"/>
    <w:rsid w:val="00E84EDF"/>
    <w:rsid w:val="00E85301"/>
    <w:rsid w:val="00E85706"/>
    <w:rsid w:val="00E85E27"/>
    <w:rsid w:val="00E860C6"/>
    <w:rsid w:val="00E8658A"/>
    <w:rsid w:val="00E87DD9"/>
    <w:rsid w:val="00E91996"/>
    <w:rsid w:val="00E91E36"/>
    <w:rsid w:val="00E924C9"/>
    <w:rsid w:val="00E92624"/>
    <w:rsid w:val="00E92B04"/>
    <w:rsid w:val="00E92B22"/>
    <w:rsid w:val="00E93CF1"/>
    <w:rsid w:val="00E94441"/>
    <w:rsid w:val="00E94B9E"/>
    <w:rsid w:val="00E956D7"/>
    <w:rsid w:val="00E96282"/>
    <w:rsid w:val="00E96C0D"/>
    <w:rsid w:val="00E9786B"/>
    <w:rsid w:val="00E97F31"/>
    <w:rsid w:val="00EA1C6B"/>
    <w:rsid w:val="00EA2F5E"/>
    <w:rsid w:val="00EA3296"/>
    <w:rsid w:val="00EA42DC"/>
    <w:rsid w:val="00EA4423"/>
    <w:rsid w:val="00EA4429"/>
    <w:rsid w:val="00EA494B"/>
    <w:rsid w:val="00EA639D"/>
    <w:rsid w:val="00EB0410"/>
    <w:rsid w:val="00EB18D8"/>
    <w:rsid w:val="00EB26B5"/>
    <w:rsid w:val="00EB2996"/>
    <w:rsid w:val="00EB2A4B"/>
    <w:rsid w:val="00EB2E9D"/>
    <w:rsid w:val="00EB321C"/>
    <w:rsid w:val="00EB327F"/>
    <w:rsid w:val="00EB3427"/>
    <w:rsid w:val="00EB3E13"/>
    <w:rsid w:val="00EB407D"/>
    <w:rsid w:val="00EB4166"/>
    <w:rsid w:val="00EB4F89"/>
    <w:rsid w:val="00EB5070"/>
    <w:rsid w:val="00EB53DC"/>
    <w:rsid w:val="00EB5523"/>
    <w:rsid w:val="00EB5A15"/>
    <w:rsid w:val="00EB60FD"/>
    <w:rsid w:val="00EB6731"/>
    <w:rsid w:val="00EB6FB1"/>
    <w:rsid w:val="00EC0259"/>
    <w:rsid w:val="00EC0B54"/>
    <w:rsid w:val="00EC10CA"/>
    <w:rsid w:val="00EC12CE"/>
    <w:rsid w:val="00EC254F"/>
    <w:rsid w:val="00EC28CC"/>
    <w:rsid w:val="00EC3654"/>
    <w:rsid w:val="00EC372B"/>
    <w:rsid w:val="00EC3961"/>
    <w:rsid w:val="00EC40E0"/>
    <w:rsid w:val="00EC44CF"/>
    <w:rsid w:val="00EC47E3"/>
    <w:rsid w:val="00EC4ACB"/>
    <w:rsid w:val="00EC4BC4"/>
    <w:rsid w:val="00EC4F3E"/>
    <w:rsid w:val="00EC4F98"/>
    <w:rsid w:val="00EC6094"/>
    <w:rsid w:val="00EC6248"/>
    <w:rsid w:val="00EC627A"/>
    <w:rsid w:val="00EC6845"/>
    <w:rsid w:val="00EC6F8F"/>
    <w:rsid w:val="00EC712B"/>
    <w:rsid w:val="00EC7294"/>
    <w:rsid w:val="00EC7A90"/>
    <w:rsid w:val="00EC7D62"/>
    <w:rsid w:val="00ED1CCE"/>
    <w:rsid w:val="00ED2628"/>
    <w:rsid w:val="00ED2ABE"/>
    <w:rsid w:val="00ED355A"/>
    <w:rsid w:val="00ED3F91"/>
    <w:rsid w:val="00ED52D0"/>
    <w:rsid w:val="00ED52F0"/>
    <w:rsid w:val="00ED5618"/>
    <w:rsid w:val="00ED6087"/>
    <w:rsid w:val="00ED6184"/>
    <w:rsid w:val="00ED64ED"/>
    <w:rsid w:val="00ED68C5"/>
    <w:rsid w:val="00ED6D71"/>
    <w:rsid w:val="00ED6DF9"/>
    <w:rsid w:val="00ED6E67"/>
    <w:rsid w:val="00ED7B24"/>
    <w:rsid w:val="00EE0214"/>
    <w:rsid w:val="00EE0F15"/>
    <w:rsid w:val="00EE10A9"/>
    <w:rsid w:val="00EE127A"/>
    <w:rsid w:val="00EE1298"/>
    <w:rsid w:val="00EE1B52"/>
    <w:rsid w:val="00EE1E24"/>
    <w:rsid w:val="00EE2CDD"/>
    <w:rsid w:val="00EE2CFF"/>
    <w:rsid w:val="00EE3023"/>
    <w:rsid w:val="00EE39D3"/>
    <w:rsid w:val="00EE4365"/>
    <w:rsid w:val="00EE4BB8"/>
    <w:rsid w:val="00EE4E72"/>
    <w:rsid w:val="00EE502D"/>
    <w:rsid w:val="00EE5F37"/>
    <w:rsid w:val="00EE73C3"/>
    <w:rsid w:val="00EE7747"/>
    <w:rsid w:val="00EF00C4"/>
    <w:rsid w:val="00EF0819"/>
    <w:rsid w:val="00EF08BC"/>
    <w:rsid w:val="00EF0906"/>
    <w:rsid w:val="00EF1244"/>
    <w:rsid w:val="00EF20DD"/>
    <w:rsid w:val="00EF2690"/>
    <w:rsid w:val="00EF28BB"/>
    <w:rsid w:val="00EF3799"/>
    <w:rsid w:val="00EF3B53"/>
    <w:rsid w:val="00EF3BCD"/>
    <w:rsid w:val="00EF43BA"/>
    <w:rsid w:val="00EF4430"/>
    <w:rsid w:val="00EF5AC1"/>
    <w:rsid w:val="00EF5B4A"/>
    <w:rsid w:val="00EF5B8C"/>
    <w:rsid w:val="00EF5BE8"/>
    <w:rsid w:val="00EF6230"/>
    <w:rsid w:val="00EF6BEC"/>
    <w:rsid w:val="00EF7404"/>
    <w:rsid w:val="00EF774B"/>
    <w:rsid w:val="00F000AF"/>
    <w:rsid w:val="00F00637"/>
    <w:rsid w:val="00F00952"/>
    <w:rsid w:val="00F00A43"/>
    <w:rsid w:val="00F00A86"/>
    <w:rsid w:val="00F00C7A"/>
    <w:rsid w:val="00F01C0F"/>
    <w:rsid w:val="00F01D33"/>
    <w:rsid w:val="00F01E99"/>
    <w:rsid w:val="00F02CE4"/>
    <w:rsid w:val="00F02D67"/>
    <w:rsid w:val="00F0375A"/>
    <w:rsid w:val="00F03AE4"/>
    <w:rsid w:val="00F03D4E"/>
    <w:rsid w:val="00F04F14"/>
    <w:rsid w:val="00F05061"/>
    <w:rsid w:val="00F0547E"/>
    <w:rsid w:val="00F0571B"/>
    <w:rsid w:val="00F05CAA"/>
    <w:rsid w:val="00F0712F"/>
    <w:rsid w:val="00F07C4C"/>
    <w:rsid w:val="00F10118"/>
    <w:rsid w:val="00F108EF"/>
    <w:rsid w:val="00F10E15"/>
    <w:rsid w:val="00F10FFE"/>
    <w:rsid w:val="00F1123D"/>
    <w:rsid w:val="00F11372"/>
    <w:rsid w:val="00F1137D"/>
    <w:rsid w:val="00F139A0"/>
    <w:rsid w:val="00F13F2C"/>
    <w:rsid w:val="00F143DC"/>
    <w:rsid w:val="00F14B4D"/>
    <w:rsid w:val="00F15195"/>
    <w:rsid w:val="00F1527D"/>
    <w:rsid w:val="00F15319"/>
    <w:rsid w:val="00F15716"/>
    <w:rsid w:val="00F15C9F"/>
    <w:rsid w:val="00F15CC6"/>
    <w:rsid w:val="00F16A01"/>
    <w:rsid w:val="00F16E24"/>
    <w:rsid w:val="00F17377"/>
    <w:rsid w:val="00F178EC"/>
    <w:rsid w:val="00F17A10"/>
    <w:rsid w:val="00F20090"/>
    <w:rsid w:val="00F200A7"/>
    <w:rsid w:val="00F20200"/>
    <w:rsid w:val="00F210C2"/>
    <w:rsid w:val="00F213FD"/>
    <w:rsid w:val="00F214E5"/>
    <w:rsid w:val="00F215AC"/>
    <w:rsid w:val="00F216C6"/>
    <w:rsid w:val="00F21949"/>
    <w:rsid w:val="00F21CD5"/>
    <w:rsid w:val="00F21E01"/>
    <w:rsid w:val="00F22678"/>
    <w:rsid w:val="00F22A7C"/>
    <w:rsid w:val="00F22C83"/>
    <w:rsid w:val="00F22D8D"/>
    <w:rsid w:val="00F231A0"/>
    <w:rsid w:val="00F2346C"/>
    <w:rsid w:val="00F24480"/>
    <w:rsid w:val="00F24CCA"/>
    <w:rsid w:val="00F259FC"/>
    <w:rsid w:val="00F26462"/>
    <w:rsid w:val="00F26B24"/>
    <w:rsid w:val="00F26C36"/>
    <w:rsid w:val="00F27E95"/>
    <w:rsid w:val="00F27F79"/>
    <w:rsid w:val="00F300F6"/>
    <w:rsid w:val="00F302D6"/>
    <w:rsid w:val="00F3119B"/>
    <w:rsid w:val="00F31A23"/>
    <w:rsid w:val="00F31F92"/>
    <w:rsid w:val="00F324EE"/>
    <w:rsid w:val="00F32774"/>
    <w:rsid w:val="00F330EF"/>
    <w:rsid w:val="00F33F1B"/>
    <w:rsid w:val="00F35500"/>
    <w:rsid w:val="00F3562D"/>
    <w:rsid w:val="00F35DB8"/>
    <w:rsid w:val="00F35F37"/>
    <w:rsid w:val="00F36516"/>
    <w:rsid w:val="00F36DAB"/>
    <w:rsid w:val="00F376F4"/>
    <w:rsid w:val="00F37799"/>
    <w:rsid w:val="00F378BB"/>
    <w:rsid w:val="00F37FB8"/>
    <w:rsid w:val="00F405A8"/>
    <w:rsid w:val="00F40871"/>
    <w:rsid w:val="00F40915"/>
    <w:rsid w:val="00F409F8"/>
    <w:rsid w:val="00F41599"/>
    <w:rsid w:val="00F42566"/>
    <w:rsid w:val="00F42632"/>
    <w:rsid w:val="00F427C0"/>
    <w:rsid w:val="00F42892"/>
    <w:rsid w:val="00F4375A"/>
    <w:rsid w:val="00F43782"/>
    <w:rsid w:val="00F43A19"/>
    <w:rsid w:val="00F443A6"/>
    <w:rsid w:val="00F44650"/>
    <w:rsid w:val="00F44838"/>
    <w:rsid w:val="00F455C5"/>
    <w:rsid w:val="00F4574B"/>
    <w:rsid w:val="00F4599E"/>
    <w:rsid w:val="00F45D6E"/>
    <w:rsid w:val="00F45EE6"/>
    <w:rsid w:val="00F46797"/>
    <w:rsid w:val="00F46882"/>
    <w:rsid w:val="00F468D4"/>
    <w:rsid w:val="00F468FB"/>
    <w:rsid w:val="00F46C7E"/>
    <w:rsid w:val="00F475ED"/>
    <w:rsid w:val="00F50107"/>
    <w:rsid w:val="00F501BE"/>
    <w:rsid w:val="00F50890"/>
    <w:rsid w:val="00F50C1E"/>
    <w:rsid w:val="00F5105E"/>
    <w:rsid w:val="00F5190B"/>
    <w:rsid w:val="00F519B7"/>
    <w:rsid w:val="00F52552"/>
    <w:rsid w:val="00F5263D"/>
    <w:rsid w:val="00F5265A"/>
    <w:rsid w:val="00F5363F"/>
    <w:rsid w:val="00F53698"/>
    <w:rsid w:val="00F539B4"/>
    <w:rsid w:val="00F53DBB"/>
    <w:rsid w:val="00F5427D"/>
    <w:rsid w:val="00F543B3"/>
    <w:rsid w:val="00F54CF0"/>
    <w:rsid w:val="00F556B7"/>
    <w:rsid w:val="00F55721"/>
    <w:rsid w:val="00F55D62"/>
    <w:rsid w:val="00F563F7"/>
    <w:rsid w:val="00F56E5A"/>
    <w:rsid w:val="00F56E76"/>
    <w:rsid w:val="00F57538"/>
    <w:rsid w:val="00F57ABE"/>
    <w:rsid w:val="00F600D5"/>
    <w:rsid w:val="00F60282"/>
    <w:rsid w:val="00F60C24"/>
    <w:rsid w:val="00F62D36"/>
    <w:rsid w:val="00F62FCB"/>
    <w:rsid w:val="00F637EA"/>
    <w:rsid w:val="00F63D1D"/>
    <w:rsid w:val="00F646D4"/>
    <w:rsid w:val="00F65749"/>
    <w:rsid w:val="00F66A23"/>
    <w:rsid w:val="00F66C82"/>
    <w:rsid w:val="00F672B4"/>
    <w:rsid w:val="00F674BB"/>
    <w:rsid w:val="00F67DDA"/>
    <w:rsid w:val="00F708C2"/>
    <w:rsid w:val="00F714F8"/>
    <w:rsid w:val="00F715AA"/>
    <w:rsid w:val="00F716CA"/>
    <w:rsid w:val="00F72575"/>
    <w:rsid w:val="00F726DE"/>
    <w:rsid w:val="00F73933"/>
    <w:rsid w:val="00F739C9"/>
    <w:rsid w:val="00F741A3"/>
    <w:rsid w:val="00F7470B"/>
    <w:rsid w:val="00F74D05"/>
    <w:rsid w:val="00F74D23"/>
    <w:rsid w:val="00F75816"/>
    <w:rsid w:val="00F76204"/>
    <w:rsid w:val="00F766F4"/>
    <w:rsid w:val="00F7717B"/>
    <w:rsid w:val="00F77214"/>
    <w:rsid w:val="00F77AFA"/>
    <w:rsid w:val="00F8029A"/>
    <w:rsid w:val="00F80326"/>
    <w:rsid w:val="00F812F1"/>
    <w:rsid w:val="00F82793"/>
    <w:rsid w:val="00F83C46"/>
    <w:rsid w:val="00F83F02"/>
    <w:rsid w:val="00F840F5"/>
    <w:rsid w:val="00F85D31"/>
    <w:rsid w:val="00F861FE"/>
    <w:rsid w:val="00F8691D"/>
    <w:rsid w:val="00F86B29"/>
    <w:rsid w:val="00F86DFE"/>
    <w:rsid w:val="00F86ECD"/>
    <w:rsid w:val="00F874DE"/>
    <w:rsid w:val="00F90188"/>
    <w:rsid w:val="00F90387"/>
    <w:rsid w:val="00F904D7"/>
    <w:rsid w:val="00F905BE"/>
    <w:rsid w:val="00F91377"/>
    <w:rsid w:val="00F91E87"/>
    <w:rsid w:val="00F92081"/>
    <w:rsid w:val="00F92419"/>
    <w:rsid w:val="00F92E07"/>
    <w:rsid w:val="00F939FA"/>
    <w:rsid w:val="00F9496E"/>
    <w:rsid w:val="00F949CF"/>
    <w:rsid w:val="00F9621D"/>
    <w:rsid w:val="00F962C6"/>
    <w:rsid w:val="00F96436"/>
    <w:rsid w:val="00F9688E"/>
    <w:rsid w:val="00F972A1"/>
    <w:rsid w:val="00F97573"/>
    <w:rsid w:val="00F97747"/>
    <w:rsid w:val="00F97C24"/>
    <w:rsid w:val="00FA008C"/>
    <w:rsid w:val="00FA1FD1"/>
    <w:rsid w:val="00FA2471"/>
    <w:rsid w:val="00FA2A0B"/>
    <w:rsid w:val="00FA3DED"/>
    <w:rsid w:val="00FA40BA"/>
    <w:rsid w:val="00FA4409"/>
    <w:rsid w:val="00FA4CE0"/>
    <w:rsid w:val="00FA5358"/>
    <w:rsid w:val="00FA5DE6"/>
    <w:rsid w:val="00FA6547"/>
    <w:rsid w:val="00FA68A5"/>
    <w:rsid w:val="00FA6979"/>
    <w:rsid w:val="00FA6C2C"/>
    <w:rsid w:val="00FA6F19"/>
    <w:rsid w:val="00FA75ED"/>
    <w:rsid w:val="00FA7A03"/>
    <w:rsid w:val="00FB0060"/>
    <w:rsid w:val="00FB045B"/>
    <w:rsid w:val="00FB05B0"/>
    <w:rsid w:val="00FB0673"/>
    <w:rsid w:val="00FB0B00"/>
    <w:rsid w:val="00FB0C84"/>
    <w:rsid w:val="00FB0EAD"/>
    <w:rsid w:val="00FB19D6"/>
    <w:rsid w:val="00FB1B48"/>
    <w:rsid w:val="00FB20A8"/>
    <w:rsid w:val="00FB317E"/>
    <w:rsid w:val="00FB349B"/>
    <w:rsid w:val="00FB3562"/>
    <w:rsid w:val="00FB35DC"/>
    <w:rsid w:val="00FB43AF"/>
    <w:rsid w:val="00FB4D4F"/>
    <w:rsid w:val="00FB5696"/>
    <w:rsid w:val="00FB6376"/>
    <w:rsid w:val="00FB6A2E"/>
    <w:rsid w:val="00FB6FCE"/>
    <w:rsid w:val="00FB7F25"/>
    <w:rsid w:val="00FB7F76"/>
    <w:rsid w:val="00FC099F"/>
    <w:rsid w:val="00FC20B0"/>
    <w:rsid w:val="00FC2567"/>
    <w:rsid w:val="00FC2C3C"/>
    <w:rsid w:val="00FC37C0"/>
    <w:rsid w:val="00FC38C8"/>
    <w:rsid w:val="00FC4502"/>
    <w:rsid w:val="00FC4971"/>
    <w:rsid w:val="00FC4CAB"/>
    <w:rsid w:val="00FC58A8"/>
    <w:rsid w:val="00FC6265"/>
    <w:rsid w:val="00FC6327"/>
    <w:rsid w:val="00FC63C0"/>
    <w:rsid w:val="00FC74C5"/>
    <w:rsid w:val="00FC75FD"/>
    <w:rsid w:val="00FC7640"/>
    <w:rsid w:val="00FC76D0"/>
    <w:rsid w:val="00FC7898"/>
    <w:rsid w:val="00FC7EFD"/>
    <w:rsid w:val="00FD0820"/>
    <w:rsid w:val="00FD0D2E"/>
    <w:rsid w:val="00FD1504"/>
    <w:rsid w:val="00FD2539"/>
    <w:rsid w:val="00FD3090"/>
    <w:rsid w:val="00FD31CA"/>
    <w:rsid w:val="00FD35EB"/>
    <w:rsid w:val="00FD3A6A"/>
    <w:rsid w:val="00FD41E1"/>
    <w:rsid w:val="00FD440E"/>
    <w:rsid w:val="00FD4423"/>
    <w:rsid w:val="00FD4F71"/>
    <w:rsid w:val="00FD544D"/>
    <w:rsid w:val="00FD5CD4"/>
    <w:rsid w:val="00FD6646"/>
    <w:rsid w:val="00FD6B96"/>
    <w:rsid w:val="00FD728B"/>
    <w:rsid w:val="00FD7B44"/>
    <w:rsid w:val="00FD7E02"/>
    <w:rsid w:val="00FE0139"/>
    <w:rsid w:val="00FE0185"/>
    <w:rsid w:val="00FE0862"/>
    <w:rsid w:val="00FE12F0"/>
    <w:rsid w:val="00FE1857"/>
    <w:rsid w:val="00FE2497"/>
    <w:rsid w:val="00FE2526"/>
    <w:rsid w:val="00FE3DD8"/>
    <w:rsid w:val="00FE3E8B"/>
    <w:rsid w:val="00FE4107"/>
    <w:rsid w:val="00FE4C6C"/>
    <w:rsid w:val="00FE4CB5"/>
    <w:rsid w:val="00FE4D95"/>
    <w:rsid w:val="00FE5335"/>
    <w:rsid w:val="00FE536E"/>
    <w:rsid w:val="00FE53F7"/>
    <w:rsid w:val="00FE5A00"/>
    <w:rsid w:val="00FE6357"/>
    <w:rsid w:val="00FE651B"/>
    <w:rsid w:val="00FE6E11"/>
    <w:rsid w:val="00FE7318"/>
    <w:rsid w:val="00FF1134"/>
    <w:rsid w:val="00FF155B"/>
    <w:rsid w:val="00FF162D"/>
    <w:rsid w:val="00FF182A"/>
    <w:rsid w:val="00FF1DEF"/>
    <w:rsid w:val="00FF1F34"/>
    <w:rsid w:val="00FF2048"/>
    <w:rsid w:val="00FF2184"/>
    <w:rsid w:val="00FF2D2E"/>
    <w:rsid w:val="00FF3112"/>
    <w:rsid w:val="00FF35E6"/>
    <w:rsid w:val="00FF3A83"/>
    <w:rsid w:val="00FF49E4"/>
    <w:rsid w:val="00FF4F94"/>
    <w:rsid w:val="00FF50F7"/>
    <w:rsid w:val="00FF5211"/>
    <w:rsid w:val="00FF5A37"/>
    <w:rsid w:val="00FF5E1B"/>
    <w:rsid w:val="00FF66FA"/>
    <w:rsid w:val="00FF7314"/>
    <w:rsid w:val="00FF77AB"/>
    <w:rsid w:val="00FF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6FEDC"/>
  <w15:docId w15:val="{8B0A4102-D015-4758-B46C-9CD11FE8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Calibri" w:hAnsi="Book Antiqu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99"/>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6AB"/>
    <w:pPr>
      <w:tabs>
        <w:tab w:val="center" w:pos="4680"/>
        <w:tab w:val="right" w:pos="9360"/>
      </w:tabs>
    </w:pPr>
  </w:style>
  <w:style w:type="character" w:customStyle="1" w:styleId="HeaderChar">
    <w:name w:val="Header Char"/>
    <w:basedOn w:val="DefaultParagraphFont"/>
    <w:link w:val="Header"/>
    <w:uiPriority w:val="99"/>
    <w:rsid w:val="004B46AB"/>
    <w:rPr>
      <w:rFonts w:ascii="Calibri" w:eastAsia="Times New Roman" w:hAnsi="Calibri"/>
      <w:sz w:val="22"/>
      <w:szCs w:val="22"/>
    </w:rPr>
  </w:style>
  <w:style w:type="paragraph" w:styleId="Footer">
    <w:name w:val="footer"/>
    <w:basedOn w:val="Normal"/>
    <w:link w:val="FooterChar"/>
    <w:uiPriority w:val="99"/>
    <w:unhideWhenUsed/>
    <w:rsid w:val="004B46AB"/>
    <w:pPr>
      <w:tabs>
        <w:tab w:val="center" w:pos="4680"/>
        <w:tab w:val="right" w:pos="9360"/>
      </w:tabs>
    </w:pPr>
  </w:style>
  <w:style w:type="character" w:customStyle="1" w:styleId="FooterChar">
    <w:name w:val="Footer Char"/>
    <w:basedOn w:val="DefaultParagraphFont"/>
    <w:link w:val="Footer"/>
    <w:uiPriority w:val="99"/>
    <w:rsid w:val="004B46AB"/>
    <w:rPr>
      <w:rFonts w:ascii="Calibri" w:eastAsia="Times New Roman" w:hAnsi="Calibri"/>
      <w:sz w:val="22"/>
      <w:szCs w:val="22"/>
    </w:rPr>
  </w:style>
  <w:style w:type="paragraph" w:styleId="BalloonText">
    <w:name w:val="Balloon Text"/>
    <w:basedOn w:val="Normal"/>
    <w:link w:val="BalloonTextChar"/>
    <w:uiPriority w:val="99"/>
    <w:semiHidden/>
    <w:unhideWhenUsed/>
    <w:rsid w:val="004B46AB"/>
    <w:rPr>
      <w:rFonts w:ascii="Tahoma" w:hAnsi="Tahoma" w:cs="Tahoma"/>
      <w:sz w:val="16"/>
      <w:szCs w:val="16"/>
    </w:rPr>
  </w:style>
  <w:style w:type="character" w:customStyle="1" w:styleId="BalloonTextChar">
    <w:name w:val="Balloon Text Char"/>
    <w:basedOn w:val="DefaultParagraphFont"/>
    <w:link w:val="BalloonText"/>
    <w:uiPriority w:val="99"/>
    <w:semiHidden/>
    <w:rsid w:val="004B46AB"/>
    <w:rPr>
      <w:rFonts w:ascii="Tahoma" w:eastAsia="Times New Roman" w:hAnsi="Tahoma" w:cs="Tahoma"/>
      <w:sz w:val="16"/>
      <w:szCs w:val="16"/>
    </w:rPr>
  </w:style>
  <w:style w:type="paragraph" w:styleId="NoSpacing">
    <w:name w:val="No Spacing"/>
    <w:link w:val="NoSpacingChar"/>
    <w:uiPriority w:val="1"/>
    <w:qFormat/>
    <w:rsid w:val="00AC72C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C72C9"/>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514B6D"/>
    <w:rPr>
      <w:color w:val="666666"/>
    </w:rPr>
  </w:style>
  <w:style w:type="character" w:styleId="Hyperlink">
    <w:name w:val="Hyperlink"/>
    <w:basedOn w:val="DefaultParagraphFont"/>
    <w:uiPriority w:val="99"/>
    <w:unhideWhenUsed/>
    <w:rsid w:val="00E14BCA"/>
    <w:rPr>
      <w:color w:val="0000FF" w:themeColor="hyperlink"/>
      <w:u w:val="single"/>
    </w:rPr>
  </w:style>
  <w:style w:type="character" w:styleId="UnresolvedMention">
    <w:name w:val="Unresolved Mention"/>
    <w:basedOn w:val="DefaultParagraphFont"/>
    <w:uiPriority w:val="99"/>
    <w:semiHidden/>
    <w:unhideWhenUsed/>
    <w:rsid w:val="00E14BCA"/>
    <w:rPr>
      <w:color w:val="605E5C"/>
      <w:shd w:val="clear" w:color="auto" w:fill="E1DFDD"/>
    </w:rPr>
  </w:style>
  <w:style w:type="paragraph" w:styleId="NormalWeb">
    <w:name w:val="Normal (Web)"/>
    <w:basedOn w:val="Normal"/>
    <w:uiPriority w:val="99"/>
    <w:semiHidden/>
    <w:unhideWhenUsed/>
    <w:rsid w:val="00B62584"/>
    <w:rPr>
      <w:rFonts w:ascii="Times New Roman" w:hAnsi="Times New Roman"/>
      <w:sz w:val="24"/>
      <w:szCs w:val="24"/>
    </w:rPr>
  </w:style>
  <w:style w:type="paragraph" w:styleId="ListParagraph">
    <w:name w:val="List Paragraph"/>
    <w:basedOn w:val="Normal"/>
    <w:uiPriority w:val="34"/>
    <w:qFormat/>
    <w:rsid w:val="00363555"/>
    <w:pPr>
      <w:ind w:left="720"/>
      <w:contextualSpacing/>
    </w:pPr>
  </w:style>
  <w:style w:type="character" w:styleId="FollowedHyperlink">
    <w:name w:val="FollowedHyperlink"/>
    <w:basedOn w:val="DefaultParagraphFont"/>
    <w:uiPriority w:val="99"/>
    <w:semiHidden/>
    <w:unhideWhenUsed/>
    <w:rsid w:val="00905689"/>
    <w:rPr>
      <w:color w:val="800080" w:themeColor="followedHyperlink"/>
      <w:u w:val="single"/>
    </w:rPr>
  </w:style>
  <w:style w:type="table" w:styleId="TableGrid">
    <w:name w:val="Table Grid"/>
    <w:basedOn w:val="TableNormal"/>
    <w:uiPriority w:val="59"/>
    <w:rsid w:val="005F5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F5F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13C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C40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1474">
      <w:bodyDiv w:val="1"/>
      <w:marLeft w:val="0"/>
      <w:marRight w:val="0"/>
      <w:marTop w:val="0"/>
      <w:marBottom w:val="0"/>
      <w:divBdr>
        <w:top w:val="none" w:sz="0" w:space="0" w:color="auto"/>
        <w:left w:val="none" w:sz="0" w:space="0" w:color="auto"/>
        <w:bottom w:val="none" w:sz="0" w:space="0" w:color="auto"/>
        <w:right w:val="none" w:sz="0" w:space="0" w:color="auto"/>
      </w:divBdr>
      <w:divsChild>
        <w:div w:id="932125508">
          <w:marLeft w:val="0"/>
          <w:marRight w:val="0"/>
          <w:marTop w:val="0"/>
          <w:marBottom w:val="0"/>
          <w:divBdr>
            <w:top w:val="none" w:sz="0" w:space="0" w:color="auto"/>
            <w:left w:val="none" w:sz="0" w:space="0" w:color="auto"/>
            <w:bottom w:val="none" w:sz="0" w:space="0" w:color="auto"/>
            <w:right w:val="none" w:sz="0" w:space="0" w:color="auto"/>
          </w:divBdr>
        </w:div>
      </w:divsChild>
    </w:div>
    <w:div w:id="47656456">
      <w:bodyDiv w:val="1"/>
      <w:marLeft w:val="0"/>
      <w:marRight w:val="0"/>
      <w:marTop w:val="0"/>
      <w:marBottom w:val="0"/>
      <w:divBdr>
        <w:top w:val="none" w:sz="0" w:space="0" w:color="auto"/>
        <w:left w:val="none" w:sz="0" w:space="0" w:color="auto"/>
        <w:bottom w:val="none" w:sz="0" w:space="0" w:color="auto"/>
        <w:right w:val="none" w:sz="0" w:space="0" w:color="auto"/>
      </w:divBdr>
    </w:div>
    <w:div w:id="65425216">
      <w:bodyDiv w:val="1"/>
      <w:marLeft w:val="0"/>
      <w:marRight w:val="0"/>
      <w:marTop w:val="0"/>
      <w:marBottom w:val="0"/>
      <w:divBdr>
        <w:top w:val="none" w:sz="0" w:space="0" w:color="auto"/>
        <w:left w:val="none" w:sz="0" w:space="0" w:color="auto"/>
        <w:bottom w:val="none" w:sz="0" w:space="0" w:color="auto"/>
        <w:right w:val="none" w:sz="0" w:space="0" w:color="auto"/>
      </w:divBdr>
    </w:div>
    <w:div w:id="68115451">
      <w:bodyDiv w:val="1"/>
      <w:marLeft w:val="0"/>
      <w:marRight w:val="0"/>
      <w:marTop w:val="0"/>
      <w:marBottom w:val="0"/>
      <w:divBdr>
        <w:top w:val="none" w:sz="0" w:space="0" w:color="auto"/>
        <w:left w:val="none" w:sz="0" w:space="0" w:color="auto"/>
        <w:bottom w:val="none" w:sz="0" w:space="0" w:color="auto"/>
        <w:right w:val="none" w:sz="0" w:space="0" w:color="auto"/>
      </w:divBdr>
    </w:div>
    <w:div w:id="74594784">
      <w:bodyDiv w:val="1"/>
      <w:marLeft w:val="0"/>
      <w:marRight w:val="0"/>
      <w:marTop w:val="0"/>
      <w:marBottom w:val="0"/>
      <w:divBdr>
        <w:top w:val="none" w:sz="0" w:space="0" w:color="auto"/>
        <w:left w:val="none" w:sz="0" w:space="0" w:color="auto"/>
        <w:bottom w:val="none" w:sz="0" w:space="0" w:color="auto"/>
        <w:right w:val="none" w:sz="0" w:space="0" w:color="auto"/>
      </w:divBdr>
    </w:div>
    <w:div w:id="103038826">
      <w:bodyDiv w:val="1"/>
      <w:marLeft w:val="0"/>
      <w:marRight w:val="0"/>
      <w:marTop w:val="0"/>
      <w:marBottom w:val="0"/>
      <w:divBdr>
        <w:top w:val="none" w:sz="0" w:space="0" w:color="auto"/>
        <w:left w:val="none" w:sz="0" w:space="0" w:color="auto"/>
        <w:bottom w:val="none" w:sz="0" w:space="0" w:color="auto"/>
        <w:right w:val="none" w:sz="0" w:space="0" w:color="auto"/>
      </w:divBdr>
    </w:div>
    <w:div w:id="110053847">
      <w:bodyDiv w:val="1"/>
      <w:marLeft w:val="0"/>
      <w:marRight w:val="0"/>
      <w:marTop w:val="0"/>
      <w:marBottom w:val="0"/>
      <w:divBdr>
        <w:top w:val="none" w:sz="0" w:space="0" w:color="auto"/>
        <w:left w:val="none" w:sz="0" w:space="0" w:color="auto"/>
        <w:bottom w:val="none" w:sz="0" w:space="0" w:color="auto"/>
        <w:right w:val="none" w:sz="0" w:space="0" w:color="auto"/>
      </w:divBdr>
    </w:div>
    <w:div w:id="166137313">
      <w:bodyDiv w:val="1"/>
      <w:marLeft w:val="0"/>
      <w:marRight w:val="0"/>
      <w:marTop w:val="0"/>
      <w:marBottom w:val="0"/>
      <w:divBdr>
        <w:top w:val="none" w:sz="0" w:space="0" w:color="auto"/>
        <w:left w:val="none" w:sz="0" w:space="0" w:color="auto"/>
        <w:bottom w:val="none" w:sz="0" w:space="0" w:color="auto"/>
        <w:right w:val="none" w:sz="0" w:space="0" w:color="auto"/>
      </w:divBdr>
    </w:div>
    <w:div w:id="170604436">
      <w:bodyDiv w:val="1"/>
      <w:marLeft w:val="0"/>
      <w:marRight w:val="0"/>
      <w:marTop w:val="0"/>
      <w:marBottom w:val="0"/>
      <w:divBdr>
        <w:top w:val="none" w:sz="0" w:space="0" w:color="auto"/>
        <w:left w:val="none" w:sz="0" w:space="0" w:color="auto"/>
        <w:bottom w:val="none" w:sz="0" w:space="0" w:color="auto"/>
        <w:right w:val="none" w:sz="0" w:space="0" w:color="auto"/>
      </w:divBdr>
    </w:div>
    <w:div w:id="195391062">
      <w:bodyDiv w:val="1"/>
      <w:marLeft w:val="0"/>
      <w:marRight w:val="0"/>
      <w:marTop w:val="0"/>
      <w:marBottom w:val="0"/>
      <w:divBdr>
        <w:top w:val="none" w:sz="0" w:space="0" w:color="auto"/>
        <w:left w:val="none" w:sz="0" w:space="0" w:color="auto"/>
        <w:bottom w:val="none" w:sz="0" w:space="0" w:color="auto"/>
        <w:right w:val="none" w:sz="0" w:space="0" w:color="auto"/>
      </w:divBdr>
    </w:div>
    <w:div w:id="216016612">
      <w:bodyDiv w:val="1"/>
      <w:marLeft w:val="0"/>
      <w:marRight w:val="0"/>
      <w:marTop w:val="0"/>
      <w:marBottom w:val="0"/>
      <w:divBdr>
        <w:top w:val="none" w:sz="0" w:space="0" w:color="auto"/>
        <w:left w:val="none" w:sz="0" w:space="0" w:color="auto"/>
        <w:bottom w:val="none" w:sz="0" w:space="0" w:color="auto"/>
        <w:right w:val="none" w:sz="0" w:space="0" w:color="auto"/>
      </w:divBdr>
    </w:div>
    <w:div w:id="249043494">
      <w:bodyDiv w:val="1"/>
      <w:marLeft w:val="0"/>
      <w:marRight w:val="0"/>
      <w:marTop w:val="0"/>
      <w:marBottom w:val="0"/>
      <w:divBdr>
        <w:top w:val="none" w:sz="0" w:space="0" w:color="auto"/>
        <w:left w:val="none" w:sz="0" w:space="0" w:color="auto"/>
        <w:bottom w:val="none" w:sz="0" w:space="0" w:color="auto"/>
        <w:right w:val="none" w:sz="0" w:space="0" w:color="auto"/>
      </w:divBdr>
    </w:div>
    <w:div w:id="258758757">
      <w:bodyDiv w:val="1"/>
      <w:marLeft w:val="0"/>
      <w:marRight w:val="0"/>
      <w:marTop w:val="0"/>
      <w:marBottom w:val="0"/>
      <w:divBdr>
        <w:top w:val="none" w:sz="0" w:space="0" w:color="auto"/>
        <w:left w:val="none" w:sz="0" w:space="0" w:color="auto"/>
        <w:bottom w:val="none" w:sz="0" w:space="0" w:color="auto"/>
        <w:right w:val="none" w:sz="0" w:space="0" w:color="auto"/>
      </w:divBdr>
    </w:div>
    <w:div w:id="280498255">
      <w:bodyDiv w:val="1"/>
      <w:marLeft w:val="0"/>
      <w:marRight w:val="0"/>
      <w:marTop w:val="0"/>
      <w:marBottom w:val="0"/>
      <w:divBdr>
        <w:top w:val="none" w:sz="0" w:space="0" w:color="auto"/>
        <w:left w:val="none" w:sz="0" w:space="0" w:color="auto"/>
        <w:bottom w:val="none" w:sz="0" w:space="0" w:color="auto"/>
        <w:right w:val="none" w:sz="0" w:space="0" w:color="auto"/>
      </w:divBdr>
    </w:div>
    <w:div w:id="286861576">
      <w:bodyDiv w:val="1"/>
      <w:marLeft w:val="0"/>
      <w:marRight w:val="0"/>
      <w:marTop w:val="0"/>
      <w:marBottom w:val="0"/>
      <w:divBdr>
        <w:top w:val="none" w:sz="0" w:space="0" w:color="auto"/>
        <w:left w:val="none" w:sz="0" w:space="0" w:color="auto"/>
        <w:bottom w:val="none" w:sz="0" w:space="0" w:color="auto"/>
        <w:right w:val="none" w:sz="0" w:space="0" w:color="auto"/>
      </w:divBdr>
    </w:div>
    <w:div w:id="308750148">
      <w:bodyDiv w:val="1"/>
      <w:marLeft w:val="0"/>
      <w:marRight w:val="0"/>
      <w:marTop w:val="0"/>
      <w:marBottom w:val="0"/>
      <w:divBdr>
        <w:top w:val="none" w:sz="0" w:space="0" w:color="auto"/>
        <w:left w:val="none" w:sz="0" w:space="0" w:color="auto"/>
        <w:bottom w:val="none" w:sz="0" w:space="0" w:color="auto"/>
        <w:right w:val="none" w:sz="0" w:space="0" w:color="auto"/>
      </w:divBdr>
    </w:div>
    <w:div w:id="337078023">
      <w:bodyDiv w:val="1"/>
      <w:marLeft w:val="0"/>
      <w:marRight w:val="0"/>
      <w:marTop w:val="0"/>
      <w:marBottom w:val="0"/>
      <w:divBdr>
        <w:top w:val="none" w:sz="0" w:space="0" w:color="auto"/>
        <w:left w:val="none" w:sz="0" w:space="0" w:color="auto"/>
        <w:bottom w:val="none" w:sz="0" w:space="0" w:color="auto"/>
        <w:right w:val="none" w:sz="0" w:space="0" w:color="auto"/>
      </w:divBdr>
    </w:div>
    <w:div w:id="427507349">
      <w:bodyDiv w:val="1"/>
      <w:marLeft w:val="0"/>
      <w:marRight w:val="0"/>
      <w:marTop w:val="0"/>
      <w:marBottom w:val="0"/>
      <w:divBdr>
        <w:top w:val="none" w:sz="0" w:space="0" w:color="auto"/>
        <w:left w:val="none" w:sz="0" w:space="0" w:color="auto"/>
        <w:bottom w:val="none" w:sz="0" w:space="0" w:color="auto"/>
        <w:right w:val="none" w:sz="0" w:space="0" w:color="auto"/>
      </w:divBdr>
    </w:div>
    <w:div w:id="507906549">
      <w:bodyDiv w:val="1"/>
      <w:marLeft w:val="0"/>
      <w:marRight w:val="0"/>
      <w:marTop w:val="0"/>
      <w:marBottom w:val="0"/>
      <w:divBdr>
        <w:top w:val="none" w:sz="0" w:space="0" w:color="auto"/>
        <w:left w:val="none" w:sz="0" w:space="0" w:color="auto"/>
        <w:bottom w:val="none" w:sz="0" w:space="0" w:color="auto"/>
        <w:right w:val="none" w:sz="0" w:space="0" w:color="auto"/>
      </w:divBdr>
    </w:div>
    <w:div w:id="547450760">
      <w:bodyDiv w:val="1"/>
      <w:marLeft w:val="0"/>
      <w:marRight w:val="0"/>
      <w:marTop w:val="0"/>
      <w:marBottom w:val="0"/>
      <w:divBdr>
        <w:top w:val="none" w:sz="0" w:space="0" w:color="auto"/>
        <w:left w:val="none" w:sz="0" w:space="0" w:color="auto"/>
        <w:bottom w:val="none" w:sz="0" w:space="0" w:color="auto"/>
        <w:right w:val="none" w:sz="0" w:space="0" w:color="auto"/>
      </w:divBdr>
    </w:div>
    <w:div w:id="548567584">
      <w:bodyDiv w:val="1"/>
      <w:marLeft w:val="0"/>
      <w:marRight w:val="0"/>
      <w:marTop w:val="0"/>
      <w:marBottom w:val="0"/>
      <w:divBdr>
        <w:top w:val="none" w:sz="0" w:space="0" w:color="auto"/>
        <w:left w:val="none" w:sz="0" w:space="0" w:color="auto"/>
        <w:bottom w:val="none" w:sz="0" w:space="0" w:color="auto"/>
        <w:right w:val="none" w:sz="0" w:space="0" w:color="auto"/>
      </w:divBdr>
    </w:div>
    <w:div w:id="562061174">
      <w:bodyDiv w:val="1"/>
      <w:marLeft w:val="0"/>
      <w:marRight w:val="0"/>
      <w:marTop w:val="0"/>
      <w:marBottom w:val="0"/>
      <w:divBdr>
        <w:top w:val="none" w:sz="0" w:space="0" w:color="auto"/>
        <w:left w:val="none" w:sz="0" w:space="0" w:color="auto"/>
        <w:bottom w:val="none" w:sz="0" w:space="0" w:color="auto"/>
        <w:right w:val="none" w:sz="0" w:space="0" w:color="auto"/>
      </w:divBdr>
    </w:div>
    <w:div w:id="574317677">
      <w:bodyDiv w:val="1"/>
      <w:marLeft w:val="0"/>
      <w:marRight w:val="0"/>
      <w:marTop w:val="0"/>
      <w:marBottom w:val="0"/>
      <w:divBdr>
        <w:top w:val="none" w:sz="0" w:space="0" w:color="auto"/>
        <w:left w:val="none" w:sz="0" w:space="0" w:color="auto"/>
        <w:bottom w:val="none" w:sz="0" w:space="0" w:color="auto"/>
        <w:right w:val="none" w:sz="0" w:space="0" w:color="auto"/>
      </w:divBdr>
    </w:div>
    <w:div w:id="600525250">
      <w:bodyDiv w:val="1"/>
      <w:marLeft w:val="0"/>
      <w:marRight w:val="0"/>
      <w:marTop w:val="0"/>
      <w:marBottom w:val="0"/>
      <w:divBdr>
        <w:top w:val="none" w:sz="0" w:space="0" w:color="auto"/>
        <w:left w:val="none" w:sz="0" w:space="0" w:color="auto"/>
        <w:bottom w:val="none" w:sz="0" w:space="0" w:color="auto"/>
        <w:right w:val="none" w:sz="0" w:space="0" w:color="auto"/>
      </w:divBdr>
    </w:div>
    <w:div w:id="602538010">
      <w:bodyDiv w:val="1"/>
      <w:marLeft w:val="0"/>
      <w:marRight w:val="0"/>
      <w:marTop w:val="0"/>
      <w:marBottom w:val="0"/>
      <w:divBdr>
        <w:top w:val="none" w:sz="0" w:space="0" w:color="auto"/>
        <w:left w:val="none" w:sz="0" w:space="0" w:color="auto"/>
        <w:bottom w:val="none" w:sz="0" w:space="0" w:color="auto"/>
        <w:right w:val="none" w:sz="0" w:space="0" w:color="auto"/>
      </w:divBdr>
    </w:div>
    <w:div w:id="615676977">
      <w:bodyDiv w:val="1"/>
      <w:marLeft w:val="0"/>
      <w:marRight w:val="0"/>
      <w:marTop w:val="0"/>
      <w:marBottom w:val="0"/>
      <w:divBdr>
        <w:top w:val="none" w:sz="0" w:space="0" w:color="auto"/>
        <w:left w:val="none" w:sz="0" w:space="0" w:color="auto"/>
        <w:bottom w:val="none" w:sz="0" w:space="0" w:color="auto"/>
        <w:right w:val="none" w:sz="0" w:space="0" w:color="auto"/>
      </w:divBdr>
    </w:div>
    <w:div w:id="629937308">
      <w:bodyDiv w:val="1"/>
      <w:marLeft w:val="0"/>
      <w:marRight w:val="0"/>
      <w:marTop w:val="0"/>
      <w:marBottom w:val="0"/>
      <w:divBdr>
        <w:top w:val="none" w:sz="0" w:space="0" w:color="auto"/>
        <w:left w:val="none" w:sz="0" w:space="0" w:color="auto"/>
        <w:bottom w:val="none" w:sz="0" w:space="0" w:color="auto"/>
        <w:right w:val="none" w:sz="0" w:space="0" w:color="auto"/>
      </w:divBdr>
    </w:div>
    <w:div w:id="630551348">
      <w:bodyDiv w:val="1"/>
      <w:marLeft w:val="0"/>
      <w:marRight w:val="0"/>
      <w:marTop w:val="0"/>
      <w:marBottom w:val="0"/>
      <w:divBdr>
        <w:top w:val="none" w:sz="0" w:space="0" w:color="auto"/>
        <w:left w:val="none" w:sz="0" w:space="0" w:color="auto"/>
        <w:bottom w:val="none" w:sz="0" w:space="0" w:color="auto"/>
        <w:right w:val="none" w:sz="0" w:space="0" w:color="auto"/>
      </w:divBdr>
    </w:div>
    <w:div w:id="638270123">
      <w:bodyDiv w:val="1"/>
      <w:marLeft w:val="0"/>
      <w:marRight w:val="0"/>
      <w:marTop w:val="0"/>
      <w:marBottom w:val="0"/>
      <w:divBdr>
        <w:top w:val="none" w:sz="0" w:space="0" w:color="auto"/>
        <w:left w:val="none" w:sz="0" w:space="0" w:color="auto"/>
        <w:bottom w:val="none" w:sz="0" w:space="0" w:color="auto"/>
        <w:right w:val="none" w:sz="0" w:space="0" w:color="auto"/>
      </w:divBdr>
    </w:div>
    <w:div w:id="647787026">
      <w:bodyDiv w:val="1"/>
      <w:marLeft w:val="0"/>
      <w:marRight w:val="0"/>
      <w:marTop w:val="0"/>
      <w:marBottom w:val="0"/>
      <w:divBdr>
        <w:top w:val="none" w:sz="0" w:space="0" w:color="auto"/>
        <w:left w:val="none" w:sz="0" w:space="0" w:color="auto"/>
        <w:bottom w:val="none" w:sz="0" w:space="0" w:color="auto"/>
        <w:right w:val="none" w:sz="0" w:space="0" w:color="auto"/>
      </w:divBdr>
    </w:div>
    <w:div w:id="648097041">
      <w:bodyDiv w:val="1"/>
      <w:marLeft w:val="0"/>
      <w:marRight w:val="0"/>
      <w:marTop w:val="0"/>
      <w:marBottom w:val="0"/>
      <w:divBdr>
        <w:top w:val="none" w:sz="0" w:space="0" w:color="auto"/>
        <w:left w:val="none" w:sz="0" w:space="0" w:color="auto"/>
        <w:bottom w:val="none" w:sz="0" w:space="0" w:color="auto"/>
        <w:right w:val="none" w:sz="0" w:space="0" w:color="auto"/>
      </w:divBdr>
    </w:div>
    <w:div w:id="675690432">
      <w:bodyDiv w:val="1"/>
      <w:marLeft w:val="0"/>
      <w:marRight w:val="0"/>
      <w:marTop w:val="0"/>
      <w:marBottom w:val="0"/>
      <w:divBdr>
        <w:top w:val="none" w:sz="0" w:space="0" w:color="auto"/>
        <w:left w:val="none" w:sz="0" w:space="0" w:color="auto"/>
        <w:bottom w:val="none" w:sz="0" w:space="0" w:color="auto"/>
        <w:right w:val="none" w:sz="0" w:space="0" w:color="auto"/>
      </w:divBdr>
    </w:div>
    <w:div w:id="686101650">
      <w:bodyDiv w:val="1"/>
      <w:marLeft w:val="0"/>
      <w:marRight w:val="0"/>
      <w:marTop w:val="0"/>
      <w:marBottom w:val="0"/>
      <w:divBdr>
        <w:top w:val="none" w:sz="0" w:space="0" w:color="auto"/>
        <w:left w:val="none" w:sz="0" w:space="0" w:color="auto"/>
        <w:bottom w:val="none" w:sz="0" w:space="0" w:color="auto"/>
        <w:right w:val="none" w:sz="0" w:space="0" w:color="auto"/>
      </w:divBdr>
    </w:div>
    <w:div w:id="704840367">
      <w:bodyDiv w:val="1"/>
      <w:marLeft w:val="0"/>
      <w:marRight w:val="0"/>
      <w:marTop w:val="0"/>
      <w:marBottom w:val="0"/>
      <w:divBdr>
        <w:top w:val="none" w:sz="0" w:space="0" w:color="auto"/>
        <w:left w:val="none" w:sz="0" w:space="0" w:color="auto"/>
        <w:bottom w:val="none" w:sz="0" w:space="0" w:color="auto"/>
        <w:right w:val="none" w:sz="0" w:space="0" w:color="auto"/>
      </w:divBdr>
    </w:div>
    <w:div w:id="724527214">
      <w:bodyDiv w:val="1"/>
      <w:marLeft w:val="0"/>
      <w:marRight w:val="0"/>
      <w:marTop w:val="0"/>
      <w:marBottom w:val="0"/>
      <w:divBdr>
        <w:top w:val="none" w:sz="0" w:space="0" w:color="auto"/>
        <w:left w:val="none" w:sz="0" w:space="0" w:color="auto"/>
        <w:bottom w:val="none" w:sz="0" w:space="0" w:color="auto"/>
        <w:right w:val="none" w:sz="0" w:space="0" w:color="auto"/>
      </w:divBdr>
    </w:div>
    <w:div w:id="759562299">
      <w:bodyDiv w:val="1"/>
      <w:marLeft w:val="0"/>
      <w:marRight w:val="0"/>
      <w:marTop w:val="0"/>
      <w:marBottom w:val="0"/>
      <w:divBdr>
        <w:top w:val="none" w:sz="0" w:space="0" w:color="auto"/>
        <w:left w:val="none" w:sz="0" w:space="0" w:color="auto"/>
        <w:bottom w:val="none" w:sz="0" w:space="0" w:color="auto"/>
        <w:right w:val="none" w:sz="0" w:space="0" w:color="auto"/>
      </w:divBdr>
    </w:div>
    <w:div w:id="760682306">
      <w:bodyDiv w:val="1"/>
      <w:marLeft w:val="0"/>
      <w:marRight w:val="0"/>
      <w:marTop w:val="0"/>
      <w:marBottom w:val="0"/>
      <w:divBdr>
        <w:top w:val="none" w:sz="0" w:space="0" w:color="auto"/>
        <w:left w:val="none" w:sz="0" w:space="0" w:color="auto"/>
        <w:bottom w:val="none" w:sz="0" w:space="0" w:color="auto"/>
        <w:right w:val="none" w:sz="0" w:space="0" w:color="auto"/>
      </w:divBdr>
    </w:div>
    <w:div w:id="780337982">
      <w:bodyDiv w:val="1"/>
      <w:marLeft w:val="0"/>
      <w:marRight w:val="0"/>
      <w:marTop w:val="0"/>
      <w:marBottom w:val="0"/>
      <w:divBdr>
        <w:top w:val="none" w:sz="0" w:space="0" w:color="auto"/>
        <w:left w:val="none" w:sz="0" w:space="0" w:color="auto"/>
        <w:bottom w:val="none" w:sz="0" w:space="0" w:color="auto"/>
        <w:right w:val="none" w:sz="0" w:space="0" w:color="auto"/>
      </w:divBdr>
    </w:div>
    <w:div w:id="875234577">
      <w:bodyDiv w:val="1"/>
      <w:marLeft w:val="0"/>
      <w:marRight w:val="0"/>
      <w:marTop w:val="0"/>
      <w:marBottom w:val="0"/>
      <w:divBdr>
        <w:top w:val="none" w:sz="0" w:space="0" w:color="auto"/>
        <w:left w:val="none" w:sz="0" w:space="0" w:color="auto"/>
        <w:bottom w:val="none" w:sz="0" w:space="0" w:color="auto"/>
        <w:right w:val="none" w:sz="0" w:space="0" w:color="auto"/>
      </w:divBdr>
    </w:div>
    <w:div w:id="895091478">
      <w:bodyDiv w:val="1"/>
      <w:marLeft w:val="0"/>
      <w:marRight w:val="0"/>
      <w:marTop w:val="0"/>
      <w:marBottom w:val="0"/>
      <w:divBdr>
        <w:top w:val="none" w:sz="0" w:space="0" w:color="auto"/>
        <w:left w:val="none" w:sz="0" w:space="0" w:color="auto"/>
        <w:bottom w:val="none" w:sz="0" w:space="0" w:color="auto"/>
        <w:right w:val="none" w:sz="0" w:space="0" w:color="auto"/>
      </w:divBdr>
    </w:div>
    <w:div w:id="953831972">
      <w:bodyDiv w:val="1"/>
      <w:marLeft w:val="0"/>
      <w:marRight w:val="0"/>
      <w:marTop w:val="0"/>
      <w:marBottom w:val="0"/>
      <w:divBdr>
        <w:top w:val="none" w:sz="0" w:space="0" w:color="auto"/>
        <w:left w:val="none" w:sz="0" w:space="0" w:color="auto"/>
        <w:bottom w:val="none" w:sz="0" w:space="0" w:color="auto"/>
        <w:right w:val="none" w:sz="0" w:space="0" w:color="auto"/>
      </w:divBdr>
    </w:div>
    <w:div w:id="985282458">
      <w:bodyDiv w:val="1"/>
      <w:marLeft w:val="0"/>
      <w:marRight w:val="0"/>
      <w:marTop w:val="0"/>
      <w:marBottom w:val="0"/>
      <w:divBdr>
        <w:top w:val="none" w:sz="0" w:space="0" w:color="auto"/>
        <w:left w:val="none" w:sz="0" w:space="0" w:color="auto"/>
        <w:bottom w:val="none" w:sz="0" w:space="0" w:color="auto"/>
        <w:right w:val="none" w:sz="0" w:space="0" w:color="auto"/>
      </w:divBdr>
    </w:div>
    <w:div w:id="1047611217">
      <w:bodyDiv w:val="1"/>
      <w:marLeft w:val="0"/>
      <w:marRight w:val="0"/>
      <w:marTop w:val="0"/>
      <w:marBottom w:val="0"/>
      <w:divBdr>
        <w:top w:val="none" w:sz="0" w:space="0" w:color="auto"/>
        <w:left w:val="none" w:sz="0" w:space="0" w:color="auto"/>
        <w:bottom w:val="none" w:sz="0" w:space="0" w:color="auto"/>
        <w:right w:val="none" w:sz="0" w:space="0" w:color="auto"/>
      </w:divBdr>
    </w:div>
    <w:div w:id="1150487465">
      <w:bodyDiv w:val="1"/>
      <w:marLeft w:val="0"/>
      <w:marRight w:val="0"/>
      <w:marTop w:val="0"/>
      <w:marBottom w:val="0"/>
      <w:divBdr>
        <w:top w:val="none" w:sz="0" w:space="0" w:color="auto"/>
        <w:left w:val="none" w:sz="0" w:space="0" w:color="auto"/>
        <w:bottom w:val="none" w:sz="0" w:space="0" w:color="auto"/>
        <w:right w:val="none" w:sz="0" w:space="0" w:color="auto"/>
      </w:divBdr>
    </w:div>
    <w:div w:id="1158302593">
      <w:bodyDiv w:val="1"/>
      <w:marLeft w:val="0"/>
      <w:marRight w:val="0"/>
      <w:marTop w:val="0"/>
      <w:marBottom w:val="0"/>
      <w:divBdr>
        <w:top w:val="none" w:sz="0" w:space="0" w:color="auto"/>
        <w:left w:val="none" w:sz="0" w:space="0" w:color="auto"/>
        <w:bottom w:val="none" w:sz="0" w:space="0" w:color="auto"/>
        <w:right w:val="none" w:sz="0" w:space="0" w:color="auto"/>
      </w:divBdr>
    </w:div>
    <w:div w:id="1158495860">
      <w:bodyDiv w:val="1"/>
      <w:marLeft w:val="0"/>
      <w:marRight w:val="0"/>
      <w:marTop w:val="0"/>
      <w:marBottom w:val="0"/>
      <w:divBdr>
        <w:top w:val="none" w:sz="0" w:space="0" w:color="auto"/>
        <w:left w:val="none" w:sz="0" w:space="0" w:color="auto"/>
        <w:bottom w:val="none" w:sz="0" w:space="0" w:color="auto"/>
        <w:right w:val="none" w:sz="0" w:space="0" w:color="auto"/>
      </w:divBdr>
    </w:div>
    <w:div w:id="1165128274">
      <w:bodyDiv w:val="1"/>
      <w:marLeft w:val="0"/>
      <w:marRight w:val="0"/>
      <w:marTop w:val="0"/>
      <w:marBottom w:val="0"/>
      <w:divBdr>
        <w:top w:val="none" w:sz="0" w:space="0" w:color="auto"/>
        <w:left w:val="none" w:sz="0" w:space="0" w:color="auto"/>
        <w:bottom w:val="none" w:sz="0" w:space="0" w:color="auto"/>
        <w:right w:val="none" w:sz="0" w:space="0" w:color="auto"/>
      </w:divBdr>
    </w:div>
    <w:div w:id="1171532433">
      <w:bodyDiv w:val="1"/>
      <w:marLeft w:val="0"/>
      <w:marRight w:val="0"/>
      <w:marTop w:val="0"/>
      <w:marBottom w:val="0"/>
      <w:divBdr>
        <w:top w:val="none" w:sz="0" w:space="0" w:color="auto"/>
        <w:left w:val="none" w:sz="0" w:space="0" w:color="auto"/>
        <w:bottom w:val="none" w:sz="0" w:space="0" w:color="auto"/>
        <w:right w:val="none" w:sz="0" w:space="0" w:color="auto"/>
      </w:divBdr>
    </w:div>
    <w:div w:id="1206530345">
      <w:bodyDiv w:val="1"/>
      <w:marLeft w:val="0"/>
      <w:marRight w:val="0"/>
      <w:marTop w:val="0"/>
      <w:marBottom w:val="0"/>
      <w:divBdr>
        <w:top w:val="none" w:sz="0" w:space="0" w:color="auto"/>
        <w:left w:val="none" w:sz="0" w:space="0" w:color="auto"/>
        <w:bottom w:val="none" w:sz="0" w:space="0" w:color="auto"/>
        <w:right w:val="none" w:sz="0" w:space="0" w:color="auto"/>
      </w:divBdr>
    </w:div>
    <w:div w:id="1218009236">
      <w:bodyDiv w:val="1"/>
      <w:marLeft w:val="0"/>
      <w:marRight w:val="0"/>
      <w:marTop w:val="0"/>
      <w:marBottom w:val="0"/>
      <w:divBdr>
        <w:top w:val="none" w:sz="0" w:space="0" w:color="auto"/>
        <w:left w:val="none" w:sz="0" w:space="0" w:color="auto"/>
        <w:bottom w:val="none" w:sz="0" w:space="0" w:color="auto"/>
        <w:right w:val="none" w:sz="0" w:space="0" w:color="auto"/>
      </w:divBdr>
    </w:div>
    <w:div w:id="1218278072">
      <w:bodyDiv w:val="1"/>
      <w:marLeft w:val="0"/>
      <w:marRight w:val="0"/>
      <w:marTop w:val="0"/>
      <w:marBottom w:val="0"/>
      <w:divBdr>
        <w:top w:val="none" w:sz="0" w:space="0" w:color="auto"/>
        <w:left w:val="none" w:sz="0" w:space="0" w:color="auto"/>
        <w:bottom w:val="none" w:sz="0" w:space="0" w:color="auto"/>
        <w:right w:val="none" w:sz="0" w:space="0" w:color="auto"/>
      </w:divBdr>
    </w:div>
    <w:div w:id="1228952602">
      <w:bodyDiv w:val="1"/>
      <w:marLeft w:val="0"/>
      <w:marRight w:val="0"/>
      <w:marTop w:val="0"/>
      <w:marBottom w:val="0"/>
      <w:divBdr>
        <w:top w:val="none" w:sz="0" w:space="0" w:color="auto"/>
        <w:left w:val="none" w:sz="0" w:space="0" w:color="auto"/>
        <w:bottom w:val="none" w:sz="0" w:space="0" w:color="auto"/>
        <w:right w:val="none" w:sz="0" w:space="0" w:color="auto"/>
      </w:divBdr>
    </w:div>
    <w:div w:id="1230113929">
      <w:bodyDiv w:val="1"/>
      <w:marLeft w:val="0"/>
      <w:marRight w:val="0"/>
      <w:marTop w:val="0"/>
      <w:marBottom w:val="0"/>
      <w:divBdr>
        <w:top w:val="none" w:sz="0" w:space="0" w:color="auto"/>
        <w:left w:val="none" w:sz="0" w:space="0" w:color="auto"/>
        <w:bottom w:val="none" w:sz="0" w:space="0" w:color="auto"/>
        <w:right w:val="none" w:sz="0" w:space="0" w:color="auto"/>
      </w:divBdr>
    </w:div>
    <w:div w:id="1254046147">
      <w:bodyDiv w:val="1"/>
      <w:marLeft w:val="0"/>
      <w:marRight w:val="0"/>
      <w:marTop w:val="0"/>
      <w:marBottom w:val="0"/>
      <w:divBdr>
        <w:top w:val="none" w:sz="0" w:space="0" w:color="auto"/>
        <w:left w:val="none" w:sz="0" w:space="0" w:color="auto"/>
        <w:bottom w:val="none" w:sz="0" w:space="0" w:color="auto"/>
        <w:right w:val="none" w:sz="0" w:space="0" w:color="auto"/>
      </w:divBdr>
    </w:div>
    <w:div w:id="1265114453">
      <w:bodyDiv w:val="1"/>
      <w:marLeft w:val="0"/>
      <w:marRight w:val="0"/>
      <w:marTop w:val="0"/>
      <w:marBottom w:val="0"/>
      <w:divBdr>
        <w:top w:val="none" w:sz="0" w:space="0" w:color="auto"/>
        <w:left w:val="none" w:sz="0" w:space="0" w:color="auto"/>
        <w:bottom w:val="none" w:sz="0" w:space="0" w:color="auto"/>
        <w:right w:val="none" w:sz="0" w:space="0" w:color="auto"/>
      </w:divBdr>
    </w:div>
    <w:div w:id="1270896245">
      <w:bodyDiv w:val="1"/>
      <w:marLeft w:val="0"/>
      <w:marRight w:val="0"/>
      <w:marTop w:val="0"/>
      <w:marBottom w:val="0"/>
      <w:divBdr>
        <w:top w:val="none" w:sz="0" w:space="0" w:color="auto"/>
        <w:left w:val="none" w:sz="0" w:space="0" w:color="auto"/>
        <w:bottom w:val="none" w:sz="0" w:space="0" w:color="auto"/>
        <w:right w:val="none" w:sz="0" w:space="0" w:color="auto"/>
      </w:divBdr>
    </w:div>
    <w:div w:id="1271202348">
      <w:bodyDiv w:val="1"/>
      <w:marLeft w:val="0"/>
      <w:marRight w:val="0"/>
      <w:marTop w:val="0"/>
      <w:marBottom w:val="0"/>
      <w:divBdr>
        <w:top w:val="none" w:sz="0" w:space="0" w:color="auto"/>
        <w:left w:val="none" w:sz="0" w:space="0" w:color="auto"/>
        <w:bottom w:val="none" w:sz="0" w:space="0" w:color="auto"/>
        <w:right w:val="none" w:sz="0" w:space="0" w:color="auto"/>
      </w:divBdr>
    </w:div>
    <w:div w:id="1307591225">
      <w:bodyDiv w:val="1"/>
      <w:marLeft w:val="0"/>
      <w:marRight w:val="0"/>
      <w:marTop w:val="0"/>
      <w:marBottom w:val="0"/>
      <w:divBdr>
        <w:top w:val="none" w:sz="0" w:space="0" w:color="auto"/>
        <w:left w:val="none" w:sz="0" w:space="0" w:color="auto"/>
        <w:bottom w:val="none" w:sz="0" w:space="0" w:color="auto"/>
        <w:right w:val="none" w:sz="0" w:space="0" w:color="auto"/>
      </w:divBdr>
    </w:div>
    <w:div w:id="1358430921">
      <w:bodyDiv w:val="1"/>
      <w:marLeft w:val="0"/>
      <w:marRight w:val="0"/>
      <w:marTop w:val="0"/>
      <w:marBottom w:val="0"/>
      <w:divBdr>
        <w:top w:val="none" w:sz="0" w:space="0" w:color="auto"/>
        <w:left w:val="none" w:sz="0" w:space="0" w:color="auto"/>
        <w:bottom w:val="none" w:sz="0" w:space="0" w:color="auto"/>
        <w:right w:val="none" w:sz="0" w:space="0" w:color="auto"/>
      </w:divBdr>
    </w:div>
    <w:div w:id="1412308790">
      <w:bodyDiv w:val="1"/>
      <w:marLeft w:val="0"/>
      <w:marRight w:val="0"/>
      <w:marTop w:val="0"/>
      <w:marBottom w:val="0"/>
      <w:divBdr>
        <w:top w:val="none" w:sz="0" w:space="0" w:color="auto"/>
        <w:left w:val="none" w:sz="0" w:space="0" w:color="auto"/>
        <w:bottom w:val="none" w:sz="0" w:space="0" w:color="auto"/>
        <w:right w:val="none" w:sz="0" w:space="0" w:color="auto"/>
      </w:divBdr>
    </w:div>
    <w:div w:id="1438253527">
      <w:bodyDiv w:val="1"/>
      <w:marLeft w:val="0"/>
      <w:marRight w:val="0"/>
      <w:marTop w:val="0"/>
      <w:marBottom w:val="0"/>
      <w:divBdr>
        <w:top w:val="none" w:sz="0" w:space="0" w:color="auto"/>
        <w:left w:val="none" w:sz="0" w:space="0" w:color="auto"/>
        <w:bottom w:val="none" w:sz="0" w:space="0" w:color="auto"/>
        <w:right w:val="none" w:sz="0" w:space="0" w:color="auto"/>
      </w:divBdr>
    </w:div>
    <w:div w:id="1476294881">
      <w:bodyDiv w:val="1"/>
      <w:marLeft w:val="0"/>
      <w:marRight w:val="0"/>
      <w:marTop w:val="0"/>
      <w:marBottom w:val="0"/>
      <w:divBdr>
        <w:top w:val="none" w:sz="0" w:space="0" w:color="auto"/>
        <w:left w:val="none" w:sz="0" w:space="0" w:color="auto"/>
        <w:bottom w:val="none" w:sz="0" w:space="0" w:color="auto"/>
        <w:right w:val="none" w:sz="0" w:space="0" w:color="auto"/>
      </w:divBdr>
      <w:divsChild>
        <w:div w:id="233198879">
          <w:marLeft w:val="0"/>
          <w:marRight w:val="0"/>
          <w:marTop w:val="0"/>
          <w:marBottom w:val="0"/>
          <w:divBdr>
            <w:top w:val="none" w:sz="0" w:space="0" w:color="auto"/>
            <w:left w:val="none" w:sz="0" w:space="0" w:color="auto"/>
            <w:bottom w:val="none" w:sz="0" w:space="0" w:color="auto"/>
            <w:right w:val="none" w:sz="0" w:space="0" w:color="auto"/>
          </w:divBdr>
        </w:div>
      </w:divsChild>
    </w:div>
    <w:div w:id="1479573004">
      <w:bodyDiv w:val="1"/>
      <w:marLeft w:val="0"/>
      <w:marRight w:val="0"/>
      <w:marTop w:val="0"/>
      <w:marBottom w:val="0"/>
      <w:divBdr>
        <w:top w:val="none" w:sz="0" w:space="0" w:color="auto"/>
        <w:left w:val="none" w:sz="0" w:space="0" w:color="auto"/>
        <w:bottom w:val="none" w:sz="0" w:space="0" w:color="auto"/>
        <w:right w:val="none" w:sz="0" w:space="0" w:color="auto"/>
      </w:divBdr>
    </w:div>
    <w:div w:id="1490831119">
      <w:bodyDiv w:val="1"/>
      <w:marLeft w:val="0"/>
      <w:marRight w:val="0"/>
      <w:marTop w:val="0"/>
      <w:marBottom w:val="0"/>
      <w:divBdr>
        <w:top w:val="none" w:sz="0" w:space="0" w:color="auto"/>
        <w:left w:val="none" w:sz="0" w:space="0" w:color="auto"/>
        <w:bottom w:val="none" w:sz="0" w:space="0" w:color="auto"/>
        <w:right w:val="none" w:sz="0" w:space="0" w:color="auto"/>
      </w:divBdr>
    </w:div>
    <w:div w:id="1523474582">
      <w:bodyDiv w:val="1"/>
      <w:marLeft w:val="0"/>
      <w:marRight w:val="0"/>
      <w:marTop w:val="0"/>
      <w:marBottom w:val="0"/>
      <w:divBdr>
        <w:top w:val="none" w:sz="0" w:space="0" w:color="auto"/>
        <w:left w:val="none" w:sz="0" w:space="0" w:color="auto"/>
        <w:bottom w:val="none" w:sz="0" w:space="0" w:color="auto"/>
        <w:right w:val="none" w:sz="0" w:space="0" w:color="auto"/>
      </w:divBdr>
    </w:div>
    <w:div w:id="1531069063">
      <w:bodyDiv w:val="1"/>
      <w:marLeft w:val="0"/>
      <w:marRight w:val="0"/>
      <w:marTop w:val="0"/>
      <w:marBottom w:val="0"/>
      <w:divBdr>
        <w:top w:val="none" w:sz="0" w:space="0" w:color="auto"/>
        <w:left w:val="none" w:sz="0" w:space="0" w:color="auto"/>
        <w:bottom w:val="none" w:sz="0" w:space="0" w:color="auto"/>
        <w:right w:val="none" w:sz="0" w:space="0" w:color="auto"/>
      </w:divBdr>
    </w:div>
    <w:div w:id="1541236062">
      <w:bodyDiv w:val="1"/>
      <w:marLeft w:val="0"/>
      <w:marRight w:val="0"/>
      <w:marTop w:val="0"/>
      <w:marBottom w:val="0"/>
      <w:divBdr>
        <w:top w:val="none" w:sz="0" w:space="0" w:color="auto"/>
        <w:left w:val="none" w:sz="0" w:space="0" w:color="auto"/>
        <w:bottom w:val="none" w:sz="0" w:space="0" w:color="auto"/>
        <w:right w:val="none" w:sz="0" w:space="0" w:color="auto"/>
      </w:divBdr>
    </w:div>
    <w:div w:id="1542328943">
      <w:bodyDiv w:val="1"/>
      <w:marLeft w:val="0"/>
      <w:marRight w:val="0"/>
      <w:marTop w:val="0"/>
      <w:marBottom w:val="0"/>
      <w:divBdr>
        <w:top w:val="none" w:sz="0" w:space="0" w:color="auto"/>
        <w:left w:val="none" w:sz="0" w:space="0" w:color="auto"/>
        <w:bottom w:val="none" w:sz="0" w:space="0" w:color="auto"/>
        <w:right w:val="none" w:sz="0" w:space="0" w:color="auto"/>
      </w:divBdr>
    </w:div>
    <w:div w:id="1557937452">
      <w:bodyDiv w:val="1"/>
      <w:marLeft w:val="0"/>
      <w:marRight w:val="0"/>
      <w:marTop w:val="0"/>
      <w:marBottom w:val="0"/>
      <w:divBdr>
        <w:top w:val="none" w:sz="0" w:space="0" w:color="auto"/>
        <w:left w:val="none" w:sz="0" w:space="0" w:color="auto"/>
        <w:bottom w:val="none" w:sz="0" w:space="0" w:color="auto"/>
        <w:right w:val="none" w:sz="0" w:space="0" w:color="auto"/>
      </w:divBdr>
    </w:div>
    <w:div w:id="1618640507">
      <w:bodyDiv w:val="1"/>
      <w:marLeft w:val="0"/>
      <w:marRight w:val="0"/>
      <w:marTop w:val="0"/>
      <w:marBottom w:val="0"/>
      <w:divBdr>
        <w:top w:val="none" w:sz="0" w:space="0" w:color="auto"/>
        <w:left w:val="none" w:sz="0" w:space="0" w:color="auto"/>
        <w:bottom w:val="none" w:sz="0" w:space="0" w:color="auto"/>
        <w:right w:val="none" w:sz="0" w:space="0" w:color="auto"/>
      </w:divBdr>
    </w:div>
    <w:div w:id="1631665779">
      <w:bodyDiv w:val="1"/>
      <w:marLeft w:val="0"/>
      <w:marRight w:val="0"/>
      <w:marTop w:val="0"/>
      <w:marBottom w:val="0"/>
      <w:divBdr>
        <w:top w:val="none" w:sz="0" w:space="0" w:color="auto"/>
        <w:left w:val="none" w:sz="0" w:space="0" w:color="auto"/>
        <w:bottom w:val="none" w:sz="0" w:space="0" w:color="auto"/>
        <w:right w:val="none" w:sz="0" w:space="0" w:color="auto"/>
      </w:divBdr>
    </w:div>
    <w:div w:id="1653365844">
      <w:bodyDiv w:val="1"/>
      <w:marLeft w:val="0"/>
      <w:marRight w:val="0"/>
      <w:marTop w:val="0"/>
      <w:marBottom w:val="0"/>
      <w:divBdr>
        <w:top w:val="none" w:sz="0" w:space="0" w:color="auto"/>
        <w:left w:val="none" w:sz="0" w:space="0" w:color="auto"/>
        <w:bottom w:val="none" w:sz="0" w:space="0" w:color="auto"/>
        <w:right w:val="none" w:sz="0" w:space="0" w:color="auto"/>
      </w:divBdr>
    </w:div>
    <w:div w:id="1675571305">
      <w:bodyDiv w:val="1"/>
      <w:marLeft w:val="0"/>
      <w:marRight w:val="0"/>
      <w:marTop w:val="0"/>
      <w:marBottom w:val="0"/>
      <w:divBdr>
        <w:top w:val="none" w:sz="0" w:space="0" w:color="auto"/>
        <w:left w:val="none" w:sz="0" w:space="0" w:color="auto"/>
        <w:bottom w:val="none" w:sz="0" w:space="0" w:color="auto"/>
        <w:right w:val="none" w:sz="0" w:space="0" w:color="auto"/>
      </w:divBdr>
    </w:div>
    <w:div w:id="1734161397">
      <w:bodyDiv w:val="1"/>
      <w:marLeft w:val="0"/>
      <w:marRight w:val="0"/>
      <w:marTop w:val="0"/>
      <w:marBottom w:val="0"/>
      <w:divBdr>
        <w:top w:val="none" w:sz="0" w:space="0" w:color="auto"/>
        <w:left w:val="none" w:sz="0" w:space="0" w:color="auto"/>
        <w:bottom w:val="none" w:sz="0" w:space="0" w:color="auto"/>
        <w:right w:val="none" w:sz="0" w:space="0" w:color="auto"/>
      </w:divBdr>
    </w:div>
    <w:div w:id="1750812352">
      <w:bodyDiv w:val="1"/>
      <w:marLeft w:val="0"/>
      <w:marRight w:val="0"/>
      <w:marTop w:val="0"/>
      <w:marBottom w:val="0"/>
      <w:divBdr>
        <w:top w:val="none" w:sz="0" w:space="0" w:color="auto"/>
        <w:left w:val="none" w:sz="0" w:space="0" w:color="auto"/>
        <w:bottom w:val="none" w:sz="0" w:space="0" w:color="auto"/>
        <w:right w:val="none" w:sz="0" w:space="0" w:color="auto"/>
      </w:divBdr>
    </w:div>
    <w:div w:id="1780830180">
      <w:bodyDiv w:val="1"/>
      <w:marLeft w:val="0"/>
      <w:marRight w:val="0"/>
      <w:marTop w:val="0"/>
      <w:marBottom w:val="0"/>
      <w:divBdr>
        <w:top w:val="none" w:sz="0" w:space="0" w:color="auto"/>
        <w:left w:val="none" w:sz="0" w:space="0" w:color="auto"/>
        <w:bottom w:val="none" w:sz="0" w:space="0" w:color="auto"/>
        <w:right w:val="none" w:sz="0" w:space="0" w:color="auto"/>
      </w:divBdr>
    </w:div>
    <w:div w:id="1783305082">
      <w:bodyDiv w:val="1"/>
      <w:marLeft w:val="0"/>
      <w:marRight w:val="0"/>
      <w:marTop w:val="0"/>
      <w:marBottom w:val="0"/>
      <w:divBdr>
        <w:top w:val="none" w:sz="0" w:space="0" w:color="auto"/>
        <w:left w:val="none" w:sz="0" w:space="0" w:color="auto"/>
        <w:bottom w:val="none" w:sz="0" w:space="0" w:color="auto"/>
        <w:right w:val="none" w:sz="0" w:space="0" w:color="auto"/>
      </w:divBdr>
    </w:div>
    <w:div w:id="1791970307">
      <w:bodyDiv w:val="1"/>
      <w:marLeft w:val="0"/>
      <w:marRight w:val="0"/>
      <w:marTop w:val="0"/>
      <w:marBottom w:val="0"/>
      <w:divBdr>
        <w:top w:val="none" w:sz="0" w:space="0" w:color="auto"/>
        <w:left w:val="none" w:sz="0" w:space="0" w:color="auto"/>
        <w:bottom w:val="none" w:sz="0" w:space="0" w:color="auto"/>
        <w:right w:val="none" w:sz="0" w:space="0" w:color="auto"/>
      </w:divBdr>
    </w:div>
    <w:div w:id="1793548905">
      <w:bodyDiv w:val="1"/>
      <w:marLeft w:val="0"/>
      <w:marRight w:val="0"/>
      <w:marTop w:val="0"/>
      <w:marBottom w:val="0"/>
      <w:divBdr>
        <w:top w:val="none" w:sz="0" w:space="0" w:color="auto"/>
        <w:left w:val="none" w:sz="0" w:space="0" w:color="auto"/>
        <w:bottom w:val="none" w:sz="0" w:space="0" w:color="auto"/>
        <w:right w:val="none" w:sz="0" w:space="0" w:color="auto"/>
      </w:divBdr>
    </w:div>
    <w:div w:id="1815172344">
      <w:bodyDiv w:val="1"/>
      <w:marLeft w:val="0"/>
      <w:marRight w:val="0"/>
      <w:marTop w:val="0"/>
      <w:marBottom w:val="0"/>
      <w:divBdr>
        <w:top w:val="none" w:sz="0" w:space="0" w:color="auto"/>
        <w:left w:val="none" w:sz="0" w:space="0" w:color="auto"/>
        <w:bottom w:val="none" w:sz="0" w:space="0" w:color="auto"/>
        <w:right w:val="none" w:sz="0" w:space="0" w:color="auto"/>
      </w:divBdr>
    </w:div>
    <w:div w:id="1821533491">
      <w:bodyDiv w:val="1"/>
      <w:marLeft w:val="0"/>
      <w:marRight w:val="0"/>
      <w:marTop w:val="0"/>
      <w:marBottom w:val="0"/>
      <w:divBdr>
        <w:top w:val="none" w:sz="0" w:space="0" w:color="auto"/>
        <w:left w:val="none" w:sz="0" w:space="0" w:color="auto"/>
        <w:bottom w:val="none" w:sz="0" w:space="0" w:color="auto"/>
        <w:right w:val="none" w:sz="0" w:space="0" w:color="auto"/>
      </w:divBdr>
    </w:div>
    <w:div w:id="1855143122">
      <w:bodyDiv w:val="1"/>
      <w:marLeft w:val="0"/>
      <w:marRight w:val="0"/>
      <w:marTop w:val="0"/>
      <w:marBottom w:val="0"/>
      <w:divBdr>
        <w:top w:val="none" w:sz="0" w:space="0" w:color="auto"/>
        <w:left w:val="none" w:sz="0" w:space="0" w:color="auto"/>
        <w:bottom w:val="none" w:sz="0" w:space="0" w:color="auto"/>
        <w:right w:val="none" w:sz="0" w:space="0" w:color="auto"/>
      </w:divBdr>
    </w:div>
    <w:div w:id="1879049774">
      <w:bodyDiv w:val="1"/>
      <w:marLeft w:val="0"/>
      <w:marRight w:val="0"/>
      <w:marTop w:val="0"/>
      <w:marBottom w:val="0"/>
      <w:divBdr>
        <w:top w:val="none" w:sz="0" w:space="0" w:color="auto"/>
        <w:left w:val="none" w:sz="0" w:space="0" w:color="auto"/>
        <w:bottom w:val="none" w:sz="0" w:space="0" w:color="auto"/>
        <w:right w:val="none" w:sz="0" w:space="0" w:color="auto"/>
      </w:divBdr>
      <w:divsChild>
        <w:div w:id="222835965">
          <w:marLeft w:val="360"/>
          <w:marRight w:val="0"/>
          <w:marTop w:val="200"/>
          <w:marBottom w:val="0"/>
          <w:divBdr>
            <w:top w:val="none" w:sz="0" w:space="0" w:color="auto"/>
            <w:left w:val="none" w:sz="0" w:space="0" w:color="auto"/>
            <w:bottom w:val="none" w:sz="0" w:space="0" w:color="auto"/>
            <w:right w:val="none" w:sz="0" w:space="0" w:color="auto"/>
          </w:divBdr>
        </w:div>
      </w:divsChild>
    </w:div>
    <w:div w:id="1882284707">
      <w:bodyDiv w:val="1"/>
      <w:marLeft w:val="0"/>
      <w:marRight w:val="0"/>
      <w:marTop w:val="0"/>
      <w:marBottom w:val="0"/>
      <w:divBdr>
        <w:top w:val="none" w:sz="0" w:space="0" w:color="auto"/>
        <w:left w:val="none" w:sz="0" w:space="0" w:color="auto"/>
        <w:bottom w:val="none" w:sz="0" w:space="0" w:color="auto"/>
        <w:right w:val="none" w:sz="0" w:space="0" w:color="auto"/>
      </w:divBdr>
    </w:div>
    <w:div w:id="1889798790">
      <w:bodyDiv w:val="1"/>
      <w:marLeft w:val="0"/>
      <w:marRight w:val="0"/>
      <w:marTop w:val="0"/>
      <w:marBottom w:val="0"/>
      <w:divBdr>
        <w:top w:val="none" w:sz="0" w:space="0" w:color="auto"/>
        <w:left w:val="none" w:sz="0" w:space="0" w:color="auto"/>
        <w:bottom w:val="none" w:sz="0" w:space="0" w:color="auto"/>
        <w:right w:val="none" w:sz="0" w:space="0" w:color="auto"/>
      </w:divBdr>
    </w:div>
    <w:div w:id="1897549467">
      <w:bodyDiv w:val="1"/>
      <w:marLeft w:val="0"/>
      <w:marRight w:val="0"/>
      <w:marTop w:val="0"/>
      <w:marBottom w:val="0"/>
      <w:divBdr>
        <w:top w:val="none" w:sz="0" w:space="0" w:color="auto"/>
        <w:left w:val="none" w:sz="0" w:space="0" w:color="auto"/>
        <w:bottom w:val="none" w:sz="0" w:space="0" w:color="auto"/>
        <w:right w:val="none" w:sz="0" w:space="0" w:color="auto"/>
      </w:divBdr>
    </w:div>
    <w:div w:id="1910964258">
      <w:bodyDiv w:val="1"/>
      <w:marLeft w:val="0"/>
      <w:marRight w:val="0"/>
      <w:marTop w:val="0"/>
      <w:marBottom w:val="0"/>
      <w:divBdr>
        <w:top w:val="none" w:sz="0" w:space="0" w:color="auto"/>
        <w:left w:val="none" w:sz="0" w:space="0" w:color="auto"/>
        <w:bottom w:val="none" w:sz="0" w:space="0" w:color="auto"/>
        <w:right w:val="none" w:sz="0" w:space="0" w:color="auto"/>
      </w:divBdr>
    </w:div>
    <w:div w:id="1911695857">
      <w:bodyDiv w:val="1"/>
      <w:marLeft w:val="0"/>
      <w:marRight w:val="0"/>
      <w:marTop w:val="0"/>
      <w:marBottom w:val="0"/>
      <w:divBdr>
        <w:top w:val="none" w:sz="0" w:space="0" w:color="auto"/>
        <w:left w:val="none" w:sz="0" w:space="0" w:color="auto"/>
        <w:bottom w:val="none" w:sz="0" w:space="0" w:color="auto"/>
        <w:right w:val="none" w:sz="0" w:space="0" w:color="auto"/>
      </w:divBdr>
    </w:div>
    <w:div w:id="1937329251">
      <w:bodyDiv w:val="1"/>
      <w:marLeft w:val="0"/>
      <w:marRight w:val="0"/>
      <w:marTop w:val="0"/>
      <w:marBottom w:val="0"/>
      <w:divBdr>
        <w:top w:val="none" w:sz="0" w:space="0" w:color="auto"/>
        <w:left w:val="none" w:sz="0" w:space="0" w:color="auto"/>
        <w:bottom w:val="none" w:sz="0" w:space="0" w:color="auto"/>
        <w:right w:val="none" w:sz="0" w:space="0" w:color="auto"/>
      </w:divBdr>
    </w:div>
    <w:div w:id="1938905158">
      <w:bodyDiv w:val="1"/>
      <w:marLeft w:val="0"/>
      <w:marRight w:val="0"/>
      <w:marTop w:val="0"/>
      <w:marBottom w:val="0"/>
      <w:divBdr>
        <w:top w:val="none" w:sz="0" w:space="0" w:color="auto"/>
        <w:left w:val="none" w:sz="0" w:space="0" w:color="auto"/>
        <w:bottom w:val="none" w:sz="0" w:space="0" w:color="auto"/>
        <w:right w:val="none" w:sz="0" w:space="0" w:color="auto"/>
      </w:divBdr>
    </w:div>
    <w:div w:id="1964118806">
      <w:bodyDiv w:val="1"/>
      <w:marLeft w:val="0"/>
      <w:marRight w:val="0"/>
      <w:marTop w:val="0"/>
      <w:marBottom w:val="0"/>
      <w:divBdr>
        <w:top w:val="none" w:sz="0" w:space="0" w:color="auto"/>
        <w:left w:val="none" w:sz="0" w:space="0" w:color="auto"/>
        <w:bottom w:val="none" w:sz="0" w:space="0" w:color="auto"/>
        <w:right w:val="none" w:sz="0" w:space="0" w:color="auto"/>
      </w:divBdr>
    </w:div>
    <w:div w:id="1970746051">
      <w:bodyDiv w:val="1"/>
      <w:marLeft w:val="0"/>
      <w:marRight w:val="0"/>
      <w:marTop w:val="0"/>
      <w:marBottom w:val="0"/>
      <w:divBdr>
        <w:top w:val="none" w:sz="0" w:space="0" w:color="auto"/>
        <w:left w:val="none" w:sz="0" w:space="0" w:color="auto"/>
        <w:bottom w:val="none" w:sz="0" w:space="0" w:color="auto"/>
        <w:right w:val="none" w:sz="0" w:space="0" w:color="auto"/>
      </w:divBdr>
      <w:divsChild>
        <w:div w:id="436953051">
          <w:marLeft w:val="360"/>
          <w:marRight w:val="0"/>
          <w:marTop w:val="200"/>
          <w:marBottom w:val="0"/>
          <w:divBdr>
            <w:top w:val="none" w:sz="0" w:space="0" w:color="auto"/>
            <w:left w:val="none" w:sz="0" w:space="0" w:color="auto"/>
            <w:bottom w:val="none" w:sz="0" w:space="0" w:color="auto"/>
            <w:right w:val="none" w:sz="0" w:space="0" w:color="auto"/>
          </w:divBdr>
        </w:div>
      </w:divsChild>
    </w:div>
    <w:div w:id="2049840909">
      <w:bodyDiv w:val="1"/>
      <w:marLeft w:val="0"/>
      <w:marRight w:val="0"/>
      <w:marTop w:val="0"/>
      <w:marBottom w:val="0"/>
      <w:divBdr>
        <w:top w:val="none" w:sz="0" w:space="0" w:color="auto"/>
        <w:left w:val="none" w:sz="0" w:space="0" w:color="auto"/>
        <w:bottom w:val="none" w:sz="0" w:space="0" w:color="auto"/>
        <w:right w:val="none" w:sz="0" w:space="0" w:color="auto"/>
      </w:divBdr>
    </w:div>
    <w:div w:id="206741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FB3C2D518C483990DFCD26A12DE07A"/>
        <w:category>
          <w:name w:val="General"/>
          <w:gallery w:val="placeholder"/>
        </w:category>
        <w:types>
          <w:type w:val="bbPlcHdr"/>
        </w:types>
        <w:behaviors>
          <w:behavior w:val="content"/>
        </w:behaviors>
        <w:guid w:val="{4CC7315D-E452-4673-8EF0-4EC31828FA95}"/>
      </w:docPartPr>
      <w:docPartBody>
        <w:p w:rsidR="00742B56" w:rsidRDefault="002D0CFE" w:rsidP="002D0CFE">
          <w:pPr>
            <w:pStyle w:val="2EFB3C2D518C483990DFCD26A12DE07A"/>
          </w:pPr>
          <w:r>
            <w:rPr>
              <w:color w:val="0F4761" w:themeColor="accent1" w:themeShade="BF"/>
              <w:sz w:val="24"/>
              <w:szCs w:val="24"/>
            </w:rPr>
            <w:t>[Company name]</w:t>
          </w:r>
        </w:p>
      </w:docPartBody>
    </w:docPart>
    <w:docPart>
      <w:docPartPr>
        <w:name w:val="7BBF96D588034F7C9B5B1384BF7687E8"/>
        <w:category>
          <w:name w:val="General"/>
          <w:gallery w:val="placeholder"/>
        </w:category>
        <w:types>
          <w:type w:val="bbPlcHdr"/>
        </w:types>
        <w:behaviors>
          <w:behavior w:val="content"/>
        </w:behaviors>
        <w:guid w:val="{14DC1E04-AB79-4F4B-B040-AC28CC2E1C90}"/>
      </w:docPartPr>
      <w:docPartBody>
        <w:p w:rsidR="00742B56" w:rsidRDefault="002D0CFE" w:rsidP="002D0CFE">
          <w:pPr>
            <w:pStyle w:val="7BBF96D588034F7C9B5B1384BF7687E8"/>
          </w:pPr>
          <w:r>
            <w:rPr>
              <w:rFonts w:asciiTheme="majorHAnsi" w:eastAsiaTheme="majorEastAsia" w:hAnsiTheme="majorHAnsi" w:cstheme="majorBidi"/>
              <w:color w:val="156082" w:themeColor="accent1"/>
              <w:sz w:val="88"/>
              <w:szCs w:val="88"/>
            </w:rPr>
            <w:t>[Document title]</w:t>
          </w:r>
        </w:p>
      </w:docPartBody>
    </w:docPart>
    <w:docPart>
      <w:docPartPr>
        <w:name w:val="128995AA6C8E4C00AC5C506E3CB7A8C6"/>
        <w:category>
          <w:name w:val="General"/>
          <w:gallery w:val="placeholder"/>
        </w:category>
        <w:types>
          <w:type w:val="bbPlcHdr"/>
        </w:types>
        <w:behaviors>
          <w:behavior w:val="content"/>
        </w:behaviors>
        <w:guid w:val="{582C1EB4-E744-4930-B207-FCAD9D76732B}"/>
      </w:docPartPr>
      <w:docPartBody>
        <w:p w:rsidR="00742B56" w:rsidRDefault="002D0CFE" w:rsidP="002D0CFE">
          <w:pPr>
            <w:pStyle w:val="128995AA6C8E4C00AC5C506E3CB7A8C6"/>
          </w:pPr>
          <w:r>
            <w:rPr>
              <w:color w:val="156082" w:themeColor="accent1"/>
              <w:sz w:val="28"/>
              <w:szCs w:val="28"/>
            </w:rPr>
            <w:t>[Author name]</w:t>
          </w:r>
        </w:p>
      </w:docPartBody>
    </w:docPart>
    <w:docPart>
      <w:docPartPr>
        <w:name w:val="2DBA519A5C50494AB7231190AE524EEB"/>
        <w:category>
          <w:name w:val="General"/>
          <w:gallery w:val="placeholder"/>
        </w:category>
        <w:types>
          <w:type w:val="bbPlcHdr"/>
        </w:types>
        <w:behaviors>
          <w:behavior w:val="content"/>
        </w:behaviors>
        <w:guid w:val="{C7031F31-C6F5-43CD-B76C-A9839E112722}"/>
      </w:docPartPr>
      <w:docPartBody>
        <w:p w:rsidR="00742B56" w:rsidRDefault="002D0CFE" w:rsidP="002D0CFE">
          <w:pPr>
            <w:pStyle w:val="2DBA519A5C50494AB7231190AE524EE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CFE"/>
    <w:rsid w:val="000326FC"/>
    <w:rsid w:val="00065B26"/>
    <w:rsid w:val="000C090D"/>
    <w:rsid w:val="000F512C"/>
    <w:rsid w:val="00165D08"/>
    <w:rsid w:val="001A2933"/>
    <w:rsid w:val="001E6558"/>
    <w:rsid w:val="001F43D6"/>
    <w:rsid w:val="00201170"/>
    <w:rsid w:val="0025242B"/>
    <w:rsid w:val="00261CC1"/>
    <w:rsid w:val="00265B75"/>
    <w:rsid w:val="00292DE2"/>
    <w:rsid w:val="002D0CFE"/>
    <w:rsid w:val="002D1D5F"/>
    <w:rsid w:val="003466FD"/>
    <w:rsid w:val="00364A2A"/>
    <w:rsid w:val="003A6BBB"/>
    <w:rsid w:val="003C44D0"/>
    <w:rsid w:val="003C6D87"/>
    <w:rsid w:val="004A0AB4"/>
    <w:rsid w:val="004C5CC0"/>
    <w:rsid w:val="00533C61"/>
    <w:rsid w:val="005507BD"/>
    <w:rsid w:val="005836E2"/>
    <w:rsid w:val="00596A82"/>
    <w:rsid w:val="005D7165"/>
    <w:rsid w:val="00653C8D"/>
    <w:rsid w:val="0066106D"/>
    <w:rsid w:val="00725CFE"/>
    <w:rsid w:val="00730860"/>
    <w:rsid w:val="00742B56"/>
    <w:rsid w:val="007C5F3F"/>
    <w:rsid w:val="007D4410"/>
    <w:rsid w:val="008518B0"/>
    <w:rsid w:val="00870660"/>
    <w:rsid w:val="00926E15"/>
    <w:rsid w:val="00930EF1"/>
    <w:rsid w:val="00963BCD"/>
    <w:rsid w:val="009B3BAE"/>
    <w:rsid w:val="009B4F64"/>
    <w:rsid w:val="009F2267"/>
    <w:rsid w:val="00AB57F5"/>
    <w:rsid w:val="00AC7ED1"/>
    <w:rsid w:val="00AD33A1"/>
    <w:rsid w:val="00AD3C02"/>
    <w:rsid w:val="00B449F1"/>
    <w:rsid w:val="00B67C94"/>
    <w:rsid w:val="00BB5609"/>
    <w:rsid w:val="00BC53B8"/>
    <w:rsid w:val="00BE0423"/>
    <w:rsid w:val="00C21357"/>
    <w:rsid w:val="00C50B14"/>
    <w:rsid w:val="00D15455"/>
    <w:rsid w:val="00D17F2A"/>
    <w:rsid w:val="00D24C0F"/>
    <w:rsid w:val="00D77258"/>
    <w:rsid w:val="00D8161B"/>
    <w:rsid w:val="00DC6DCB"/>
    <w:rsid w:val="00EC6051"/>
    <w:rsid w:val="00ED0DA4"/>
    <w:rsid w:val="00F94DA0"/>
    <w:rsid w:val="00F96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B3C2D518C483990DFCD26A12DE07A">
    <w:name w:val="2EFB3C2D518C483990DFCD26A12DE07A"/>
    <w:rsid w:val="002D0CFE"/>
  </w:style>
  <w:style w:type="paragraph" w:customStyle="1" w:styleId="7BBF96D588034F7C9B5B1384BF7687E8">
    <w:name w:val="7BBF96D588034F7C9B5B1384BF7687E8"/>
    <w:rsid w:val="002D0CFE"/>
  </w:style>
  <w:style w:type="paragraph" w:customStyle="1" w:styleId="128995AA6C8E4C00AC5C506E3CB7A8C6">
    <w:name w:val="128995AA6C8E4C00AC5C506E3CB7A8C6"/>
    <w:rsid w:val="002D0CFE"/>
  </w:style>
  <w:style w:type="paragraph" w:customStyle="1" w:styleId="2DBA519A5C50494AB7231190AE524EEB">
    <w:name w:val="2DBA519A5C50494AB7231190AE524EEB"/>
    <w:rsid w:val="002D0CFE"/>
  </w:style>
  <w:style w:type="character" w:styleId="PlaceholderText">
    <w:name w:val="Placeholder Text"/>
    <w:basedOn w:val="DefaultParagraphFont"/>
    <w:uiPriority w:val="99"/>
    <w:semiHidden/>
    <w:rsid w:val="009F22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40BA2-698E-435A-95BA-3A3D8A01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9731</TotalTime>
  <Pages>20</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Assessing the Federal Funds Target Rate</vt:lpstr>
    </vt:vector>
  </TitlesOfParts>
  <Company>California Lutheran University</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Federal Funds Rate Target</dc:title>
  <dc:creator>Shaun Levenson</dc:creator>
  <cp:lastModifiedBy>shaun levenson</cp:lastModifiedBy>
  <cp:revision>214</cp:revision>
  <cp:lastPrinted>2025-04-20T21:06:00Z</cp:lastPrinted>
  <dcterms:created xsi:type="dcterms:W3CDTF">2024-01-19T06:28:00Z</dcterms:created>
  <dcterms:modified xsi:type="dcterms:W3CDTF">2025-08-29T07:18:00Z</dcterms:modified>
</cp:coreProperties>
</file>